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598" w:rsidRDefault="005B3303" w:rsidP="004B00DC">
      <w:pPr>
        <w:spacing w:line="360" w:lineRule="auto"/>
        <w:ind w:firstLineChars="200" w:firstLine="420"/>
        <w:jc w:val="left"/>
      </w:pPr>
      <w:r>
        <w:rPr>
          <w:rFonts w:hint="eastAsia"/>
        </w:rPr>
        <w:t>环境遥感</w:t>
      </w:r>
    </w:p>
    <w:p w:rsidR="005B3303" w:rsidRDefault="005B3303" w:rsidP="004B00DC">
      <w:pPr>
        <w:spacing w:line="360" w:lineRule="auto"/>
        <w:ind w:firstLineChars="200" w:firstLine="780"/>
        <w:jc w:val="left"/>
        <w:rPr>
          <w:rFonts w:ascii="宋体" w:eastAsia="宋体" w:hAnsi="宋体" w:cs="Arial"/>
          <w:spacing w:val="15"/>
          <w:sz w:val="36"/>
          <w:szCs w:val="23"/>
        </w:rPr>
      </w:pPr>
      <w:r w:rsidRPr="005B3303">
        <w:rPr>
          <w:rFonts w:ascii="宋体" w:eastAsia="宋体" w:hAnsi="宋体" w:cs="Arial"/>
          <w:spacing w:val="15"/>
          <w:sz w:val="36"/>
          <w:szCs w:val="23"/>
        </w:rPr>
        <w:t>基于辐射传输模拟的神经网络云罩算法</w:t>
      </w:r>
    </w:p>
    <w:p w:rsidR="005B3303" w:rsidRPr="004B00DC" w:rsidRDefault="005B3303" w:rsidP="004B00DC">
      <w:pPr>
        <w:pStyle w:val="a3"/>
        <w:spacing w:before="0" w:beforeAutospacing="0" w:after="0" w:afterAutospacing="0" w:line="360" w:lineRule="auto"/>
        <w:ind w:firstLineChars="200" w:firstLine="620"/>
        <w:rPr>
          <w:rFonts w:cs="Arial"/>
          <w:spacing w:val="15"/>
          <w:sz w:val="28"/>
          <w:szCs w:val="28"/>
        </w:rPr>
      </w:pPr>
      <w:r w:rsidRPr="004B00DC">
        <w:rPr>
          <w:rFonts w:cs="Arial"/>
          <w:spacing w:val="15"/>
          <w:sz w:val="28"/>
          <w:szCs w:val="28"/>
        </w:rPr>
        <w:t>云探测和筛选是获得许多卫星数据产品所需的至关重要的第一步。传统的基于阈值的云面具算法需要一个复杂的设计过程和微调每个传感器，他们有困难的地区部分覆盖的雪/</w:t>
      </w:r>
      <w:r w:rsidR="004B00DC">
        <w:rPr>
          <w:rFonts w:cs="Arial"/>
          <w:spacing w:val="15"/>
          <w:sz w:val="28"/>
          <w:szCs w:val="28"/>
        </w:rPr>
        <w:t>冰。利用机器学习技术和耦合环境系统辐射传输建模的</w:t>
      </w:r>
      <w:r w:rsidR="004B00DC">
        <w:rPr>
          <w:rFonts w:cs="Arial" w:hint="eastAsia"/>
          <w:spacing w:val="15"/>
          <w:sz w:val="28"/>
          <w:szCs w:val="28"/>
        </w:rPr>
        <w:t>进</w:t>
      </w:r>
      <w:r w:rsidRPr="004B00DC">
        <w:rPr>
          <w:rFonts w:cs="Arial"/>
          <w:spacing w:val="15"/>
          <w:sz w:val="28"/>
          <w:szCs w:val="28"/>
        </w:rPr>
        <w:t>展，我们开发了一种新的、无阈值的云面具算法，该算法基于广泛的辐射传输模拟驱动的神经网络分类器。CALIOP与MODIS数据配置的统计验证结果表明，其在不同生态系统上的性能是一致的，在中纬度积雪地区的冬季，其性能明显优于MODIS云罩(MOD35 C6)。使用较少的卫星信道数的仿真也显示了令人满意的结果，表明了该算法对于不同传感器配置的灵活性。与基于阈值的方法和以往的机器学习方法相比，这种新的云罩(</w:t>
      </w:r>
      <w:proofErr w:type="spellStart"/>
      <w:r w:rsidRPr="004B00DC">
        <w:rPr>
          <w:rFonts w:cs="Arial"/>
          <w:spacing w:val="15"/>
          <w:sz w:val="28"/>
          <w:szCs w:val="28"/>
        </w:rPr>
        <w:t>i</w:t>
      </w:r>
      <w:proofErr w:type="spellEnd"/>
      <w:r w:rsidRPr="004B00DC">
        <w:rPr>
          <w:rFonts w:cs="Arial"/>
          <w:spacing w:val="15"/>
          <w:sz w:val="28"/>
          <w:szCs w:val="28"/>
        </w:rPr>
        <w:t>)不依赖于阈值，(ii)需要较少的卫星通道，(iii)在中纬度地区的冬季有更好的性能，(iv)可以方便地应用于不同的传感器。</w:t>
      </w:r>
    </w:p>
    <w:p w:rsidR="005B3303" w:rsidRPr="004B00DC" w:rsidRDefault="005B3303"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1. 介绍</w:t>
      </w:r>
    </w:p>
    <w:p w:rsidR="005B3303" w:rsidRPr="004B00DC" w:rsidRDefault="005B3303"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1.1。背景</w:t>
      </w:r>
    </w:p>
    <w:p w:rsidR="005B3303" w:rsidRPr="004B00DC" w:rsidRDefault="005B3303"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可靠的云</w:t>
      </w:r>
      <w:proofErr w:type="gramStart"/>
      <w:r w:rsidRPr="004B00DC">
        <w:rPr>
          <w:rFonts w:ascii="宋体" w:eastAsia="宋体" w:hAnsi="宋体" w:cs="Arial"/>
          <w:spacing w:val="15"/>
          <w:sz w:val="28"/>
          <w:szCs w:val="28"/>
        </w:rPr>
        <w:t>罩对于</w:t>
      </w:r>
      <w:proofErr w:type="gramEnd"/>
      <w:r w:rsidRPr="004B00DC">
        <w:rPr>
          <w:rFonts w:ascii="宋体" w:eastAsia="宋体" w:hAnsi="宋体" w:cs="Arial"/>
          <w:spacing w:val="15"/>
          <w:sz w:val="28"/>
          <w:szCs w:val="28"/>
        </w:rPr>
        <w:t>卫星遥感陆地、海洋或冰冻圈特性是必不可少的。由于云对短波和长波辐射的显著影响，将云像元错识别为地表或将云像元错识别为地表都会显著影响任何卫星遥感产品的质量。传统的云遮罩算法大多采用基于阈值的</w:t>
      </w:r>
      <w:r w:rsidRPr="004B00DC">
        <w:rPr>
          <w:rFonts w:ascii="宋体" w:eastAsia="宋体" w:hAnsi="宋体" w:cs="Arial"/>
          <w:spacing w:val="15"/>
          <w:sz w:val="28"/>
          <w:szCs w:val="28"/>
        </w:rPr>
        <w:lastRenderedPageBreak/>
        <w:t>测试方法。这些算法包括自动云层评估(ACCA)算法(爱尔兰et al ., 2006)应用于陆地卫星ETM +传感器,云测试应用于MOD35算法(阿克曼et al ., 2010)中分辨率成像光谱仪(MODIS)传感器和AVHRR的云(CLAVR)(斯托et al ., 1999)以及其扩展CLAVR-x算法。这些算法通常使用阈值的组合测试,雇佣许多卫星频道位于可见(VIS),近红外(NIR)、短波红外(短波红外成像)和热红外(行动)波长范围(例如MOD35使用19乐队- 10反射率乐队和9热红外波段)探测云和雪/冰。这些测试中使用的阈值通常来自1)模型模拟，2)云/晴空场景的统计，3)专家经验。新算法，如</w:t>
      </w:r>
      <w:proofErr w:type="spellStart"/>
      <w:r w:rsidRPr="004B00DC">
        <w:rPr>
          <w:rFonts w:ascii="宋体" w:eastAsia="宋体" w:hAnsi="宋体" w:cs="Arial"/>
          <w:spacing w:val="15"/>
          <w:sz w:val="28"/>
          <w:szCs w:val="28"/>
        </w:rPr>
        <w:t>fmask</w:t>
      </w:r>
      <w:proofErr w:type="spellEnd"/>
      <w:r w:rsidRPr="004B00DC">
        <w:rPr>
          <w:rFonts w:ascii="宋体" w:eastAsia="宋体" w:hAnsi="宋体" w:cs="Arial"/>
          <w:spacing w:val="15"/>
          <w:sz w:val="28"/>
          <w:szCs w:val="28"/>
        </w:rPr>
        <w:t xml:space="preserve"> (Zhu and Woodcock, 2012;Zhu et al.， 2015)，采用基于对象的云和云阴影统计数据的动态阈值。在我们之前的工作(Chen et al.， 2014)中，我们开发了一种基于模型的动态阈值方法，并对其进行了测试，结果表明在冰雪覆盖的格陵兰高原上，与MODIS MOD35算法相比，该方法具有更好的性能。</w:t>
      </w:r>
    </w:p>
    <w:p w:rsidR="005B3303" w:rsidRPr="004B00DC" w:rsidRDefault="005B3303"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由于云与雪/冰在可见光和近红外通道的光学特性相似，雪的检测一直是云掩膜算法设计的关键。利用VIS和SWIR数据绘制积雪覆盖指数是在20世纪70年代中期开发的。</w:t>
      </w:r>
    </w:p>
    <w:p w:rsidR="005B3303" w:rsidRPr="004B00DC" w:rsidRDefault="005B3303"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Hall等(1995)引入归一化差分</w:t>
      </w:r>
      <w:proofErr w:type="gramStart"/>
      <w:r w:rsidRPr="004B00DC">
        <w:rPr>
          <w:rFonts w:ascii="宋体" w:eastAsia="宋体" w:hAnsi="宋体" w:cs="Arial"/>
          <w:spacing w:val="15"/>
          <w:sz w:val="28"/>
          <w:szCs w:val="28"/>
        </w:rPr>
        <w:t>雪指数</w:t>
      </w:r>
      <w:proofErr w:type="gramEnd"/>
      <w:r w:rsidRPr="004B00DC">
        <w:rPr>
          <w:rFonts w:ascii="宋体" w:eastAsia="宋体" w:hAnsi="宋体" w:cs="Arial"/>
          <w:spacing w:val="15"/>
          <w:sz w:val="28"/>
          <w:szCs w:val="28"/>
        </w:rPr>
        <w:t xml:space="preserve">(NDSI)，利用MODIS数据绘制雪图。在此之前，Dozier(1987,1989)使用VIS/SWIR指数算法根据Landsat数据绘制雪图。大多数基于阈值的云掩码算法将在其处理链中使用NDSI (Ackerman et </w:t>
      </w:r>
      <w:r w:rsidRPr="004B00DC">
        <w:rPr>
          <w:rFonts w:ascii="宋体" w:eastAsia="宋体" w:hAnsi="宋体" w:cs="Arial"/>
          <w:spacing w:val="15"/>
          <w:sz w:val="28"/>
          <w:szCs w:val="28"/>
        </w:rPr>
        <w:lastRenderedPageBreak/>
        <w:t>al.， 1998,2010;Irish等人，2006年;Zhu and Woodcock, 2012)</w:t>
      </w:r>
      <w:r w:rsidR="004B00DC">
        <w:rPr>
          <w:rFonts w:ascii="宋体" w:eastAsia="宋体" w:hAnsi="宋体" w:cs="Arial"/>
          <w:spacing w:val="15"/>
          <w:sz w:val="28"/>
          <w:szCs w:val="28"/>
        </w:rPr>
        <w:t>，强调了雪探测的重要性</w:t>
      </w:r>
      <w:r w:rsidR="004B00DC">
        <w:rPr>
          <w:rFonts w:ascii="宋体" w:eastAsia="宋体" w:hAnsi="宋体" w:cs="Arial" w:hint="eastAsia"/>
          <w:spacing w:val="15"/>
          <w:sz w:val="28"/>
          <w:szCs w:val="28"/>
        </w:rPr>
        <w:t>，</w:t>
      </w:r>
      <w:r w:rsidRPr="004B00DC">
        <w:rPr>
          <w:rFonts w:ascii="宋体" w:eastAsia="宋体" w:hAnsi="宋体" w:cs="Arial"/>
          <w:spacing w:val="15"/>
          <w:sz w:val="28"/>
          <w:szCs w:val="28"/>
        </w:rPr>
        <w:t>因为它的准确性也会影响云探测的准确性。</w:t>
      </w:r>
    </w:p>
    <w:p w:rsidR="005B3303" w:rsidRPr="004B00DC" w:rsidRDefault="00D25B82"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增强的计算能力和机器学习技术的改进使得机器学习算法，如决策树、逻辑回归、支持</w:t>
      </w:r>
      <w:proofErr w:type="gramStart"/>
      <w:r w:rsidRPr="004B00DC">
        <w:rPr>
          <w:rFonts w:ascii="宋体" w:eastAsia="宋体" w:hAnsi="宋体" w:cs="Arial"/>
          <w:spacing w:val="15"/>
          <w:sz w:val="28"/>
          <w:szCs w:val="28"/>
        </w:rPr>
        <w:t>向量机</w:t>
      </w:r>
      <w:proofErr w:type="gramEnd"/>
      <w:r w:rsidRPr="004B00DC">
        <w:rPr>
          <w:rFonts w:ascii="宋体" w:eastAsia="宋体" w:hAnsi="宋体" w:cs="Arial"/>
          <w:spacing w:val="15"/>
          <w:sz w:val="28"/>
          <w:szCs w:val="28"/>
        </w:rPr>
        <w:t>和人工神经网络，可以用于云遮蔽和冰雪检测。</w:t>
      </w:r>
      <w:proofErr w:type="spellStart"/>
      <w:r w:rsidRPr="004B00DC">
        <w:rPr>
          <w:rFonts w:ascii="宋体" w:eastAsia="宋体" w:hAnsi="宋体" w:cs="Arial"/>
          <w:spacing w:val="15"/>
          <w:sz w:val="28"/>
          <w:szCs w:val="28"/>
        </w:rPr>
        <w:t>Taravat</w:t>
      </w:r>
      <w:proofErr w:type="spellEnd"/>
      <w:r w:rsidRPr="004B00DC">
        <w:rPr>
          <w:rFonts w:ascii="宋体" w:eastAsia="宋体" w:hAnsi="宋体" w:cs="Arial"/>
          <w:spacing w:val="15"/>
          <w:sz w:val="28"/>
          <w:szCs w:val="28"/>
        </w:rPr>
        <w:t>等人(2015)使用多层感知器神经网络模型检测Landsat图像中的云。</w:t>
      </w:r>
      <w:proofErr w:type="spellStart"/>
      <w:r w:rsidRPr="004B00DC">
        <w:rPr>
          <w:rFonts w:ascii="宋体" w:eastAsia="宋体" w:hAnsi="宋体" w:cs="Arial"/>
          <w:spacing w:val="15"/>
          <w:sz w:val="28"/>
          <w:szCs w:val="28"/>
        </w:rPr>
        <w:t>Hollstein</w:t>
      </w:r>
      <w:proofErr w:type="spellEnd"/>
      <w:r w:rsidRPr="004B00DC">
        <w:rPr>
          <w:rFonts w:ascii="宋体" w:eastAsia="宋体" w:hAnsi="宋体" w:cs="Arial"/>
          <w:spacing w:val="15"/>
          <w:sz w:val="28"/>
          <w:szCs w:val="28"/>
        </w:rPr>
        <w:t>等人(2016)比较了几种方法，包括决策树、经典贝叶斯、随机森林、支持</w:t>
      </w:r>
      <w:proofErr w:type="gramStart"/>
      <w:r w:rsidRPr="004B00DC">
        <w:rPr>
          <w:rFonts w:ascii="宋体" w:eastAsia="宋体" w:hAnsi="宋体" w:cs="Arial"/>
          <w:spacing w:val="15"/>
          <w:sz w:val="28"/>
          <w:szCs w:val="28"/>
        </w:rPr>
        <w:t>向量机</w:t>
      </w:r>
      <w:proofErr w:type="gramEnd"/>
      <w:r w:rsidRPr="004B00DC">
        <w:rPr>
          <w:rFonts w:ascii="宋体" w:eastAsia="宋体" w:hAnsi="宋体" w:cs="Arial"/>
          <w:spacing w:val="15"/>
          <w:sz w:val="28"/>
          <w:szCs w:val="28"/>
        </w:rPr>
        <w:t>和随机梯度下降，应用于Sentinel-2多光谱仪器(MSI)图像。Hughes和Hayes(2014)使用美国地质调查局Landsat数据连续性任务(USGS LDCM)云覆盖评估数据子集训练的基于神经网络的方法(</w:t>
      </w:r>
      <w:proofErr w:type="spellStart"/>
      <w:r w:rsidRPr="004B00DC">
        <w:rPr>
          <w:rFonts w:ascii="宋体" w:eastAsia="宋体" w:hAnsi="宋体" w:cs="Arial"/>
          <w:spacing w:val="15"/>
          <w:sz w:val="28"/>
          <w:szCs w:val="28"/>
        </w:rPr>
        <w:t>Scaramuzza</w:t>
      </w:r>
      <w:proofErr w:type="spellEnd"/>
      <w:r w:rsidRPr="004B00DC">
        <w:rPr>
          <w:rFonts w:ascii="宋体" w:eastAsia="宋体" w:hAnsi="宋体" w:cs="Arial"/>
          <w:spacing w:val="15"/>
          <w:sz w:val="28"/>
          <w:szCs w:val="28"/>
        </w:rPr>
        <w:t xml:space="preserve"> et al.， 2012)，并与</w:t>
      </w:r>
      <w:proofErr w:type="spellStart"/>
      <w:r w:rsidRPr="004B00DC">
        <w:rPr>
          <w:rFonts w:ascii="宋体" w:eastAsia="宋体" w:hAnsi="宋体" w:cs="Arial"/>
          <w:spacing w:val="15"/>
          <w:sz w:val="28"/>
          <w:szCs w:val="28"/>
        </w:rPr>
        <w:t>fmask</w:t>
      </w:r>
      <w:proofErr w:type="spellEnd"/>
      <w:r w:rsidRPr="004B00DC">
        <w:rPr>
          <w:rFonts w:ascii="宋体" w:eastAsia="宋体" w:hAnsi="宋体" w:cs="Arial"/>
          <w:spacing w:val="15"/>
          <w:sz w:val="28"/>
          <w:szCs w:val="28"/>
        </w:rPr>
        <w:t xml:space="preserve"> (Zhu and Woodcock, 2012)进行比较，结果良好。贝叶</w:t>
      </w:r>
      <w:proofErr w:type="gramStart"/>
      <w:r w:rsidRPr="004B00DC">
        <w:rPr>
          <w:rFonts w:ascii="宋体" w:eastAsia="宋体" w:hAnsi="宋体" w:cs="Arial"/>
          <w:spacing w:val="15"/>
          <w:sz w:val="28"/>
          <w:szCs w:val="28"/>
        </w:rPr>
        <w:t>斯方法</w:t>
      </w:r>
      <w:proofErr w:type="gramEnd"/>
      <w:r w:rsidRPr="004B00DC">
        <w:rPr>
          <w:rFonts w:ascii="宋体" w:eastAsia="宋体" w:hAnsi="宋体" w:cs="Arial"/>
          <w:spacing w:val="15"/>
          <w:sz w:val="28"/>
          <w:szCs w:val="28"/>
        </w:rPr>
        <w:t>比基于阈值的方法有了显著的改进。值得注意的是，基于贝叶斯统计方法的模型表明，模拟数据集可以作为一个预测器，以提高云检测精度。Merchant等(2005)首先将该方法用于海洋区域的云屏蔽，以获取海表温度。</w:t>
      </w:r>
      <w:proofErr w:type="spellStart"/>
      <w:r w:rsidRPr="004B00DC">
        <w:rPr>
          <w:rFonts w:ascii="宋体" w:eastAsia="宋体" w:hAnsi="宋体" w:cs="Arial"/>
          <w:spacing w:val="15"/>
          <w:sz w:val="28"/>
          <w:szCs w:val="28"/>
        </w:rPr>
        <w:t>Bulgin</w:t>
      </w:r>
      <w:proofErr w:type="spellEnd"/>
      <w:r w:rsidRPr="004B00DC">
        <w:rPr>
          <w:rFonts w:ascii="宋体" w:eastAsia="宋体" w:hAnsi="宋体" w:cs="Arial"/>
          <w:spacing w:val="15"/>
          <w:sz w:val="28"/>
          <w:szCs w:val="28"/>
        </w:rPr>
        <w:t xml:space="preserve"> et al.(2014)和</w:t>
      </w:r>
      <w:proofErr w:type="spellStart"/>
      <w:r w:rsidRPr="004B00DC">
        <w:rPr>
          <w:rFonts w:ascii="宋体" w:eastAsia="宋体" w:hAnsi="宋体" w:cs="Arial"/>
          <w:spacing w:val="15"/>
          <w:sz w:val="28"/>
          <w:szCs w:val="28"/>
        </w:rPr>
        <w:t>Bulgin</w:t>
      </w:r>
      <w:proofErr w:type="spellEnd"/>
      <w:r w:rsidRPr="004B00DC">
        <w:rPr>
          <w:rFonts w:ascii="宋体" w:eastAsia="宋体" w:hAnsi="宋体" w:cs="Arial"/>
          <w:spacing w:val="15"/>
          <w:sz w:val="28"/>
          <w:szCs w:val="28"/>
        </w:rPr>
        <w:t xml:space="preserve"> et al.(2018)将该方法扩展到陆地区域。在这些研究中，使用人工分类数据集进行验证。由</w:t>
      </w:r>
      <w:proofErr w:type="spellStart"/>
      <w:r w:rsidRPr="004B00DC">
        <w:rPr>
          <w:rFonts w:ascii="宋体" w:eastAsia="宋体" w:hAnsi="宋体" w:cs="Arial"/>
          <w:spacing w:val="15"/>
          <w:sz w:val="28"/>
          <w:szCs w:val="28"/>
        </w:rPr>
        <w:t>Heidinger</w:t>
      </w:r>
      <w:proofErr w:type="spellEnd"/>
      <w:r w:rsidRPr="004B00DC">
        <w:rPr>
          <w:rFonts w:ascii="宋体" w:eastAsia="宋体" w:hAnsi="宋体" w:cs="Arial"/>
          <w:spacing w:val="15"/>
          <w:sz w:val="28"/>
          <w:szCs w:val="28"/>
        </w:rPr>
        <w:t>等人(2012)使用配置的AVHRR和CALIOP数据导出的自动贝叶斯分类器，显示了对基于阈值的方法的改进，以及在云掩蔽过程中获得不确定性的能力。本文还介绍了利用</w:t>
      </w:r>
      <w:r w:rsidRPr="004B00DC">
        <w:rPr>
          <w:rFonts w:ascii="宋体" w:eastAsia="宋体" w:hAnsi="宋体" w:cs="Arial"/>
          <w:spacing w:val="15"/>
          <w:sz w:val="28"/>
          <w:szCs w:val="28"/>
        </w:rPr>
        <w:lastRenderedPageBreak/>
        <w:t>CALIOP数据计算后验云概率的方法。</w:t>
      </w:r>
      <w:r w:rsidRPr="004B00DC">
        <w:rPr>
          <w:rFonts w:ascii="宋体" w:eastAsia="宋体" w:hAnsi="宋体" w:cs="Arial"/>
          <w:spacing w:val="15"/>
          <w:sz w:val="28"/>
          <w:szCs w:val="28"/>
        </w:rPr>
        <w:br/>
        <w:t>最近，支持向量机(SVM)方法已被用于最新的</w:t>
      </w:r>
      <w:proofErr w:type="spellStart"/>
      <w:r w:rsidRPr="004B00DC">
        <w:rPr>
          <w:rFonts w:ascii="宋体" w:eastAsia="宋体" w:hAnsi="宋体" w:cs="Arial"/>
          <w:spacing w:val="15"/>
          <w:sz w:val="28"/>
          <w:szCs w:val="28"/>
        </w:rPr>
        <w:t>claudia</w:t>
      </w:r>
      <w:proofErr w:type="spellEnd"/>
      <w:r w:rsidRPr="004B00DC">
        <w:rPr>
          <w:rFonts w:ascii="宋体" w:eastAsia="宋体" w:hAnsi="宋体" w:cs="Arial"/>
          <w:spacing w:val="15"/>
          <w:sz w:val="28"/>
          <w:szCs w:val="28"/>
        </w:rPr>
        <w:t xml:space="preserve"> a3算法(Ishida et al.， 2018)。高质量的训练数据集对于基于机器学习的方法和手工生成的数据集是必不可少的，例如ACCA参考数据集(Irish et al.， 2006)和由</w:t>
      </w:r>
      <w:proofErr w:type="spellStart"/>
      <w:r w:rsidRPr="004B00DC">
        <w:rPr>
          <w:rFonts w:ascii="宋体" w:eastAsia="宋体" w:hAnsi="宋体" w:cs="Arial"/>
          <w:spacing w:val="15"/>
          <w:sz w:val="28"/>
          <w:szCs w:val="28"/>
        </w:rPr>
        <w:t>Hollstein</w:t>
      </w:r>
      <w:proofErr w:type="spellEnd"/>
      <w:r w:rsidRPr="004B00DC">
        <w:rPr>
          <w:rFonts w:ascii="宋体" w:eastAsia="宋体" w:hAnsi="宋体" w:cs="Arial"/>
          <w:spacing w:val="15"/>
          <w:sz w:val="28"/>
          <w:szCs w:val="28"/>
        </w:rPr>
        <w:t xml:space="preserve"> et al.(2016)构造的Sentinel-2 MSI数据集，目前基于机器学习的云检测方案经常使用。在Ishida等人(2018)中，支持向量机分类的训练数据集也通过仔细检查典型的表面类型和消除不规则数据，从实际卫星测量中主观地选择。</w:t>
      </w:r>
    </w:p>
    <w:p w:rsidR="00D25B82" w:rsidRPr="004B00DC" w:rsidRDefault="00D25B82" w:rsidP="004B00DC">
      <w:pPr>
        <w:spacing w:line="360" w:lineRule="auto"/>
        <w:ind w:firstLineChars="200" w:firstLine="620"/>
        <w:jc w:val="left"/>
        <w:rPr>
          <w:rFonts w:ascii="宋体" w:eastAsia="宋体" w:hAnsi="宋体" w:cs="Arial"/>
          <w:spacing w:val="15"/>
          <w:sz w:val="28"/>
          <w:szCs w:val="28"/>
        </w:rPr>
      </w:pPr>
    </w:p>
    <w:p w:rsidR="00D25B82" w:rsidRPr="004B00DC" w:rsidRDefault="00D25B82"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1.2。传统方法的局限性</w:t>
      </w:r>
    </w:p>
    <w:p w:rsidR="00D25B82" w:rsidRPr="004B00DC" w:rsidRDefault="00D25B82"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 xml:space="preserve">传统的基于阈值的云面具方法在冰雪覆盖地区仍然面临严重挑战，特别是在北极和亚北极地区，那里有频繁的温度反演(影响基于轮胎的测试)和中纬度地区，反射信号往往来自混合雪和植被/土壤覆盖的像素。为了处理这种复杂的地表条件，基于阈值的逻辑变得越来越复杂(可以在1-5 of Irish et al.， 2006)，通常需要大量的卫星通道。有时这些测试会产生相互矛盾的结果，需要额外的“清晰恢复测试”来避免错误分类(Ackerman等人，2010)。需要探测可能被雪覆盖的地区也增加了结果的不确定性。Wang </w:t>
      </w:r>
      <w:proofErr w:type="gramStart"/>
      <w:r w:rsidRPr="004B00DC">
        <w:rPr>
          <w:rFonts w:ascii="宋体" w:eastAsia="宋体" w:hAnsi="宋体" w:cs="Arial"/>
          <w:spacing w:val="15"/>
          <w:sz w:val="28"/>
          <w:szCs w:val="28"/>
        </w:rPr>
        <w:t>et al.(</w:t>
      </w:r>
      <w:proofErr w:type="gramEnd"/>
      <w:r w:rsidRPr="004B00DC">
        <w:rPr>
          <w:rFonts w:ascii="宋体" w:eastAsia="宋体" w:hAnsi="宋体" w:cs="Arial"/>
          <w:spacing w:val="15"/>
          <w:sz w:val="28"/>
          <w:szCs w:val="28"/>
        </w:rPr>
        <w:t>2008)报道，在传统的基于阈值的方法(如MODIS cloud mask)产生的结果中，将积雪地区误分为“云”或“云”误分为“云”仍然是</w:t>
      </w:r>
      <w:r w:rsidRPr="004B00DC">
        <w:rPr>
          <w:rFonts w:ascii="宋体" w:eastAsia="宋体" w:hAnsi="宋体" w:cs="Arial"/>
          <w:spacing w:val="15"/>
          <w:sz w:val="28"/>
          <w:szCs w:val="28"/>
        </w:rPr>
        <w:lastRenderedPageBreak/>
        <w:t>一个严重的问题，如第三节所示。</w:t>
      </w:r>
    </w:p>
    <w:p w:rsidR="004B00DC" w:rsidRDefault="00D25B82" w:rsidP="004B00DC">
      <w:pPr>
        <w:pStyle w:val="a3"/>
        <w:spacing w:before="0" w:beforeAutospacing="0" w:after="0" w:afterAutospacing="0" w:line="360" w:lineRule="auto"/>
        <w:ind w:firstLineChars="200" w:firstLine="620"/>
        <w:rPr>
          <w:rFonts w:cs="Arial"/>
          <w:spacing w:val="15"/>
          <w:sz w:val="28"/>
          <w:szCs w:val="28"/>
        </w:rPr>
      </w:pPr>
      <w:r w:rsidRPr="004B00DC">
        <w:rPr>
          <w:rFonts w:cs="Arial"/>
          <w:spacing w:val="15"/>
          <w:sz w:val="28"/>
          <w:szCs w:val="28"/>
        </w:rPr>
        <w:t>另一方面，机器学习方法一般不依赖于阈值，也不依赖于在云筛选前检测雪。然而，对人工生成数据集的依赖限制了基于机器学习算法的开发和操作使用。对数百万像素的数百张图像进行分类需要大量的人力资源，很难生成可靠的训练数据集。人工分类的图像数量有限，也很难覆盖所有可能的太阳/视图几何图形，这限制了训练过的算法的操作使用。最重要的是，手动分类的图像通常只能在发射后使用。这种情况阻碍了对算法性能的发射前评估，并使其在不同传感器上的应用变得困难。</w:t>
      </w:r>
    </w:p>
    <w:p w:rsidR="004B00DC" w:rsidRDefault="00D25B82" w:rsidP="004B00DC">
      <w:pPr>
        <w:pStyle w:val="a3"/>
        <w:spacing w:before="0" w:beforeAutospacing="0" w:after="0" w:afterAutospacing="0" w:line="360" w:lineRule="auto"/>
        <w:ind w:firstLineChars="200" w:firstLine="620"/>
        <w:rPr>
          <w:rFonts w:cs="Arial"/>
          <w:spacing w:val="15"/>
          <w:sz w:val="28"/>
          <w:szCs w:val="28"/>
        </w:rPr>
      </w:pPr>
      <w:r w:rsidRPr="004B00DC">
        <w:rPr>
          <w:rFonts w:cs="Arial"/>
          <w:spacing w:val="15"/>
          <w:sz w:val="28"/>
          <w:szCs w:val="28"/>
        </w:rPr>
        <w:t>2。在本文中，我们提出了一种新的基于机器学习的云和雪检测和识别方法，以克服以往方法的局限性。我们没有使用人工生成的数据集，而是模拟了机器学习算法所需的训练数据集。与根据实际测量手工生成的训练数据相比，模拟训练数据具有以下优点:</w:t>
      </w:r>
      <w:r w:rsidRPr="004B00DC">
        <w:rPr>
          <w:rFonts w:cs="Arial"/>
          <w:spacing w:val="15"/>
          <w:sz w:val="28"/>
          <w:szCs w:val="28"/>
        </w:rPr>
        <w:br/>
        <w:t>•不需要人类识别数以百计、数百万像素的图像，大大节省了人力。</w:t>
      </w:r>
    </w:p>
    <w:p w:rsidR="004B00DC" w:rsidRDefault="00D25B82" w:rsidP="004B00DC">
      <w:pPr>
        <w:pStyle w:val="a3"/>
        <w:spacing w:before="0" w:beforeAutospacing="0" w:after="0" w:afterAutospacing="0" w:line="360" w:lineRule="auto"/>
        <w:rPr>
          <w:rFonts w:cs="Arial"/>
          <w:spacing w:val="15"/>
          <w:sz w:val="28"/>
          <w:szCs w:val="28"/>
        </w:rPr>
      </w:pPr>
      <w:r w:rsidRPr="004B00DC">
        <w:rPr>
          <w:rFonts w:cs="Arial"/>
          <w:spacing w:val="15"/>
          <w:sz w:val="28"/>
          <w:szCs w:val="28"/>
        </w:rPr>
        <w:t>•训练样本的数量可以与期望/需要的一样大，这可以帮助避免过拟合问题，并用于充分挖掘机器学习技术的潜力。</w:t>
      </w:r>
    </w:p>
    <w:p w:rsidR="004B00DC" w:rsidRDefault="00D25B82" w:rsidP="004B00DC">
      <w:pPr>
        <w:pStyle w:val="a3"/>
        <w:spacing w:before="0" w:beforeAutospacing="0" w:after="0" w:afterAutospacing="0" w:line="360" w:lineRule="auto"/>
        <w:rPr>
          <w:rFonts w:cs="Arial"/>
          <w:spacing w:val="15"/>
          <w:sz w:val="28"/>
          <w:szCs w:val="28"/>
        </w:rPr>
      </w:pPr>
      <w:r w:rsidRPr="004B00DC">
        <w:rPr>
          <w:rFonts w:cs="Arial"/>
          <w:spacing w:val="15"/>
          <w:sz w:val="28"/>
          <w:szCs w:val="28"/>
        </w:rPr>
        <w:t>•训练数据集可以覆盖所有可能的太阳/视图几何图形。</w:t>
      </w:r>
    </w:p>
    <w:p w:rsidR="00D25B82" w:rsidRPr="004B00DC" w:rsidRDefault="00D25B82" w:rsidP="004B00DC">
      <w:pPr>
        <w:pStyle w:val="a3"/>
        <w:spacing w:before="0" w:beforeAutospacing="0" w:after="0" w:afterAutospacing="0" w:line="360" w:lineRule="auto"/>
        <w:rPr>
          <w:rFonts w:cs="Arial"/>
          <w:spacing w:val="15"/>
          <w:sz w:val="28"/>
          <w:szCs w:val="28"/>
        </w:rPr>
      </w:pPr>
      <w:r w:rsidRPr="004B00DC">
        <w:rPr>
          <w:rFonts w:cs="Arial"/>
          <w:spacing w:val="15"/>
          <w:sz w:val="28"/>
          <w:szCs w:val="28"/>
        </w:rPr>
        <w:t>•该算法可以很容易地修改，以应用于不同的传感器;只需要新的训练数据集。</w:t>
      </w:r>
      <w:r w:rsidRPr="004B00DC">
        <w:rPr>
          <w:rFonts w:cs="Arial"/>
          <w:spacing w:val="15"/>
          <w:sz w:val="28"/>
          <w:szCs w:val="28"/>
        </w:rPr>
        <w:br/>
      </w:r>
      <w:r w:rsidRPr="004B00DC">
        <w:rPr>
          <w:rFonts w:cs="Arial"/>
          <w:spacing w:val="15"/>
          <w:sz w:val="28"/>
          <w:szCs w:val="28"/>
        </w:rPr>
        <w:lastRenderedPageBreak/>
        <w:t>为了创建这样的训练数据集，有必要考虑入射太阳辐射与不同类型的表面、气溶胶和云的相互作用。这一要求意味着使用全面的辐射传递模型是至关重要的。为了模拟复杂地表的反射率，我们构建了这样的模型;下一节将提供详细信息。2.1。辐射传输模拟</w:t>
      </w:r>
      <w:r w:rsidRPr="004B00DC">
        <w:rPr>
          <w:rFonts w:cs="Arial"/>
          <w:spacing w:val="15"/>
          <w:sz w:val="28"/>
          <w:szCs w:val="28"/>
        </w:rPr>
        <w:br/>
        <w:t>为了模拟卫星仪器接收到的光信号，我们需要求解与光在耦合的大气表面系统中传播相关的辐射传输方程(RTE)。通过求解以下RTE，得到波长λ处的散射辐射I(τ，θ，</w:t>
      </w:r>
      <w:r w:rsidRPr="004B00DC">
        <w:rPr>
          <w:rFonts w:ascii="Cambria" w:hAnsi="Cambria" w:cs="Cambria"/>
          <w:spacing w:val="15"/>
          <w:sz w:val="28"/>
          <w:szCs w:val="28"/>
        </w:rPr>
        <w:t>ϕ</w:t>
      </w:r>
      <w:r w:rsidRPr="004B00DC">
        <w:rPr>
          <w:rFonts w:cs="Arial"/>
          <w:spacing w:val="15"/>
          <w:sz w:val="28"/>
          <w:szCs w:val="28"/>
        </w:rPr>
        <w:t>):</w:t>
      </w:r>
    </w:p>
    <w:p w:rsidR="00D25B82" w:rsidRPr="004B00DC" w:rsidRDefault="00D25B82" w:rsidP="004B00DC">
      <w:pPr>
        <w:spacing w:line="360" w:lineRule="auto"/>
        <w:ind w:firstLineChars="200" w:firstLine="560"/>
        <w:jc w:val="left"/>
        <w:rPr>
          <w:rFonts w:ascii="宋体" w:eastAsia="宋体" w:hAnsi="宋体"/>
          <w:sz w:val="28"/>
          <w:szCs w:val="28"/>
        </w:rPr>
      </w:pPr>
      <w:r w:rsidRPr="004B00DC">
        <w:rPr>
          <w:rFonts w:ascii="宋体" w:eastAsia="宋体" w:hAnsi="宋体"/>
          <w:noProof/>
          <w:sz w:val="28"/>
          <w:szCs w:val="28"/>
        </w:rPr>
        <w:drawing>
          <wp:inline distT="0" distB="0" distL="0" distR="0" wp14:anchorId="47592FBF" wp14:editId="0C9398BD">
            <wp:extent cx="5120640" cy="1132151"/>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3801" cy="1150537"/>
                    </a:xfrm>
                    <a:prstGeom prst="rect">
                      <a:avLst/>
                    </a:prstGeom>
                  </pic:spPr>
                </pic:pic>
              </a:graphicData>
            </a:graphic>
          </wp:inline>
        </w:drawing>
      </w:r>
    </w:p>
    <w:p w:rsidR="00D25B82" w:rsidRPr="004B00DC" w:rsidRDefault="00D25B82"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这里,F0is事件top-of-the-atmosphere (TOA)太阳能辐照度(正常梁),而微分光学深度</w:t>
      </w:r>
      <w:proofErr w:type="spellStart"/>
      <w:r w:rsidRPr="004B00DC">
        <w:rPr>
          <w:rFonts w:ascii="宋体" w:eastAsia="宋体" w:hAnsi="宋体" w:cs="Arial"/>
          <w:spacing w:val="15"/>
          <w:sz w:val="28"/>
          <w:szCs w:val="28"/>
        </w:rPr>
        <w:t>dτ</w:t>
      </w:r>
      <w:proofErr w:type="spellEnd"/>
      <w:r w:rsidRPr="004B00DC">
        <w:rPr>
          <w:rFonts w:ascii="宋体" w:eastAsia="宋体" w:hAnsi="宋体" w:cs="Arial"/>
          <w:spacing w:val="15"/>
          <w:sz w:val="28"/>
          <w:szCs w:val="28"/>
        </w:rPr>
        <w:t>=</w:t>
      </w:r>
      <w:r w:rsidRPr="004B00DC">
        <w:rPr>
          <w:rFonts w:ascii="微软雅黑" w:eastAsia="微软雅黑" w:hAnsi="微软雅黑" w:cs="微软雅黑" w:hint="eastAsia"/>
          <w:spacing w:val="15"/>
          <w:sz w:val="28"/>
          <w:szCs w:val="28"/>
        </w:rPr>
        <w:t>−</w:t>
      </w:r>
      <w:r w:rsidRPr="004B00DC">
        <w:rPr>
          <w:rFonts w:ascii="宋体" w:eastAsia="宋体" w:hAnsi="宋体" w:cs="Arial"/>
          <w:spacing w:val="15"/>
          <w:sz w:val="28"/>
          <w:szCs w:val="28"/>
        </w:rPr>
        <w:t>(</w:t>
      </w:r>
      <w:r w:rsidRPr="004B00DC">
        <w:rPr>
          <w:rFonts w:ascii="宋体" w:eastAsia="宋体" w:hAnsi="宋体" w:cs="宋体" w:hint="eastAsia"/>
          <w:spacing w:val="15"/>
          <w:sz w:val="28"/>
          <w:szCs w:val="28"/>
        </w:rPr>
        <w:t>α</w:t>
      </w:r>
      <w:r w:rsidRPr="004B00DC">
        <w:rPr>
          <w:rFonts w:ascii="宋体" w:eastAsia="宋体" w:hAnsi="宋体" w:cs="Arial"/>
          <w:spacing w:val="15"/>
          <w:sz w:val="28"/>
          <w:szCs w:val="28"/>
        </w:rPr>
        <w:t>+</w:t>
      </w:r>
      <w:r w:rsidRPr="004B00DC">
        <w:rPr>
          <w:rFonts w:ascii="宋体" w:eastAsia="宋体" w:hAnsi="宋体" w:cs="宋体" w:hint="eastAsia"/>
          <w:spacing w:val="15"/>
          <w:sz w:val="28"/>
          <w:szCs w:val="28"/>
        </w:rPr>
        <w:t>β</w:t>
      </w:r>
      <w:r w:rsidRPr="004B00DC">
        <w:rPr>
          <w:rFonts w:ascii="宋体" w:eastAsia="宋体" w:hAnsi="宋体" w:cs="Arial"/>
          <w:spacing w:val="15"/>
          <w:sz w:val="28"/>
          <w:szCs w:val="28"/>
        </w:rPr>
        <w:t>)</w:t>
      </w:r>
      <w:proofErr w:type="spellStart"/>
      <w:r w:rsidRPr="004B00DC">
        <w:rPr>
          <w:rFonts w:ascii="宋体" w:eastAsia="宋体" w:hAnsi="宋体" w:cs="Arial"/>
          <w:spacing w:val="15"/>
          <w:sz w:val="28"/>
          <w:szCs w:val="28"/>
        </w:rPr>
        <w:t>dz</w:t>
      </w:r>
      <w:proofErr w:type="spellEnd"/>
      <w:r w:rsidRPr="004B00DC">
        <w:rPr>
          <w:rFonts w:ascii="宋体" w:eastAsia="宋体" w:hAnsi="宋体" w:cs="Arial"/>
          <w:spacing w:val="15"/>
          <w:sz w:val="28"/>
          <w:szCs w:val="28"/>
        </w:rPr>
        <w:t>,单一散射反照率</w:t>
      </w:r>
      <w:r w:rsidRPr="004B00DC">
        <w:rPr>
          <w:rFonts w:ascii="Cambria" w:eastAsia="宋体" w:hAnsi="Cambria" w:cs="Cambria"/>
          <w:spacing w:val="15"/>
          <w:sz w:val="28"/>
          <w:szCs w:val="28"/>
        </w:rPr>
        <w:t>ϖ</w:t>
      </w:r>
      <w:r w:rsidRPr="004B00DC">
        <w:rPr>
          <w:rFonts w:ascii="宋体" w:eastAsia="宋体" w:hAnsi="宋体" w:cs="Arial"/>
          <w:spacing w:val="15"/>
          <w:sz w:val="28"/>
          <w:szCs w:val="28"/>
        </w:rPr>
        <w:t>=β/(α+β)=β/γ,和散射相函数p(</w:t>
      </w:r>
      <w:proofErr w:type="spellStart"/>
      <w:r w:rsidRPr="004B00DC">
        <w:rPr>
          <w:rFonts w:ascii="宋体" w:eastAsia="宋体" w:hAnsi="宋体" w:cs="Arial"/>
          <w:spacing w:val="15"/>
          <w:sz w:val="28"/>
          <w:szCs w:val="28"/>
        </w:rPr>
        <w:t>τ,θ,</w:t>
      </w:r>
      <w:r w:rsidRPr="004B00DC">
        <w:rPr>
          <w:rFonts w:ascii="Cambria" w:eastAsia="宋体" w:hAnsi="Cambria" w:cs="Cambria"/>
          <w:spacing w:val="15"/>
          <w:sz w:val="28"/>
          <w:szCs w:val="28"/>
        </w:rPr>
        <w:t>ϕ</w:t>
      </w:r>
      <w:r w:rsidRPr="004B00DC">
        <w:rPr>
          <w:rFonts w:ascii="宋体" w:eastAsia="宋体" w:hAnsi="宋体" w:cs="Arial"/>
          <w:spacing w:val="15"/>
          <w:sz w:val="28"/>
          <w:szCs w:val="28"/>
        </w:rPr>
        <w:t>;θ,</w:t>
      </w:r>
      <w:r w:rsidRPr="004B00DC">
        <w:rPr>
          <w:rFonts w:ascii="Cambria" w:eastAsia="宋体" w:hAnsi="Cambria" w:cs="Cambria"/>
          <w:spacing w:val="15"/>
          <w:sz w:val="28"/>
          <w:szCs w:val="28"/>
        </w:rPr>
        <w:t>ϕ</w:t>
      </w:r>
      <w:proofErr w:type="spellEnd"/>
      <w:r w:rsidRPr="004B00DC">
        <w:rPr>
          <w:rFonts w:ascii="宋体" w:eastAsia="宋体" w:hAnsi="宋体" w:cs="Arial"/>
          <w:spacing w:val="15"/>
          <w:sz w:val="28"/>
          <w:szCs w:val="28"/>
        </w:rPr>
        <w:t>)的固有光学特性(IOPs)散射/吸收介质。注意，我们分别用希腊字母α， β和γ=α +β来表示吸收系数，散射系数和消光系数。θ0和</w:t>
      </w:r>
      <w:r w:rsidRPr="004B00DC">
        <w:rPr>
          <w:rFonts w:ascii="Cambria" w:eastAsia="宋体" w:hAnsi="Cambria" w:cs="Cambria"/>
          <w:spacing w:val="15"/>
          <w:sz w:val="28"/>
          <w:szCs w:val="28"/>
        </w:rPr>
        <w:t>ϕ</w:t>
      </w:r>
      <w:r w:rsidRPr="004B00DC">
        <w:rPr>
          <w:rFonts w:ascii="宋体" w:eastAsia="宋体" w:hAnsi="宋体" w:cs="Arial"/>
          <w:spacing w:val="15"/>
          <w:sz w:val="28"/>
          <w:szCs w:val="28"/>
        </w:rPr>
        <w:t>0代表太阳天顶角和方位角，μ0= cosθ0;θ '和</w:t>
      </w:r>
      <w:r w:rsidRPr="004B00DC">
        <w:rPr>
          <w:rFonts w:ascii="Cambria" w:eastAsia="宋体" w:hAnsi="Cambria" w:cs="Cambria"/>
          <w:spacing w:val="15"/>
          <w:sz w:val="28"/>
          <w:szCs w:val="28"/>
        </w:rPr>
        <w:t>ϕ</w:t>
      </w:r>
      <w:r w:rsidRPr="004B00DC">
        <w:rPr>
          <w:rFonts w:ascii="宋体" w:eastAsia="宋体" w:hAnsi="宋体" w:cs="Arial"/>
          <w:spacing w:val="15"/>
          <w:sz w:val="28"/>
          <w:szCs w:val="28"/>
        </w:rPr>
        <w:t xml:space="preserve"> '是散射事件前的传感器天顶角和方位角，θ和</w:t>
      </w:r>
      <w:r w:rsidRPr="004B00DC">
        <w:rPr>
          <w:rFonts w:ascii="Cambria" w:eastAsia="宋体" w:hAnsi="Cambria" w:cs="Cambria"/>
          <w:spacing w:val="15"/>
          <w:sz w:val="28"/>
          <w:szCs w:val="28"/>
        </w:rPr>
        <w:t>ϕ</w:t>
      </w:r>
      <w:r w:rsidRPr="004B00DC">
        <w:rPr>
          <w:rFonts w:ascii="宋体" w:eastAsia="宋体" w:hAnsi="宋体" w:cs="Arial"/>
          <w:spacing w:val="15"/>
          <w:sz w:val="28"/>
          <w:szCs w:val="28"/>
        </w:rPr>
        <w:t xml:space="preserve">是散射事件后的对应角，μ= </w:t>
      </w:r>
      <w:proofErr w:type="spellStart"/>
      <w:r w:rsidRPr="004B00DC">
        <w:rPr>
          <w:rFonts w:ascii="宋体" w:eastAsia="宋体" w:hAnsi="宋体" w:cs="Arial"/>
          <w:spacing w:val="15"/>
          <w:sz w:val="28"/>
          <w:szCs w:val="28"/>
        </w:rPr>
        <w:t>cosθ</w:t>
      </w:r>
      <w:proofErr w:type="spellEnd"/>
      <w:r w:rsidRPr="004B00DC">
        <w:rPr>
          <w:rFonts w:ascii="宋体" w:eastAsia="宋体" w:hAnsi="宋体" w:cs="Arial"/>
          <w:spacing w:val="15"/>
          <w:sz w:val="28"/>
          <w:szCs w:val="28"/>
        </w:rPr>
        <w:t>。在我们的训练数据集中，TOA双向反射系数(以下简称反射率)，定义为R(τ，θ，</w:t>
      </w:r>
      <w:r w:rsidRPr="004B00DC">
        <w:rPr>
          <w:rFonts w:ascii="Cambria" w:eastAsia="宋体" w:hAnsi="Cambria" w:cs="Cambria"/>
          <w:spacing w:val="15"/>
          <w:sz w:val="28"/>
          <w:szCs w:val="28"/>
        </w:rPr>
        <w:t>ϕ</w:t>
      </w:r>
      <w:r w:rsidRPr="004B00DC">
        <w:rPr>
          <w:rFonts w:ascii="宋体" w:eastAsia="宋体" w:hAnsi="宋体" w:cs="Arial"/>
          <w:spacing w:val="15"/>
          <w:sz w:val="28"/>
          <w:szCs w:val="28"/>
        </w:rPr>
        <w:t>) =πI(τ，θ，</w:t>
      </w:r>
      <w:r w:rsidRPr="004B00DC">
        <w:rPr>
          <w:rFonts w:ascii="Cambria" w:eastAsia="宋体" w:hAnsi="Cambria" w:cs="Cambria"/>
          <w:spacing w:val="15"/>
          <w:sz w:val="28"/>
          <w:szCs w:val="28"/>
        </w:rPr>
        <w:t>ϕ</w:t>
      </w:r>
      <w:r w:rsidRPr="004B00DC">
        <w:rPr>
          <w:rFonts w:ascii="宋体" w:eastAsia="宋体" w:hAnsi="宋体" w:cs="Arial"/>
          <w:spacing w:val="15"/>
          <w:sz w:val="28"/>
          <w:szCs w:val="28"/>
        </w:rPr>
        <w:t xml:space="preserve">)/F0 cosθ0，使用最新版本的畸变辐射传输模型(RTM) (DISORT 4.0, Lin et al.， </w:t>
      </w:r>
      <w:r w:rsidRPr="004B00DC">
        <w:rPr>
          <w:rFonts w:ascii="宋体" w:eastAsia="宋体" w:hAnsi="宋体" w:cs="Arial"/>
          <w:spacing w:val="15"/>
          <w:sz w:val="28"/>
          <w:szCs w:val="28"/>
        </w:rPr>
        <w:lastRenderedPageBreak/>
        <w:t xml:space="preserve">2015;stnes等，N. Chen等。R e m o t e S e n S </w:t>
      </w:r>
      <w:proofErr w:type="spellStart"/>
      <w:r w:rsidRPr="004B00DC">
        <w:rPr>
          <w:rFonts w:ascii="宋体" w:eastAsia="宋体" w:hAnsi="宋体" w:cs="Arial"/>
          <w:spacing w:val="15"/>
          <w:sz w:val="28"/>
          <w:szCs w:val="28"/>
        </w:rPr>
        <w:t>i</w:t>
      </w:r>
      <w:proofErr w:type="spellEnd"/>
      <w:r w:rsidRPr="004B00DC">
        <w:rPr>
          <w:rFonts w:ascii="宋体" w:eastAsia="宋体" w:hAnsi="宋体" w:cs="Arial"/>
          <w:spacing w:val="15"/>
          <w:sz w:val="28"/>
          <w:szCs w:val="28"/>
        </w:rPr>
        <w:t xml:space="preserve"> n g o f e n v </w:t>
      </w:r>
      <w:proofErr w:type="spellStart"/>
      <w:r w:rsidRPr="004B00DC">
        <w:rPr>
          <w:rFonts w:ascii="宋体" w:eastAsia="宋体" w:hAnsi="宋体" w:cs="Arial"/>
          <w:spacing w:val="15"/>
          <w:sz w:val="28"/>
          <w:szCs w:val="28"/>
        </w:rPr>
        <w:t>i</w:t>
      </w:r>
      <w:proofErr w:type="spellEnd"/>
      <w:r w:rsidRPr="004B00DC">
        <w:rPr>
          <w:rFonts w:ascii="宋体" w:eastAsia="宋体" w:hAnsi="宋体" w:cs="Arial"/>
          <w:spacing w:val="15"/>
          <w:sz w:val="28"/>
          <w:szCs w:val="28"/>
        </w:rPr>
        <w:t xml:space="preserve"> R o n m e n t 2 1 9(2 0 1 8) 6 2 - 7 1 6 1988 2017)采用副环带眼压方法由陈et al .(2017)在短波红外成像渠道提高准确性。</w:t>
      </w:r>
    </w:p>
    <w:p w:rsidR="00D25B82" w:rsidRPr="004B00DC" w:rsidRDefault="00D25B82" w:rsidP="004B00DC">
      <w:pPr>
        <w:spacing w:line="360" w:lineRule="auto"/>
        <w:ind w:firstLineChars="200" w:firstLine="620"/>
        <w:jc w:val="left"/>
        <w:rPr>
          <w:rFonts w:ascii="宋体" w:eastAsia="宋体" w:hAnsi="宋体" w:cs="Arial"/>
          <w:spacing w:val="15"/>
          <w:sz w:val="28"/>
          <w:szCs w:val="28"/>
        </w:rPr>
      </w:pPr>
    </w:p>
    <w:p w:rsidR="00D25B82" w:rsidRPr="004B00DC" w:rsidRDefault="00D25B82"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2.1.1。大气IOPs</w:t>
      </w:r>
    </w:p>
    <w:p w:rsidR="00D25B82" w:rsidRPr="004B00DC" w:rsidRDefault="00D25B82"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我们使用美国标准大气成分资料(安德森et al ., 1986)分为14层提供输入基于MODTRAN乐队模型(例如,看到</w:t>
      </w:r>
      <w:proofErr w:type="spellStart"/>
      <w:r w:rsidRPr="004B00DC">
        <w:rPr>
          <w:rFonts w:ascii="宋体" w:eastAsia="宋体" w:hAnsi="宋体" w:cs="Arial"/>
          <w:spacing w:val="15"/>
          <w:sz w:val="28"/>
          <w:szCs w:val="28"/>
        </w:rPr>
        <w:t>Stamnes</w:t>
      </w:r>
      <w:proofErr w:type="spellEnd"/>
      <w:r w:rsidRPr="004B00DC">
        <w:rPr>
          <w:rFonts w:ascii="宋体" w:eastAsia="宋体" w:hAnsi="宋体" w:cs="Arial"/>
          <w:spacing w:val="15"/>
          <w:sz w:val="28"/>
          <w:szCs w:val="28"/>
        </w:rPr>
        <w:t xml:space="preserve"> et al。(2017)详情]产生吸收系数和光学深度由于大气痕量气体包括水,二氧化碳,O3, C H4,二氧化氮。为了解决IOPs的垂直变化，需要分层，经验表明，14层就足够了。分子(瑞利)散射光学深度计算从瑞利散射截面(</w:t>
      </w:r>
      <w:proofErr w:type="spellStart"/>
      <w:r w:rsidRPr="004B00DC">
        <w:rPr>
          <w:rFonts w:ascii="宋体" w:eastAsia="宋体" w:hAnsi="宋体" w:cs="Arial"/>
          <w:spacing w:val="15"/>
          <w:sz w:val="28"/>
          <w:szCs w:val="28"/>
        </w:rPr>
        <w:t>Stamnes</w:t>
      </w:r>
      <w:proofErr w:type="spellEnd"/>
      <w:r w:rsidRPr="004B00DC">
        <w:rPr>
          <w:rFonts w:ascii="宋体" w:eastAsia="宋体" w:hAnsi="宋体" w:cs="Arial"/>
          <w:spacing w:val="15"/>
          <w:sz w:val="28"/>
          <w:szCs w:val="28"/>
        </w:rPr>
        <w:t>等人，2017)乘以空气的容重可从安德森等人(1986)。气溶胶的IOPs是由OPAC气溶胶模型的输出结果制成的(Hess, 1998)。假设液水云是由球形粒子的多分散组成的，IOPs是根据</w:t>
      </w:r>
      <w:proofErr w:type="spellStart"/>
      <w:r w:rsidRPr="004B00DC">
        <w:rPr>
          <w:rFonts w:ascii="宋体" w:eastAsia="宋体" w:hAnsi="宋体" w:cs="Arial"/>
          <w:spacing w:val="15"/>
          <w:sz w:val="28"/>
          <w:szCs w:val="28"/>
        </w:rPr>
        <w:t>MieDebye</w:t>
      </w:r>
      <w:proofErr w:type="spellEnd"/>
      <w:r w:rsidRPr="004B00DC">
        <w:rPr>
          <w:rFonts w:ascii="宋体" w:eastAsia="宋体" w:hAnsi="宋体" w:cs="Arial"/>
          <w:spacing w:val="15"/>
          <w:sz w:val="28"/>
          <w:szCs w:val="28"/>
        </w:rPr>
        <w:t>理论(</w:t>
      </w:r>
      <w:proofErr w:type="spellStart"/>
      <w:r w:rsidRPr="004B00DC">
        <w:rPr>
          <w:rFonts w:ascii="宋体" w:eastAsia="宋体" w:hAnsi="宋体" w:cs="Arial"/>
          <w:spacing w:val="15"/>
          <w:sz w:val="28"/>
          <w:szCs w:val="28"/>
        </w:rPr>
        <w:t>Mishchenko</w:t>
      </w:r>
      <w:proofErr w:type="spellEnd"/>
      <w:r w:rsidRPr="004B00DC">
        <w:rPr>
          <w:rFonts w:ascii="宋体" w:eastAsia="宋体" w:hAnsi="宋体" w:cs="Arial"/>
          <w:spacing w:val="15"/>
          <w:sz w:val="28"/>
          <w:szCs w:val="28"/>
        </w:rPr>
        <w:t>等人，2002年)</w:t>
      </w:r>
      <w:r w:rsidR="004B00DC">
        <w:rPr>
          <w:rFonts w:ascii="宋体" w:eastAsia="宋体" w:hAnsi="宋体" w:cs="Arial"/>
          <w:spacing w:val="15"/>
          <w:sz w:val="28"/>
          <w:szCs w:val="28"/>
        </w:rPr>
        <w:t>利</w:t>
      </w:r>
      <w:r w:rsidR="004B00DC">
        <w:rPr>
          <w:rFonts w:ascii="宋体" w:eastAsia="宋体" w:hAnsi="宋体" w:cs="Arial" w:hint="eastAsia"/>
          <w:spacing w:val="15"/>
          <w:sz w:val="28"/>
          <w:szCs w:val="28"/>
        </w:rPr>
        <w:t>用</w:t>
      </w:r>
      <w:bookmarkStart w:id="0" w:name="_GoBack"/>
      <w:bookmarkEnd w:id="0"/>
      <w:r w:rsidRPr="004B00DC">
        <w:rPr>
          <w:rFonts w:ascii="宋体" w:eastAsia="宋体" w:hAnsi="宋体" w:cs="Arial"/>
          <w:spacing w:val="15"/>
          <w:sz w:val="28"/>
          <w:szCs w:val="28"/>
        </w:rPr>
        <w:t>Segelstein(1981年)的水的折射率计算的。对于冰云，IOPs是从Baum等人(2011)的大体积散射和吸收模型中的“一般习惯混合”模型中得出的。假定云的厚度为2公里。对于液态水云，云</w:t>
      </w:r>
      <w:proofErr w:type="gramStart"/>
      <w:r w:rsidRPr="004B00DC">
        <w:rPr>
          <w:rFonts w:ascii="宋体" w:eastAsia="宋体" w:hAnsi="宋体" w:cs="Arial"/>
          <w:spacing w:val="15"/>
          <w:sz w:val="28"/>
          <w:szCs w:val="28"/>
        </w:rPr>
        <w:t>底高度</w:t>
      </w:r>
      <w:proofErr w:type="gramEnd"/>
      <w:r w:rsidRPr="004B00DC">
        <w:rPr>
          <w:rFonts w:ascii="宋体" w:eastAsia="宋体" w:hAnsi="宋体" w:cs="Arial"/>
          <w:spacing w:val="15"/>
          <w:sz w:val="28"/>
          <w:szCs w:val="28"/>
        </w:rPr>
        <w:t>假设为离地表2公里。对于冰云，假设云</w:t>
      </w:r>
      <w:proofErr w:type="gramStart"/>
      <w:r w:rsidRPr="004B00DC">
        <w:rPr>
          <w:rFonts w:ascii="宋体" w:eastAsia="宋体" w:hAnsi="宋体" w:cs="Arial"/>
          <w:spacing w:val="15"/>
          <w:sz w:val="28"/>
          <w:szCs w:val="28"/>
        </w:rPr>
        <w:t>底高度</w:t>
      </w:r>
      <w:proofErr w:type="gramEnd"/>
      <w:r w:rsidRPr="004B00DC">
        <w:rPr>
          <w:rFonts w:ascii="宋体" w:eastAsia="宋体" w:hAnsi="宋体" w:cs="Arial"/>
          <w:spacing w:val="15"/>
          <w:sz w:val="28"/>
          <w:szCs w:val="28"/>
        </w:rPr>
        <w:t>为8千米，而不考虑表面高度。</w:t>
      </w:r>
    </w:p>
    <w:p w:rsidR="00D25B82" w:rsidRPr="004B00DC" w:rsidRDefault="00D25B82" w:rsidP="004B00DC">
      <w:pPr>
        <w:spacing w:line="360" w:lineRule="auto"/>
        <w:ind w:firstLineChars="200" w:firstLine="620"/>
        <w:jc w:val="left"/>
        <w:rPr>
          <w:rFonts w:ascii="宋体" w:eastAsia="宋体" w:hAnsi="宋体" w:cs="Arial" w:hint="eastAsia"/>
          <w:spacing w:val="15"/>
          <w:sz w:val="28"/>
          <w:szCs w:val="28"/>
        </w:rPr>
      </w:pPr>
    </w:p>
    <w:p w:rsidR="00D25B82" w:rsidRPr="004B00DC" w:rsidRDefault="00D25B82"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lastRenderedPageBreak/>
        <w:t>2.1.2。表面IOPs</w:t>
      </w:r>
    </w:p>
    <w:p w:rsidR="00D25B82" w:rsidRPr="004B00DC" w:rsidRDefault="00D25B82"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为了模拟不同地表类型的TOA反射率，我们使用土壤-叶片-冠层(SLC)模型(</w:t>
      </w:r>
      <w:proofErr w:type="spellStart"/>
      <w:r w:rsidRPr="004B00DC">
        <w:rPr>
          <w:rFonts w:ascii="宋体" w:eastAsia="宋体" w:hAnsi="宋体" w:cs="Arial"/>
          <w:spacing w:val="15"/>
          <w:sz w:val="28"/>
          <w:szCs w:val="28"/>
        </w:rPr>
        <w:t>Verhoef</w:t>
      </w:r>
      <w:proofErr w:type="spellEnd"/>
      <w:r w:rsidRPr="004B00DC">
        <w:rPr>
          <w:rFonts w:ascii="宋体" w:eastAsia="宋体" w:hAnsi="宋体" w:cs="Arial"/>
          <w:spacing w:val="15"/>
          <w:sz w:val="28"/>
          <w:szCs w:val="28"/>
        </w:rPr>
        <w:t xml:space="preserve"> and Bach, 2007)结合我们的扭曲RTM。采用SLC模型输出的双向反射分布函数(BRDF)作为畸变的下边界条件。图1显示了SLC模型模拟的下垫面土壤类型为1(代表耕作土壤类型)的不同绿色和棕色植被在最低点方向的大气底部(BOA)反射率。通过改变叶面积指数(LAI)、棕色植被分数(fb)或土壤类型等参数，可以模拟不同类型绿/棕色植被以及裸土的反射率。雪颗粒假设为冰球，其折射率为Warren和Brandt(2008)的冰。一旦确定粒径分布，可以通过米-德</w:t>
      </w:r>
      <w:proofErr w:type="gramStart"/>
      <w:r w:rsidRPr="004B00DC">
        <w:rPr>
          <w:rFonts w:ascii="宋体" w:eastAsia="宋体" w:hAnsi="宋体" w:cs="Arial"/>
          <w:spacing w:val="15"/>
          <w:sz w:val="28"/>
          <w:szCs w:val="28"/>
        </w:rPr>
        <w:t>拜理论</w:t>
      </w:r>
      <w:proofErr w:type="gramEnd"/>
      <w:r w:rsidRPr="004B00DC">
        <w:rPr>
          <w:rFonts w:ascii="宋体" w:eastAsia="宋体" w:hAnsi="宋体" w:cs="Arial"/>
          <w:spacing w:val="15"/>
          <w:sz w:val="28"/>
          <w:szCs w:val="28"/>
        </w:rPr>
        <w:t>计算单色IOPs，或者通过有效雪粒粒径的参数化计算(</w:t>
      </w:r>
      <w:proofErr w:type="spellStart"/>
      <w:r w:rsidRPr="004B00DC">
        <w:rPr>
          <w:rFonts w:ascii="宋体" w:eastAsia="宋体" w:hAnsi="宋体" w:cs="Arial"/>
          <w:spacing w:val="15"/>
          <w:sz w:val="28"/>
          <w:szCs w:val="28"/>
        </w:rPr>
        <w:t>Stamnes</w:t>
      </w:r>
      <w:proofErr w:type="spellEnd"/>
      <w:r w:rsidRPr="004B00DC">
        <w:rPr>
          <w:rFonts w:ascii="宋体" w:eastAsia="宋体" w:hAnsi="宋体" w:cs="Arial"/>
          <w:spacing w:val="15"/>
          <w:sz w:val="28"/>
          <w:szCs w:val="28"/>
        </w:rPr>
        <w:t xml:space="preserve"> et al.， 2011)。</w:t>
      </w:r>
    </w:p>
    <w:p w:rsidR="00D25B82" w:rsidRPr="004B00DC" w:rsidRDefault="00423A11" w:rsidP="004B00DC">
      <w:pPr>
        <w:spacing w:line="360" w:lineRule="auto"/>
        <w:ind w:firstLineChars="200" w:firstLine="560"/>
        <w:jc w:val="left"/>
        <w:rPr>
          <w:rFonts w:ascii="宋体" w:eastAsia="宋体" w:hAnsi="宋体" w:cs="Arial"/>
          <w:spacing w:val="15"/>
          <w:sz w:val="28"/>
          <w:szCs w:val="28"/>
        </w:rPr>
      </w:pPr>
      <w:r w:rsidRPr="004B00DC">
        <w:rPr>
          <w:rFonts w:ascii="宋体" w:eastAsia="宋体" w:hAnsi="宋体"/>
          <w:noProof/>
          <w:sz w:val="28"/>
          <w:szCs w:val="28"/>
        </w:rPr>
        <w:drawing>
          <wp:inline distT="0" distB="0" distL="0" distR="0" wp14:anchorId="5EC0CE7E" wp14:editId="7C4D0CC5">
            <wp:extent cx="5274310" cy="2207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07260"/>
                    </a:xfrm>
                    <a:prstGeom prst="rect">
                      <a:avLst/>
                    </a:prstGeom>
                  </pic:spPr>
                </pic:pic>
              </a:graphicData>
            </a:graphic>
          </wp:inline>
        </w:drawing>
      </w:r>
    </w:p>
    <w:p w:rsidR="00D25B82" w:rsidRPr="004B00DC" w:rsidRDefault="00D25B82" w:rsidP="004B00DC">
      <w:pPr>
        <w:spacing w:line="360" w:lineRule="auto"/>
        <w:ind w:firstLineChars="200" w:firstLine="620"/>
        <w:jc w:val="left"/>
        <w:rPr>
          <w:rFonts w:ascii="宋体" w:eastAsia="宋体" w:hAnsi="宋体" w:cs="Arial"/>
          <w:spacing w:val="15"/>
          <w:sz w:val="28"/>
          <w:szCs w:val="28"/>
        </w:rPr>
      </w:pPr>
    </w:p>
    <w:p w:rsidR="00423A11" w:rsidRPr="004B00DC" w:rsidRDefault="00D25B82"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2.1.3。反射混合雪/植被土壤情况下和高海拔地区</w:t>
      </w:r>
    </w:p>
    <w:p w:rsidR="00D25B82" w:rsidRPr="004B00DC" w:rsidRDefault="00D25B82"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为了更好地处理部分积雪覆盖的情况下,我们采用以下线性混合规则的反射与雪分数像素,f:</w:t>
      </w:r>
    </w:p>
    <w:p w:rsidR="00423A11" w:rsidRPr="004B00DC" w:rsidRDefault="00423A11" w:rsidP="004B00DC">
      <w:pPr>
        <w:spacing w:line="360" w:lineRule="auto"/>
        <w:ind w:firstLineChars="200" w:firstLine="560"/>
        <w:jc w:val="left"/>
        <w:rPr>
          <w:rFonts w:ascii="宋体" w:eastAsia="宋体" w:hAnsi="宋体" w:cs="Arial" w:hint="eastAsia"/>
          <w:spacing w:val="15"/>
          <w:sz w:val="28"/>
          <w:szCs w:val="28"/>
        </w:rPr>
      </w:pPr>
      <w:r w:rsidRPr="004B00DC">
        <w:rPr>
          <w:rFonts w:ascii="宋体" w:eastAsia="宋体" w:hAnsi="宋体"/>
          <w:noProof/>
          <w:sz w:val="28"/>
          <w:szCs w:val="28"/>
        </w:rPr>
        <w:lastRenderedPageBreak/>
        <w:drawing>
          <wp:inline distT="0" distB="0" distL="0" distR="0" wp14:anchorId="5E3CCE7A" wp14:editId="2A3BF7CF">
            <wp:extent cx="1663786" cy="2286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3786" cy="228612"/>
                    </a:xfrm>
                    <a:prstGeom prst="rect">
                      <a:avLst/>
                    </a:prstGeom>
                  </pic:spPr>
                </pic:pic>
              </a:graphicData>
            </a:graphic>
          </wp:inline>
        </w:drawing>
      </w:r>
    </w:p>
    <w:p w:rsidR="00D25B82" w:rsidRPr="004B00DC" w:rsidRDefault="00423A11"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通过随机改变积雪系数f和雪/地参数，可以模拟各种雪混合植被/土壤情况下的TOA反射率。为了处理TOA反射率随地表高程的变化，我们假设地表高程在随机生成的0 ~ 1000 m高度处模拟TOA反射率。对于海拔非常高的雪区，如格陵兰岛和南极洲，我们在模拟中将地表海拔范围扩大到0至4000米。</w:t>
      </w:r>
    </w:p>
    <w:p w:rsidR="00423A11" w:rsidRPr="004B00DC" w:rsidRDefault="00423A11"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2.1.4。用于晴空和</w:t>
      </w:r>
      <w:proofErr w:type="gramStart"/>
      <w:r w:rsidRPr="004B00DC">
        <w:rPr>
          <w:rFonts w:ascii="宋体" w:eastAsia="宋体" w:hAnsi="宋体" w:cs="Arial"/>
          <w:spacing w:val="15"/>
          <w:sz w:val="28"/>
          <w:szCs w:val="28"/>
        </w:rPr>
        <w:t>多云情况</w:t>
      </w:r>
      <w:proofErr w:type="gramEnd"/>
      <w:r w:rsidRPr="004B00DC">
        <w:rPr>
          <w:rFonts w:ascii="宋体" w:eastAsia="宋体" w:hAnsi="宋体" w:cs="Arial"/>
          <w:spacing w:val="15"/>
          <w:sz w:val="28"/>
          <w:szCs w:val="28"/>
        </w:rPr>
        <w:t>下的反射率</w:t>
      </w:r>
    </w:p>
    <w:p w:rsidR="00423A11" w:rsidRPr="004B00DC" w:rsidRDefault="00423A11"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图2显示了我们在不同的云光学深度(COD)下不同地表类型的辐射传输模拟中获得的TOA反射率的例子。可以看出，多云的情况有不同的反射率，这取决于下垫面的类型。由于高度保守的性质云的散射力和近红外波长区域(单散射反照率接近1云粒子,例如看到杨et al ., 2013),大量的太阳辐射将达到适度的表面</w:t>
      </w:r>
      <w:proofErr w:type="gramStart"/>
      <w:r w:rsidRPr="004B00DC">
        <w:rPr>
          <w:rFonts w:ascii="宋体" w:eastAsia="宋体" w:hAnsi="宋体" w:cs="Arial"/>
          <w:spacing w:val="15"/>
          <w:sz w:val="28"/>
          <w:szCs w:val="28"/>
        </w:rPr>
        <w:t>甚至厚云</w:t>
      </w:r>
      <w:proofErr w:type="gramEnd"/>
      <w:r w:rsidRPr="004B00DC">
        <w:rPr>
          <w:rFonts w:ascii="宋体" w:eastAsia="宋体" w:hAnsi="宋体" w:cs="Arial"/>
          <w:spacing w:val="15"/>
          <w:sz w:val="28"/>
          <w:szCs w:val="28"/>
        </w:rPr>
        <w:t>(10)的光学深度和表面的反射信号将大大加剧TOA反射(看到小的例如第13章,2006)。因此，包含表面反射对于多云天空模拟是非常重要的。在最新的MODIS集合6</w:t>
      </w:r>
      <w:proofErr w:type="gramStart"/>
      <w:r w:rsidRPr="004B00DC">
        <w:rPr>
          <w:rFonts w:ascii="宋体" w:eastAsia="宋体" w:hAnsi="宋体" w:cs="Arial"/>
          <w:spacing w:val="15"/>
          <w:sz w:val="28"/>
          <w:szCs w:val="28"/>
        </w:rPr>
        <w:t>云产品</w:t>
      </w:r>
      <w:proofErr w:type="gramEnd"/>
      <w:r w:rsidRPr="004B00DC">
        <w:rPr>
          <w:rFonts w:ascii="宋体" w:eastAsia="宋体" w:hAnsi="宋体" w:cs="Arial"/>
          <w:spacing w:val="15"/>
          <w:sz w:val="28"/>
          <w:szCs w:val="28"/>
        </w:rPr>
        <w:t>(</w:t>
      </w:r>
      <w:proofErr w:type="spellStart"/>
      <w:r w:rsidRPr="004B00DC">
        <w:rPr>
          <w:rFonts w:ascii="宋体" w:eastAsia="宋体" w:hAnsi="宋体" w:cs="Arial"/>
          <w:spacing w:val="15"/>
          <w:sz w:val="28"/>
          <w:szCs w:val="28"/>
        </w:rPr>
        <w:t>Amarasinghe</w:t>
      </w:r>
      <w:proofErr w:type="spellEnd"/>
      <w:r w:rsidRPr="004B00DC">
        <w:rPr>
          <w:rFonts w:ascii="宋体" w:eastAsia="宋体" w:hAnsi="宋体" w:cs="Arial"/>
          <w:spacing w:val="15"/>
          <w:sz w:val="28"/>
          <w:szCs w:val="28"/>
        </w:rPr>
        <w:t xml:space="preserve"> et al.， 2017)中，一个基于Cox-</w:t>
      </w:r>
      <w:proofErr w:type="spellStart"/>
      <w:r w:rsidRPr="004B00DC">
        <w:rPr>
          <w:rFonts w:ascii="宋体" w:eastAsia="宋体" w:hAnsi="宋体" w:cs="Arial"/>
          <w:spacing w:val="15"/>
          <w:sz w:val="28"/>
          <w:szCs w:val="28"/>
        </w:rPr>
        <w:t>Munk</w:t>
      </w:r>
      <w:proofErr w:type="spellEnd"/>
      <w:r w:rsidRPr="004B00DC">
        <w:rPr>
          <w:rFonts w:ascii="宋体" w:eastAsia="宋体" w:hAnsi="宋体" w:cs="Arial"/>
          <w:spacing w:val="15"/>
          <w:sz w:val="28"/>
          <w:szCs w:val="28"/>
        </w:rPr>
        <w:t>的表面BRDF模型被用于解释来自海洋表面的重要贡献。在土地表面被认为作为传感器的反射,所以总反射率可以表述为一笔黑色表面的值加上一个代数修正项传感器的表面反照率成正比(见</w:t>
      </w:r>
      <w:proofErr w:type="spellStart"/>
      <w:r w:rsidRPr="004B00DC">
        <w:rPr>
          <w:rFonts w:ascii="宋体" w:eastAsia="宋体" w:hAnsi="宋体" w:cs="Arial"/>
          <w:spacing w:val="15"/>
          <w:sz w:val="28"/>
          <w:szCs w:val="28"/>
        </w:rPr>
        <w:t>Eq</w:t>
      </w:r>
      <w:proofErr w:type="spellEnd"/>
      <w:r w:rsidRPr="004B00DC">
        <w:rPr>
          <w:rFonts w:ascii="宋体" w:eastAsia="宋体" w:hAnsi="宋体" w:cs="Arial"/>
          <w:spacing w:val="15"/>
          <w:sz w:val="28"/>
          <w:szCs w:val="28"/>
        </w:rPr>
        <w:t>。(5)在编写et al ., 2017),这可能导致重大错误当底层表面非常的双向反射各向异性(如</w:t>
      </w:r>
      <w:r w:rsidRPr="004B00DC">
        <w:rPr>
          <w:rFonts w:ascii="宋体" w:eastAsia="宋体" w:hAnsi="宋体" w:cs="Arial"/>
          <w:spacing w:val="15"/>
          <w:sz w:val="28"/>
          <w:szCs w:val="28"/>
        </w:rPr>
        <w:lastRenderedPageBreak/>
        <w:t>雪)。在我们的辐射传输模拟数据集中，对植被、土壤和</w:t>
      </w:r>
      <w:proofErr w:type="gramStart"/>
      <w:r w:rsidRPr="004B00DC">
        <w:rPr>
          <w:rFonts w:ascii="宋体" w:eastAsia="宋体" w:hAnsi="宋体" w:cs="Arial"/>
          <w:spacing w:val="15"/>
          <w:sz w:val="28"/>
          <w:szCs w:val="28"/>
        </w:rPr>
        <w:t>雪进行</w:t>
      </w:r>
      <w:proofErr w:type="gramEnd"/>
      <w:r w:rsidRPr="004B00DC">
        <w:rPr>
          <w:rFonts w:ascii="宋体" w:eastAsia="宋体" w:hAnsi="宋体" w:cs="Arial"/>
          <w:spacing w:val="15"/>
          <w:sz w:val="28"/>
          <w:szCs w:val="28"/>
        </w:rPr>
        <w:t>了严格的地表BRDF处理，避免了从陆地表面假设朗伯反射的潜在问题。TOA反射率对表面反射率的依赖性也意味着我们需要覆盖图1中所示的尽可能多的表面类型。底部大气(BOA)光谱反射率在最低点方向作为LAI的函数，绿色植被(左)和棕色植被(右)。在这些模拟中，入射太阳天顶角被设置为30°。(对于本图例中颜色引用的解释，读者可参考本文的web版本。)</w:t>
      </w:r>
    </w:p>
    <w:p w:rsidR="00423A11" w:rsidRPr="004B00DC" w:rsidRDefault="00423A11" w:rsidP="004B00DC">
      <w:pPr>
        <w:spacing w:line="360" w:lineRule="auto"/>
        <w:ind w:firstLineChars="200" w:firstLine="620"/>
        <w:jc w:val="left"/>
        <w:rPr>
          <w:rFonts w:ascii="宋体" w:eastAsia="宋体" w:hAnsi="宋体" w:cs="Arial"/>
          <w:spacing w:val="15"/>
          <w:sz w:val="28"/>
          <w:szCs w:val="28"/>
        </w:rPr>
      </w:pPr>
    </w:p>
    <w:p w:rsidR="00423A11" w:rsidRPr="004B00DC" w:rsidRDefault="00423A11"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图2所示。模拟了不同晴空(COD = 0.0)和</w:t>
      </w:r>
      <w:proofErr w:type="gramStart"/>
      <w:r w:rsidRPr="004B00DC">
        <w:rPr>
          <w:rFonts w:ascii="宋体" w:eastAsia="宋体" w:hAnsi="宋体" w:cs="Arial"/>
          <w:spacing w:val="15"/>
          <w:sz w:val="28"/>
          <w:szCs w:val="28"/>
        </w:rPr>
        <w:t>多云情况</w:t>
      </w:r>
      <w:proofErr w:type="gramEnd"/>
      <w:r w:rsidRPr="004B00DC">
        <w:rPr>
          <w:rFonts w:ascii="宋体" w:eastAsia="宋体" w:hAnsi="宋体" w:cs="Arial"/>
          <w:spacing w:val="15"/>
          <w:sz w:val="28"/>
          <w:szCs w:val="28"/>
        </w:rPr>
        <w:t>(COD &gt; 0.0)下MODIS TOA光谱在最低点方向的反射率。地表类型有雪(左上)、土壤(右上)、绿色植被(左下)和棕色植被(右下)。在555 nm波长下，云光学深度分别为0.5、1.0、5.0和10.0。在这些模拟中，入射太阳天顶角被设置为30°。(对于本图例中颜色引用的解释，读者可参考本文的web版本。)</w:t>
      </w:r>
    </w:p>
    <w:p w:rsidR="00423A11" w:rsidRPr="004B00DC" w:rsidRDefault="00423A11" w:rsidP="004B00DC">
      <w:pPr>
        <w:spacing w:line="360" w:lineRule="auto"/>
        <w:ind w:firstLineChars="200" w:firstLine="620"/>
        <w:jc w:val="left"/>
        <w:rPr>
          <w:rFonts w:ascii="宋体" w:eastAsia="宋体" w:hAnsi="宋体" w:cs="Arial" w:hint="eastAsia"/>
          <w:spacing w:val="15"/>
          <w:sz w:val="28"/>
          <w:szCs w:val="28"/>
        </w:rPr>
      </w:pPr>
    </w:p>
    <w:p w:rsidR="00423A11" w:rsidRPr="004B00DC" w:rsidRDefault="00423A11" w:rsidP="004B00DC">
      <w:pPr>
        <w:spacing w:line="360" w:lineRule="auto"/>
        <w:ind w:firstLineChars="200" w:firstLine="560"/>
        <w:jc w:val="left"/>
        <w:rPr>
          <w:rFonts w:ascii="宋体" w:eastAsia="宋体" w:hAnsi="宋体"/>
          <w:noProof/>
          <w:sz w:val="28"/>
          <w:szCs w:val="28"/>
        </w:rPr>
      </w:pPr>
    </w:p>
    <w:p w:rsidR="00D25B82" w:rsidRPr="004B00DC" w:rsidRDefault="00423A11" w:rsidP="004B00DC">
      <w:pPr>
        <w:spacing w:line="360" w:lineRule="auto"/>
        <w:ind w:firstLineChars="200" w:firstLine="560"/>
        <w:jc w:val="left"/>
        <w:rPr>
          <w:rFonts w:ascii="宋体" w:eastAsia="宋体" w:hAnsi="宋体"/>
          <w:sz w:val="28"/>
          <w:szCs w:val="28"/>
        </w:rPr>
      </w:pPr>
      <w:r w:rsidRPr="004B00DC">
        <w:rPr>
          <w:rFonts w:ascii="宋体" w:eastAsia="宋体" w:hAnsi="宋体"/>
          <w:noProof/>
          <w:sz w:val="28"/>
          <w:szCs w:val="28"/>
        </w:rPr>
        <w:lastRenderedPageBreak/>
        <w:drawing>
          <wp:inline distT="0" distB="0" distL="0" distR="0" wp14:anchorId="66D3372B" wp14:editId="047FD9DA">
            <wp:extent cx="4724643" cy="36958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4643" cy="3695890"/>
                    </a:xfrm>
                    <a:prstGeom prst="rect">
                      <a:avLst/>
                    </a:prstGeom>
                  </pic:spPr>
                </pic:pic>
              </a:graphicData>
            </a:graphic>
          </wp:inline>
        </w:drawing>
      </w:r>
    </w:p>
    <w:p w:rsidR="00423A11" w:rsidRPr="004B00DC" w:rsidRDefault="00423A11" w:rsidP="004B00DC">
      <w:pPr>
        <w:spacing w:line="360" w:lineRule="auto"/>
        <w:ind w:firstLineChars="200" w:firstLine="560"/>
        <w:jc w:val="left"/>
        <w:rPr>
          <w:rFonts w:ascii="宋体" w:eastAsia="宋体" w:hAnsi="宋体"/>
          <w:sz w:val="28"/>
          <w:szCs w:val="28"/>
        </w:rPr>
      </w:pPr>
      <w:r w:rsidRPr="004B00DC">
        <w:rPr>
          <w:rFonts w:ascii="宋体" w:eastAsia="宋体" w:hAnsi="宋体"/>
          <w:noProof/>
          <w:sz w:val="28"/>
          <w:szCs w:val="28"/>
        </w:rPr>
        <w:drawing>
          <wp:inline distT="0" distB="0" distL="0" distR="0" wp14:anchorId="26CC49C2" wp14:editId="5B9694D3">
            <wp:extent cx="3289469" cy="4305521"/>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9469" cy="4305521"/>
                    </a:xfrm>
                    <a:prstGeom prst="rect">
                      <a:avLst/>
                    </a:prstGeom>
                  </pic:spPr>
                </pic:pic>
              </a:graphicData>
            </a:graphic>
          </wp:inline>
        </w:drawing>
      </w:r>
    </w:p>
    <w:p w:rsidR="00423A11" w:rsidRPr="004B00DC" w:rsidRDefault="00423A11"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建立一个可以代表大多数情况的综合数据集是可能的，这种多样性可能是对我们的机器学习方案的挑战。我们也可</w:t>
      </w:r>
      <w:r w:rsidRPr="004B00DC">
        <w:rPr>
          <w:rFonts w:ascii="宋体" w:eastAsia="宋体" w:hAnsi="宋体" w:cs="Arial"/>
          <w:spacing w:val="15"/>
          <w:sz w:val="28"/>
          <w:szCs w:val="28"/>
        </w:rPr>
        <w:lastRenderedPageBreak/>
        <w:t>以观察到，对于非常薄的云(云的光学深度&lt; 0.5)，反射率的变化与晴空情况相比通常是非常小的。这种情况表明，使用反射率通道进行云检测可能存在局限性，而且可能需要热红外通道来区分这些薄云与下表面。</w:t>
      </w:r>
    </w:p>
    <w:p w:rsidR="00423A11" w:rsidRPr="004B00DC" w:rsidRDefault="00423A11"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2.2。神经网络训练</w:t>
      </w:r>
      <w:r w:rsidRPr="004B00DC">
        <w:rPr>
          <w:rFonts w:ascii="宋体" w:eastAsia="宋体" w:hAnsi="宋体" w:cs="Arial"/>
          <w:spacing w:val="15"/>
          <w:sz w:val="28"/>
          <w:szCs w:val="28"/>
        </w:rPr>
        <w:br/>
        <w:t>我们基于机器学习算法的训练数据集由大量晴空和</w:t>
      </w:r>
      <w:proofErr w:type="gramStart"/>
      <w:r w:rsidRPr="004B00DC">
        <w:rPr>
          <w:rFonts w:ascii="宋体" w:eastAsia="宋体" w:hAnsi="宋体" w:cs="Arial"/>
          <w:spacing w:val="15"/>
          <w:sz w:val="28"/>
          <w:szCs w:val="28"/>
        </w:rPr>
        <w:t>多云情况</w:t>
      </w:r>
      <w:proofErr w:type="gramEnd"/>
      <w:r w:rsidRPr="004B00DC">
        <w:rPr>
          <w:rFonts w:ascii="宋体" w:eastAsia="宋体" w:hAnsi="宋体" w:cs="Arial"/>
          <w:spacing w:val="15"/>
          <w:sz w:val="28"/>
          <w:szCs w:val="28"/>
        </w:rPr>
        <w:t>组成，设计用于覆盖尽可能多的表面类型和太阳/观看几何图形，以充分表示在自然界中遇到的可能组合。大气和地表参数如气溶胶/云光学深度、叶面积指数(LAI),分数布朗植被(fb),和雪颗粒被认为是自由参数允许在现实的范围不同(见表1)。晴空条件下大量不同病例随机选择来代表各种各样的土壤、植被和气溶胶组合的训练数据集。同样，对于任何给定的表面和晴朗的天空条件，大量的水/冰云的光学深度被随机选择来模拟相应的反射率。通过这种方式获得的6个卫星通道(MODIS/Aqua为0.47、0.55、0.66、0.86、1.24、2.13 μ m)的模拟反射率，以及太阳天顶、观测天顶、相对方位角、地表高程作为算法的输入参数。</w:t>
      </w:r>
    </w:p>
    <w:p w:rsidR="00423A11" w:rsidRPr="004B00DC" w:rsidRDefault="00423A11"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通过这种方式，产生了超过2000万个样本，并用于训练二进制(cloudy/clear)神经网络分类器，使用一个简单的多层感知器方案，其中一个隐含层包含10个神经元。σ= 1/(1 + e</w:t>
      </w:r>
      <w:r w:rsidRPr="004B00DC">
        <w:rPr>
          <w:rFonts w:ascii="微软雅黑" w:eastAsia="微软雅黑" w:hAnsi="微软雅黑" w:cs="微软雅黑" w:hint="eastAsia"/>
          <w:spacing w:val="15"/>
          <w:sz w:val="28"/>
          <w:szCs w:val="28"/>
        </w:rPr>
        <w:t>−</w:t>
      </w:r>
      <w:r w:rsidRPr="004B00DC">
        <w:rPr>
          <w:rFonts w:ascii="宋体" w:eastAsia="宋体" w:hAnsi="宋体" w:cs="Arial"/>
          <w:spacing w:val="15"/>
          <w:sz w:val="28"/>
          <w:szCs w:val="28"/>
        </w:rPr>
        <w:t>z)作为各层的激活函数。我们对我们的数据集进行随机排列，然后将其分为两部分:75%的总病例</w:t>
      </w:r>
      <w:proofErr w:type="gramStart"/>
      <w:r w:rsidRPr="004B00DC">
        <w:rPr>
          <w:rFonts w:ascii="宋体" w:eastAsia="宋体" w:hAnsi="宋体" w:cs="Arial"/>
          <w:spacing w:val="15"/>
          <w:sz w:val="28"/>
          <w:szCs w:val="28"/>
        </w:rPr>
        <w:t>数用于</w:t>
      </w:r>
      <w:proofErr w:type="gramEnd"/>
      <w:r w:rsidRPr="004B00DC">
        <w:rPr>
          <w:rFonts w:ascii="宋体" w:eastAsia="宋体" w:hAnsi="宋体" w:cs="Arial"/>
          <w:spacing w:val="15"/>
          <w:sz w:val="28"/>
          <w:szCs w:val="28"/>
        </w:rPr>
        <w:t>训练，其余</w:t>
      </w:r>
      <w:r w:rsidRPr="004B00DC">
        <w:rPr>
          <w:rFonts w:ascii="宋体" w:eastAsia="宋体" w:hAnsi="宋体" w:cs="Arial"/>
          <w:spacing w:val="15"/>
          <w:sz w:val="28"/>
          <w:szCs w:val="28"/>
        </w:rPr>
        <w:lastRenderedPageBreak/>
        <w:t>25%用于验证。经过足够的迭代次数(通常是200次左右)，训练和验证数据集的精度通常在98.5%到99.2%之间，这意味着我们在避免过拟合的同时获得了足够的精度。经过训练的神经网络可以在不到2秒的时间内处理一幅MODIS图像(通常包含2030×1354 = 2.7 M像素)。</w:t>
      </w:r>
    </w:p>
    <w:p w:rsidR="00423A11" w:rsidRPr="004B00DC" w:rsidRDefault="00423A11" w:rsidP="004B00DC">
      <w:pPr>
        <w:spacing w:line="360" w:lineRule="auto"/>
        <w:ind w:firstLineChars="200" w:firstLine="620"/>
        <w:jc w:val="left"/>
        <w:rPr>
          <w:rFonts w:ascii="宋体" w:eastAsia="宋体" w:hAnsi="宋体" w:cs="Arial" w:hint="eastAsia"/>
          <w:spacing w:val="15"/>
          <w:sz w:val="28"/>
          <w:szCs w:val="28"/>
        </w:rPr>
      </w:pPr>
    </w:p>
    <w:p w:rsidR="00423A11" w:rsidRPr="004B00DC" w:rsidRDefault="00423A11"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表1列出了模拟的主要参数及其变化范围，图3给出了新型冰雪云罩(SCM)算法的流程图。</w:t>
      </w:r>
    </w:p>
    <w:p w:rsidR="00423A11" w:rsidRPr="004B00DC" w:rsidRDefault="00423A11" w:rsidP="004B00DC">
      <w:pPr>
        <w:spacing w:line="360" w:lineRule="auto"/>
        <w:ind w:firstLineChars="200" w:firstLine="560"/>
        <w:jc w:val="left"/>
        <w:rPr>
          <w:rFonts w:ascii="宋体" w:eastAsia="宋体" w:hAnsi="宋体"/>
          <w:sz w:val="28"/>
          <w:szCs w:val="28"/>
        </w:rPr>
      </w:pPr>
      <w:r w:rsidRPr="004B00DC">
        <w:rPr>
          <w:rFonts w:ascii="宋体" w:eastAsia="宋体" w:hAnsi="宋体"/>
          <w:noProof/>
          <w:sz w:val="28"/>
          <w:szCs w:val="28"/>
        </w:rPr>
        <w:drawing>
          <wp:inline distT="0" distB="0" distL="0" distR="0" wp14:anchorId="5141712F" wp14:editId="641A962A">
            <wp:extent cx="5274310" cy="53657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365750"/>
                    </a:xfrm>
                    <a:prstGeom prst="rect">
                      <a:avLst/>
                    </a:prstGeom>
                  </pic:spPr>
                </pic:pic>
              </a:graphicData>
            </a:graphic>
          </wp:inline>
        </w:drawing>
      </w:r>
    </w:p>
    <w:p w:rsidR="00A01FDB" w:rsidRPr="004B00DC" w:rsidRDefault="00A01FDB"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lastRenderedPageBreak/>
        <w:t xml:space="preserve">图4所示。MODIS图像的云掩模结果。从上到下:2015年7月9日格陵兰岛的Aqua MODIS图像;2008年1月18日，欧洲上空的Aqua MODIS图像;2003年1月24日东亚上空的Aqua MODIS图像;2009年9月26日摄于北非的Terra MODIS图像。利用0.65 </w:t>
      </w:r>
      <w:proofErr w:type="spellStart"/>
      <w:r w:rsidRPr="004B00DC">
        <w:rPr>
          <w:rFonts w:ascii="宋体" w:eastAsia="宋体" w:hAnsi="宋体" w:cs="Arial"/>
          <w:spacing w:val="15"/>
          <w:sz w:val="28"/>
          <w:szCs w:val="28"/>
        </w:rPr>
        <w:t>μm</w:t>
      </w:r>
      <w:proofErr w:type="spellEnd"/>
      <w:r w:rsidRPr="004B00DC">
        <w:rPr>
          <w:rFonts w:ascii="宋体" w:eastAsia="宋体" w:hAnsi="宋体" w:cs="Arial"/>
          <w:spacing w:val="15"/>
          <w:sz w:val="28"/>
          <w:szCs w:val="28"/>
        </w:rPr>
        <w:t xml:space="preserve">和2.13 </w:t>
      </w:r>
      <w:proofErr w:type="spellStart"/>
      <w:r w:rsidRPr="004B00DC">
        <w:rPr>
          <w:rFonts w:ascii="宋体" w:eastAsia="宋体" w:hAnsi="宋体" w:cs="Arial"/>
          <w:spacing w:val="15"/>
          <w:sz w:val="28"/>
          <w:szCs w:val="28"/>
        </w:rPr>
        <w:t>μm</w:t>
      </w:r>
      <w:proofErr w:type="spellEnd"/>
      <w:r w:rsidRPr="004B00DC">
        <w:rPr>
          <w:rFonts w:ascii="宋体" w:eastAsia="宋体" w:hAnsi="宋体" w:cs="Arial"/>
          <w:spacing w:val="15"/>
          <w:sz w:val="28"/>
          <w:szCs w:val="28"/>
        </w:rPr>
        <w:t xml:space="preserve"> r反射率和10.8 </w:t>
      </w:r>
      <w:proofErr w:type="spellStart"/>
      <w:r w:rsidRPr="004B00DC">
        <w:rPr>
          <w:rFonts w:ascii="宋体" w:eastAsia="宋体" w:hAnsi="宋体" w:cs="Arial"/>
          <w:spacing w:val="15"/>
          <w:sz w:val="28"/>
          <w:szCs w:val="28"/>
        </w:rPr>
        <w:t>μm</w:t>
      </w:r>
      <w:proofErr w:type="spellEnd"/>
      <w:r w:rsidRPr="004B00DC">
        <w:rPr>
          <w:rFonts w:ascii="宋体" w:eastAsia="宋体" w:hAnsi="宋体" w:cs="Arial"/>
          <w:spacing w:val="15"/>
          <w:sz w:val="28"/>
          <w:szCs w:val="28"/>
        </w:rPr>
        <w:t>亮度温度组成伪彩色RGB图像。多云的像素被标记为白色或灰色，晴空的陆地像素被标记为绿色，水域被标记为蓝色。水域上空的云没有标记。(对于本图例中颜色引用的解释，读者可参考本文的web版本。)</w:t>
      </w:r>
    </w:p>
    <w:p w:rsidR="00A01FDB" w:rsidRPr="004B00DC" w:rsidRDefault="00A01FDB"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3.结果和验证</w:t>
      </w:r>
    </w:p>
    <w:p w:rsidR="00A01FDB" w:rsidRPr="004B00DC" w:rsidRDefault="00A01FDB"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在本节中，我们将把训练好的神经网络分类器应用于MODIS</w:t>
      </w:r>
      <w:r w:rsidR="004B00DC">
        <w:rPr>
          <w:rFonts w:ascii="宋体" w:eastAsia="宋体" w:hAnsi="宋体" w:cs="Arial"/>
          <w:spacing w:val="15"/>
          <w:sz w:val="28"/>
          <w:szCs w:val="28"/>
        </w:rPr>
        <w:t>图像，并验证其在不同陆地区域的性能。我们首先测试</w:t>
      </w:r>
      <w:r w:rsidRPr="004B00DC">
        <w:rPr>
          <w:rFonts w:ascii="宋体" w:eastAsia="宋体" w:hAnsi="宋体" w:cs="Arial"/>
          <w:spacing w:val="15"/>
          <w:sz w:val="28"/>
          <w:szCs w:val="28"/>
        </w:rPr>
        <w:t>SCM，使用上述6通道配置，以模拟其在传感器上的性能，如GCOM-C(日本)上的第二代全球成像仪(SGLI)和Suomi国家极地轨道伙伴关系(Suomi NPP)气象卫星上的可见红外成像辐射计套件(VIIRS)。与MODIS相比，这些传感器缺少很多TIR波段，因此主要使用反射率波段实现的性能就显得尤为重要。然而，由于SGLI有两个热红外波段(11和12μ m)，我们也探索了采用与Wilson和</w:t>
      </w:r>
      <w:proofErr w:type="spellStart"/>
      <w:r w:rsidRPr="004B00DC">
        <w:rPr>
          <w:rFonts w:ascii="宋体" w:eastAsia="宋体" w:hAnsi="宋体" w:cs="Arial"/>
          <w:spacing w:val="15"/>
          <w:sz w:val="28"/>
          <w:szCs w:val="28"/>
        </w:rPr>
        <w:t>Oreopoulos</w:t>
      </w:r>
      <w:proofErr w:type="spellEnd"/>
      <w:r w:rsidRPr="004B00DC">
        <w:rPr>
          <w:rFonts w:ascii="宋体" w:eastAsia="宋体" w:hAnsi="宋体" w:cs="Arial"/>
          <w:spacing w:val="15"/>
          <w:sz w:val="28"/>
          <w:szCs w:val="28"/>
        </w:rPr>
        <w:t>(2013)使用的动态阈值分裂窗口测试类似的优势，以提高对薄卷云的敏感性。</w:t>
      </w:r>
    </w:p>
    <w:p w:rsidR="00A01FDB" w:rsidRPr="004B00DC" w:rsidRDefault="00A01FDB" w:rsidP="004B00DC">
      <w:pPr>
        <w:spacing w:line="360" w:lineRule="auto"/>
        <w:ind w:firstLineChars="200" w:firstLine="560"/>
        <w:jc w:val="left"/>
        <w:rPr>
          <w:rFonts w:ascii="宋体" w:eastAsia="宋体" w:hAnsi="宋体"/>
          <w:sz w:val="28"/>
          <w:szCs w:val="28"/>
        </w:rPr>
      </w:pPr>
      <w:r w:rsidRPr="004B00DC">
        <w:rPr>
          <w:rFonts w:ascii="宋体" w:eastAsia="宋体" w:hAnsi="宋体"/>
          <w:noProof/>
          <w:sz w:val="28"/>
          <w:szCs w:val="28"/>
        </w:rPr>
        <w:lastRenderedPageBreak/>
        <w:drawing>
          <wp:inline distT="0" distB="0" distL="0" distR="0" wp14:anchorId="4F502CC0" wp14:editId="41C03F52">
            <wp:extent cx="3359323" cy="3232316"/>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9323" cy="3232316"/>
                    </a:xfrm>
                    <a:prstGeom prst="rect">
                      <a:avLst/>
                    </a:prstGeom>
                  </pic:spPr>
                </pic:pic>
              </a:graphicData>
            </a:graphic>
          </wp:inline>
        </w:drawing>
      </w:r>
    </w:p>
    <w:p w:rsidR="00A01FDB" w:rsidRPr="004B00DC" w:rsidRDefault="00A01FDB"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3.1。中纬度地区的结果:与MODIS图像的比较</w:t>
      </w:r>
    </w:p>
    <w:p w:rsidR="00A01FDB" w:rsidRPr="004B00DC" w:rsidRDefault="00A01FDB"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图4给出了SCM生成的云检测结果的一些例子，并与MODIS云面具(MOD35 C6)采集</w:t>
      </w:r>
      <w:proofErr w:type="gramStart"/>
      <w:r w:rsidRPr="004B00DC">
        <w:rPr>
          <w:rFonts w:ascii="宋体" w:eastAsia="宋体" w:hAnsi="宋体" w:cs="Arial"/>
          <w:spacing w:val="15"/>
          <w:sz w:val="28"/>
          <w:szCs w:val="28"/>
        </w:rPr>
        <w:t>集</w:t>
      </w:r>
      <w:proofErr w:type="gramEnd"/>
      <w:r w:rsidRPr="004B00DC">
        <w:rPr>
          <w:rFonts w:ascii="宋体" w:eastAsia="宋体" w:hAnsi="宋体" w:cs="Arial"/>
          <w:spacing w:val="15"/>
          <w:sz w:val="28"/>
          <w:szCs w:val="28"/>
        </w:rPr>
        <w:t>6生成的类似结果进行了比较。MOD35探测到的</w:t>
      </w:r>
      <w:proofErr w:type="gramStart"/>
      <w:r w:rsidRPr="004B00DC">
        <w:rPr>
          <w:rFonts w:ascii="宋体" w:eastAsia="宋体" w:hAnsi="宋体" w:cs="Arial"/>
          <w:spacing w:val="15"/>
          <w:sz w:val="28"/>
          <w:szCs w:val="28"/>
        </w:rPr>
        <w:t>云显示</w:t>
      </w:r>
      <w:proofErr w:type="gramEnd"/>
      <w:r w:rsidRPr="004B00DC">
        <w:rPr>
          <w:rFonts w:ascii="宋体" w:eastAsia="宋体" w:hAnsi="宋体" w:cs="Arial"/>
          <w:spacing w:val="15"/>
          <w:sz w:val="28"/>
          <w:szCs w:val="28"/>
        </w:rPr>
        <w:t>为白色(肯定是多云)和灰色(可能是多云)。SCM算法的云检测是二进制的，这意味着只提供多云(显示为白色)和天空晴朗(显示为绿色)的陆地识别。图4中的伪彩色RGB图采用与Hutchison等人(2013)相同的配色方案(使用MODIS channel 1-6-32作为R-G-B)。在这个方案中，云通常看起来是白色的(温暖的低云)和黄色的(寒冷的冰云)，而被雪覆盖的区域通常看起来是粉红色的，因为它们的SWIR反射率相对较低。的比较,可以看到,在通用单片机和MOD35 C6 non-snow-covered土地区域有类似的云检测功能,包括植物的土地在欧洲和北非的撒哈拉沙漠(底部面板图。4)。这些比较表明,基于神经网络的SCM算法可以捕获各种土</w:t>
      </w:r>
      <w:r w:rsidRPr="004B00DC">
        <w:rPr>
          <w:rFonts w:ascii="宋体" w:eastAsia="宋体" w:hAnsi="宋体" w:cs="Arial"/>
          <w:spacing w:val="15"/>
          <w:sz w:val="28"/>
          <w:szCs w:val="28"/>
        </w:rPr>
        <w:lastRenderedPageBreak/>
        <w:t>地表面的光谱特征包括各种类型的植被以及明亮的沙漠地区和区分云。对于许多以前使用的云遮罩算法来说，这种识别通常是困难的。对于格陵兰高原</w:t>
      </w:r>
      <w:proofErr w:type="gramStart"/>
      <w:r w:rsidRPr="004B00DC">
        <w:rPr>
          <w:rFonts w:ascii="宋体" w:eastAsia="宋体" w:hAnsi="宋体" w:cs="Arial"/>
          <w:spacing w:val="15"/>
          <w:sz w:val="28"/>
          <w:szCs w:val="28"/>
        </w:rPr>
        <w:t>等纯雪覆盖</w:t>
      </w:r>
      <w:proofErr w:type="gramEnd"/>
      <w:r w:rsidRPr="004B00DC">
        <w:rPr>
          <w:rFonts w:ascii="宋体" w:eastAsia="宋体" w:hAnsi="宋体" w:cs="Arial"/>
          <w:spacing w:val="15"/>
          <w:sz w:val="28"/>
          <w:szCs w:val="28"/>
        </w:rPr>
        <w:t>地区，SCM和MOD35的性能也相似(图4顶部面板)，这意味着SCM采用的神经网络在高海拔雪覆盖地区表现良好。这两种算法在春季/秋季的性能下降可能是由于非常高的太阳天顶角(通常大于80°)和样本数量减少。然而，这种情况在中纬度地区的冰雪覆盖地区发生了变化。在图4中间的面板中，我们可以看到大量晴空雪像素(伪彩色RGB中的粉红色)被MOD35误分类为多云像素，而SCM提供了正确的识别。复杂的雪-草-土混合条件，给MOD35算法的阈值测试带来了相当大的困难，可以看出，错分类多发生在雪区边缘。</w:t>
      </w:r>
    </w:p>
    <w:p w:rsidR="00A01FDB" w:rsidRPr="004B00DC" w:rsidRDefault="00A01FDB" w:rsidP="004B00DC">
      <w:pPr>
        <w:spacing w:line="360" w:lineRule="auto"/>
        <w:ind w:firstLineChars="200" w:firstLine="620"/>
        <w:jc w:val="left"/>
        <w:rPr>
          <w:rFonts w:ascii="宋体" w:eastAsia="宋体" w:hAnsi="宋体" w:cs="Arial" w:hint="eastAsia"/>
          <w:spacing w:val="15"/>
          <w:sz w:val="28"/>
          <w:szCs w:val="28"/>
        </w:rPr>
      </w:pPr>
    </w:p>
    <w:p w:rsidR="00A01FDB" w:rsidRPr="004B00DC" w:rsidRDefault="00A01FDB"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3.2。使用CALIOP进行统计验证</w:t>
      </w:r>
    </w:p>
    <w:p w:rsidR="00A01FDB" w:rsidRPr="004B00DC" w:rsidRDefault="00A01FDB"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以往基于机器学习算法的</w:t>
      </w:r>
      <w:proofErr w:type="gramStart"/>
      <w:r w:rsidRPr="004B00DC">
        <w:rPr>
          <w:rFonts w:ascii="宋体" w:eastAsia="宋体" w:hAnsi="宋体" w:cs="Arial"/>
          <w:spacing w:val="15"/>
          <w:sz w:val="28"/>
          <w:szCs w:val="28"/>
        </w:rPr>
        <w:t>验证仅</w:t>
      </w:r>
      <w:proofErr w:type="gramEnd"/>
      <w:r w:rsidRPr="004B00DC">
        <w:rPr>
          <w:rFonts w:ascii="宋体" w:eastAsia="宋体" w:hAnsi="宋体" w:cs="Arial"/>
          <w:spacing w:val="15"/>
          <w:sz w:val="28"/>
          <w:szCs w:val="28"/>
        </w:rPr>
        <w:t>限于基于图像的统计，基于使用从不同地点和季节选择的人类识别图像作为基准。由于人类需要分类的像素量很大，综合评价云面具算法的有效性，很难实现所需的时空覆盖。垂直偏振云气溶胶激光雷达(CALIOP)是搭载在CALIPSO卫星上的一种激光雷达，可提供气溶胶和云的高分辨率垂直剖面。CALIOP的活动云检测方案结合成对的Aqua MODIS数据提供了目前可用的最可靠的云掩</w:t>
      </w:r>
      <w:proofErr w:type="gramStart"/>
      <w:r w:rsidRPr="004B00DC">
        <w:rPr>
          <w:rFonts w:ascii="宋体" w:eastAsia="宋体" w:hAnsi="宋体" w:cs="Arial"/>
          <w:spacing w:val="15"/>
          <w:sz w:val="28"/>
          <w:szCs w:val="28"/>
        </w:rPr>
        <w:t>膜结果</w:t>
      </w:r>
      <w:proofErr w:type="gramEnd"/>
      <w:r w:rsidRPr="004B00DC">
        <w:rPr>
          <w:rFonts w:ascii="宋体" w:eastAsia="宋体" w:hAnsi="宋体" w:cs="Arial"/>
          <w:spacing w:val="15"/>
          <w:sz w:val="28"/>
          <w:szCs w:val="28"/>
        </w:rPr>
        <w:t>评估。我们使用了配置CALIOP和Aqua MODIS测量</w:t>
      </w:r>
      <w:r w:rsidRPr="004B00DC">
        <w:rPr>
          <w:rFonts w:ascii="宋体" w:eastAsia="宋体" w:hAnsi="宋体" w:cs="Arial"/>
          <w:spacing w:val="15"/>
          <w:sz w:val="28"/>
          <w:szCs w:val="28"/>
        </w:rPr>
        <w:lastRenderedPageBreak/>
        <w:t>数据，使用CALIOP检测到的多云/晴朗条件进行比较，与我们在被雪覆盖的格陵兰高原上采用的方式类似。因此，以CALIOP 1 km云检测结果作为基准。研究人员使用了2008年东亚、欧洲、北美和格陵兰岛的全年数据集。这些MODIS图像覆盖的大致面积用图5中的绿框表示，每个站点大约使用2000张MODIS图像。与我们在Chen等人(2014)中所做的类似，我们计算并比较了SCM和MOD35 (Aqua MODIS数据的MYD35)的命中率(HR)和</w:t>
      </w:r>
      <w:proofErr w:type="spellStart"/>
      <w:r w:rsidRPr="004B00DC">
        <w:rPr>
          <w:rFonts w:ascii="宋体" w:eastAsia="宋体" w:hAnsi="宋体" w:cs="Arial"/>
          <w:spacing w:val="15"/>
          <w:sz w:val="28"/>
          <w:szCs w:val="28"/>
        </w:rPr>
        <w:t>hansen</w:t>
      </w:r>
      <w:proofErr w:type="spellEnd"/>
      <w:r w:rsidRPr="004B00DC">
        <w:rPr>
          <w:rFonts w:ascii="宋体" w:eastAsia="宋体" w:hAnsi="宋体" w:cs="Arial"/>
          <w:spacing w:val="15"/>
          <w:sz w:val="28"/>
          <w:szCs w:val="28"/>
        </w:rPr>
        <w:t xml:space="preserve"> - </w:t>
      </w:r>
      <w:proofErr w:type="spellStart"/>
      <w:r w:rsidRPr="004B00DC">
        <w:rPr>
          <w:rFonts w:ascii="宋体" w:eastAsia="宋体" w:hAnsi="宋体" w:cs="Arial"/>
          <w:spacing w:val="15"/>
          <w:sz w:val="28"/>
          <w:szCs w:val="28"/>
        </w:rPr>
        <w:t>kuiper</w:t>
      </w:r>
      <w:proofErr w:type="spellEnd"/>
      <w:r w:rsidRPr="004B00DC">
        <w:rPr>
          <w:rFonts w:ascii="宋体" w:eastAsia="宋体" w:hAnsi="宋体" w:cs="Arial"/>
          <w:spacing w:val="15"/>
          <w:sz w:val="28"/>
          <w:szCs w:val="28"/>
        </w:rPr>
        <w:t xml:space="preserve"> (True)技能得分(TSS)。人力资源和技术支持的定义为</w:t>
      </w:r>
      <w:r w:rsidRPr="004B00DC">
        <w:rPr>
          <w:rFonts w:ascii="宋体" w:eastAsia="宋体" w:hAnsi="宋体"/>
          <w:noProof/>
          <w:sz w:val="28"/>
          <w:szCs w:val="28"/>
        </w:rPr>
        <w:drawing>
          <wp:inline distT="0" distB="0" distL="0" distR="0" wp14:anchorId="53BB8CE6" wp14:editId="1B65330A">
            <wp:extent cx="3327571" cy="1009702"/>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7571" cy="1009702"/>
                    </a:xfrm>
                    <a:prstGeom prst="rect">
                      <a:avLst/>
                    </a:prstGeom>
                  </pic:spPr>
                </pic:pic>
              </a:graphicData>
            </a:graphic>
          </wp:inline>
        </w:drawing>
      </w:r>
    </w:p>
    <w:p w:rsidR="00A01FDB" w:rsidRPr="004B00DC" w:rsidRDefault="00A01FDB"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表2定义了</w:t>
      </w:r>
      <w:proofErr w:type="spellStart"/>
      <w:r w:rsidRPr="004B00DC">
        <w:rPr>
          <w:rFonts w:ascii="宋体" w:eastAsia="宋体" w:hAnsi="宋体" w:cs="Arial"/>
          <w:spacing w:val="15"/>
          <w:sz w:val="28"/>
          <w:szCs w:val="28"/>
        </w:rPr>
        <w:t>nld</w:t>
      </w:r>
      <w:proofErr w:type="spellEnd"/>
      <w:r w:rsidRPr="004B00DC">
        <w:rPr>
          <w:rFonts w:ascii="宋体" w:eastAsia="宋体" w:hAnsi="宋体" w:cs="Arial"/>
          <w:spacing w:val="15"/>
          <w:sz w:val="28"/>
          <w:szCs w:val="28"/>
        </w:rPr>
        <w:t>、hit、</w:t>
      </w:r>
      <w:proofErr w:type="spellStart"/>
      <w:r w:rsidRPr="004B00DC">
        <w:rPr>
          <w:rFonts w:ascii="宋体" w:eastAsia="宋体" w:hAnsi="宋体" w:cs="Arial"/>
          <w:spacing w:val="15"/>
          <w:sz w:val="28"/>
          <w:szCs w:val="28"/>
        </w:rPr>
        <w:t>Nclr</w:t>
      </w:r>
      <w:proofErr w:type="spellEnd"/>
      <w:r w:rsidRPr="004B00DC">
        <w:rPr>
          <w:rFonts w:ascii="宋体" w:eastAsia="宋体" w:hAnsi="宋体" w:cs="Arial"/>
          <w:spacing w:val="15"/>
          <w:sz w:val="28"/>
          <w:szCs w:val="28"/>
        </w:rPr>
        <w:t>、hit、</w:t>
      </w:r>
      <w:proofErr w:type="spellStart"/>
      <w:r w:rsidRPr="004B00DC">
        <w:rPr>
          <w:rFonts w:ascii="宋体" w:eastAsia="宋体" w:hAnsi="宋体" w:cs="Arial"/>
          <w:spacing w:val="15"/>
          <w:sz w:val="28"/>
          <w:szCs w:val="28"/>
        </w:rPr>
        <w:t>Nclr</w:t>
      </w:r>
      <w:proofErr w:type="spellEnd"/>
      <w:r w:rsidRPr="004B00DC">
        <w:rPr>
          <w:rFonts w:ascii="宋体" w:eastAsia="宋体" w:hAnsi="宋体" w:cs="Arial"/>
          <w:spacing w:val="15"/>
          <w:sz w:val="28"/>
          <w:szCs w:val="28"/>
        </w:rPr>
        <w:t>、miss和</w:t>
      </w:r>
      <w:proofErr w:type="spellStart"/>
      <w:r w:rsidRPr="004B00DC">
        <w:rPr>
          <w:rFonts w:ascii="宋体" w:eastAsia="宋体" w:hAnsi="宋体" w:cs="Arial"/>
          <w:spacing w:val="15"/>
          <w:sz w:val="28"/>
          <w:szCs w:val="28"/>
        </w:rPr>
        <w:t>nld</w:t>
      </w:r>
      <w:proofErr w:type="spellEnd"/>
      <w:r w:rsidRPr="004B00DC">
        <w:rPr>
          <w:rFonts w:ascii="宋体" w:eastAsia="宋体" w:hAnsi="宋体" w:cs="Arial"/>
          <w:spacing w:val="15"/>
          <w:sz w:val="28"/>
          <w:szCs w:val="28"/>
        </w:rPr>
        <w:t>、miss。图6和表3为SCM和MOD35的CALIOP验证结果。我们将图6中仅标注为“SCM (NN + only)”的神经网络得到的结果纳入其中。总的来说，SCM中的神经网络测试在无雪覆盖地区执行一致，达到约80%的HR和65%的TSS。加入热红外测试可以使HR和TSS提高5% ~ 7%，但性能略低于MOD35。这些结果表明，在非积雪覆盖地区的SCM有一定的改进空间，使用热红外波段范围内的额外测试可以显著改善薄云的识别，这是难以识别的反射基础方法。在冰雪覆盖的格陵兰高原地区，两种算法的表现非常接近，SCM (NN + BT)在夏季略有优</w:t>
      </w:r>
      <w:r w:rsidRPr="004B00DC">
        <w:rPr>
          <w:rFonts w:ascii="宋体" w:eastAsia="宋体" w:hAnsi="宋体" w:cs="Arial"/>
          <w:spacing w:val="15"/>
          <w:sz w:val="28"/>
          <w:szCs w:val="28"/>
        </w:rPr>
        <w:lastRenderedPageBreak/>
        <w:t>势。加入热红外测试的优势相对较小，可能是由于使用了保守的阈值。结果表明，仅使用两个通道(10.8和12μ m)是不够的，可能需要更多的热红外通道(如3.7 μ m)来进一步改善结果。冬季月份HR和TSS的下降可能与样本量的减少和太阳天顶角的增大有关。最大的差异再次出现在冬季的中纬度地区，那里的</w:t>
      </w:r>
      <w:proofErr w:type="gramStart"/>
      <w:r w:rsidRPr="004B00DC">
        <w:rPr>
          <w:rFonts w:ascii="宋体" w:eastAsia="宋体" w:hAnsi="宋体" w:cs="Arial"/>
          <w:spacing w:val="15"/>
          <w:sz w:val="28"/>
          <w:szCs w:val="28"/>
        </w:rPr>
        <w:t>雪经常</w:t>
      </w:r>
      <w:proofErr w:type="gramEnd"/>
      <w:r w:rsidRPr="004B00DC">
        <w:rPr>
          <w:rFonts w:ascii="宋体" w:eastAsia="宋体" w:hAnsi="宋体" w:cs="Arial"/>
          <w:spacing w:val="15"/>
          <w:sz w:val="28"/>
          <w:szCs w:val="28"/>
        </w:rPr>
        <w:t>与植被和土壤混合。MOD35的TSS得分由于晴空情况</w:t>
      </w:r>
      <w:proofErr w:type="gramStart"/>
      <w:r w:rsidRPr="004B00DC">
        <w:rPr>
          <w:rFonts w:ascii="宋体" w:eastAsia="宋体" w:hAnsi="宋体" w:cs="Arial"/>
          <w:spacing w:val="15"/>
          <w:sz w:val="28"/>
          <w:szCs w:val="28"/>
        </w:rPr>
        <w:t>下较高</w:t>
      </w:r>
      <w:proofErr w:type="gramEnd"/>
      <w:r w:rsidRPr="004B00DC">
        <w:rPr>
          <w:rFonts w:ascii="宋体" w:eastAsia="宋体" w:hAnsi="宋体" w:cs="Arial"/>
          <w:spacing w:val="15"/>
          <w:sz w:val="28"/>
          <w:szCs w:val="28"/>
        </w:rPr>
        <w:t>的错误分类率而显著下降，这与我们基于图像的测试结果一致，表明MOD35处理复杂的雪混合植被/土壤场景有困难。需要注意的是，与SCM相比，MOD35有时具有较高的HR，但较低的TSS(例如在北美的1月份)。这种行为是由于人力资源的偏见,因为通常比晴空多云的情况下在我们的统计样本,和更全面的TSS捕获的增加,小姐,导致错误分类的阴天情况下的晴空MYD35 SCM在冬季的几个月相比,见表3。</w:t>
      </w:r>
    </w:p>
    <w:p w:rsidR="00A01FDB" w:rsidRPr="004B00DC" w:rsidRDefault="00A01FDB" w:rsidP="004B00DC">
      <w:pPr>
        <w:spacing w:line="360" w:lineRule="auto"/>
        <w:ind w:firstLineChars="200" w:firstLine="560"/>
        <w:jc w:val="left"/>
        <w:rPr>
          <w:rFonts w:ascii="宋体" w:eastAsia="宋体" w:hAnsi="宋体"/>
          <w:sz w:val="28"/>
          <w:szCs w:val="28"/>
        </w:rPr>
      </w:pPr>
      <w:r w:rsidRPr="004B00DC">
        <w:rPr>
          <w:rFonts w:ascii="宋体" w:eastAsia="宋体" w:hAnsi="宋体"/>
          <w:noProof/>
          <w:sz w:val="28"/>
          <w:szCs w:val="28"/>
        </w:rPr>
        <w:lastRenderedPageBreak/>
        <w:drawing>
          <wp:inline distT="0" distB="0" distL="0" distR="0" wp14:anchorId="31C876C8" wp14:editId="71156F92">
            <wp:extent cx="4806950" cy="6050942"/>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9763"/>
                    <a:stretch/>
                  </pic:blipFill>
                  <pic:spPr bwMode="auto">
                    <a:xfrm>
                      <a:off x="0" y="0"/>
                      <a:ext cx="4807197" cy="6051253"/>
                    </a:xfrm>
                    <a:prstGeom prst="rect">
                      <a:avLst/>
                    </a:prstGeom>
                    <a:ln>
                      <a:noFill/>
                    </a:ln>
                    <a:extLst>
                      <a:ext uri="{53640926-AAD7-44D8-BBD7-CCE9431645EC}">
                        <a14:shadowObscured xmlns:a14="http://schemas.microsoft.com/office/drawing/2010/main"/>
                      </a:ext>
                    </a:extLst>
                  </pic:spPr>
                </pic:pic>
              </a:graphicData>
            </a:graphic>
          </wp:inline>
        </w:drawing>
      </w:r>
    </w:p>
    <w:p w:rsidR="00A01FDB" w:rsidRPr="004B00DC" w:rsidRDefault="00A01FDB"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图6所示。2008年我们的云面具算法(SCM)和MYD35在格陵兰岛、欧洲、东亚和北美的命中率(左)和</w:t>
      </w:r>
      <w:proofErr w:type="spellStart"/>
      <w:r w:rsidRPr="004B00DC">
        <w:rPr>
          <w:rFonts w:ascii="宋体" w:eastAsia="宋体" w:hAnsi="宋体" w:cs="Arial"/>
          <w:spacing w:val="15"/>
          <w:sz w:val="28"/>
          <w:szCs w:val="28"/>
        </w:rPr>
        <w:t>hansen</w:t>
      </w:r>
      <w:proofErr w:type="spellEnd"/>
      <w:r w:rsidRPr="004B00DC">
        <w:rPr>
          <w:rFonts w:ascii="宋体" w:eastAsia="宋体" w:hAnsi="宋体" w:cs="Arial"/>
          <w:spacing w:val="15"/>
          <w:sz w:val="28"/>
          <w:szCs w:val="28"/>
        </w:rPr>
        <w:t xml:space="preserve"> Kuiper技能得分(右)。</w:t>
      </w:r>
    </w:p>
    <w:p w:rsidR="00A01FDB" w:rsidRPr="004B00DC" w:rsidRDefault="00A01FDB" w:rsidP="004B00DC">
      <w:pPr>
        <w:spacing w:line="360" w:lineRule="auto"/>
        <w:ind w:firstLineChars="200" w:firstLine="620"/>
        <w:jc w:val="left"/>
        <w:rPr>
          <w:rFonts w:ascii="宋体" w:eastAsia="宋体" w:hAnsi="宋体" w:cs="Arial"/>
          <w:spacing w:val="15"/>
          <w:sz w:val="28"/>
          <w:szCs w:val="28"/>
        </w:rPr>
      </w:pPr>
    </w:p>
    <w:p w:rsidR="00A01FDB" w:rsidRPr="004B00DC" w:rsidRDefault="00A01FDB"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3.3。3通道配置的性能，如AVHRR-3传感器</w:t>
      </w:r>
    </w:p>
    <w:p w:rsidR="00A01FDB" w:rsidRPr="004B00DC" w:rsidRDefault="00A01FDB"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最后，我们测试了一个特殊的配置，以研究单片机应用于其他传感器的灵活性。因此，我们没有使用上述6个MODIS</w:t>
      </w:r>
      <w:r w:rsidRPr="004B00DC">
        <w:rPr>
          <w:rFonts w:ascii="宋体" w:eastAsia="宋体" w:hAnsi="宋体" w:cs="Arial"/>
          <w:spacing w:val="15"/>
          <w:sz w:val="28"/>
          <w:szCs w:val="28"/>
        </w:rPr>
        <w:lastRenderedPageBreak/>
        <w:t>反射率通道，而是尝试了3通道配置(0.47、0.66、2.13 μ m)来训练我们的算法，以模拟其在AVHRR-3等传统传感器上的应用。从图7可以看出，与6通道配置相比，这种3通道配置可以提供一致的性能，尽管性能稍差。这3个通道在中纬度地区冬季的结果仍然优于MOD35。使用模拟数据进行训练，使我们能够在卫星发射前评估基于机器学习技术的算法的性能，并探索用于遮蔽云的最有效的卫星通道组合。</w:t>
      </w:r>
    </w:p>
    <w:p w:rsidR="009340BD" w:rsidRPr="004B00DC" w:rsidRDefault="009340BD" w:rsidP="004B00DC">
      <w:pPr>
        <w:spacing w:line="360" w:lineRule="auto"/>
        <w:ind w:firstLineChars="200" w:firstLine="620"/>
        <w:jc w:val="left"/>
        <w:rPr>
          <w:rFonts w:ascii="宋体" w:eastAsia="宋体" w:hAnsi="宋体" w:cs="Arial"/>
          <w:spacing w:val="15"/>
          <w:sz w:val="28"/>
          <w:szCs w:val="28"/>
        </w:rPr>
      </w:pPr>
    </w:p>
    <w:p w:rsidR="009340BD" w:rsidRPr="004B00DC" w:rsidRDefault="009340BD"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4. 讨论</w:t>
      </w:r>
    </w:p>
    <w:p w:rsidR="009340BD" w:rsidRPr="004B00DC" w:rsidRDefault="009340BD" w:rsidP="004B00DC">
      <w:pPr>
        <w:spacing w:line="360" w:lineRule="auto"/>
        <w:ind w:firstLineChars="200" w:firstLine="620"/>
        <w:jc w:val="left"/>
        <w:rPr>
          <w:rFonts w:ascii="宋体" w:eastAsia="宋体" w:hAnsi="宋体"/>
          <w:noProof/>
          <w:sz w:val="28"/>
          <w:szCs w:val="28"/>
        </w:rPr>
      </w:pPr>
      <w:r w:rsidRPr="004B00DC">
        <w:rPr>
          <w:rFonts w:ascii="宋体" w:eastAsia="宋体" w:hAnsi="宋体" w:cs="Arial"/>
          <w:spacing w:val="15"/>
          <w:sz w:val="28"/>
          <w:szCs w:val="28"/>
        </w:rPr>
        <w:t>上面描述的SCM云筛选工具是我们第一次尝试使用一种基于综合辐射传输模拟和机器学习相结合的云筛选方案。根据我们迄今在此方法方面获得的经验，我们认为该方法有许多方面可以改进。这些包括:</w:t>
      </w:r>
    </w:p>
    <w:p w:rsidR="009340BD" w:rsidRPr="004B00DC" w:rsidRDefault="009340BD" w:rsidP="004B00DC">
      <w:pPr>
        <w:pStyle w:val="a4"/>
        <w:numPr>
          <w:ilvl w:val="0"/>
          <w:numId w:val="2"/>
        </w:numPr>
        <w:spacing w:line="360" w:lineRule="auto"/>
        <w:ind w:firstLine="620"/>
        <w:jc w:val="left"/>
        <w:rPr>
          <w:rFonts w:ascii="宋体" w:eastAsia="宋体" w:hAnsi="宋体"/>
          <w:noProof/>
          <w:sz w:val="28"/>
          <w:szCs w:val="28"/>
        </w:rPr>
      </w:pPr>
      <w:r w:rsidRPr="004B00DC">
        <w:rPr>
          <w:rFonts w:ascii="宋体" w:eastAsia="宋体" w:hAnsi="宋体" w:cs="Arial"/>
          <w:spacing w:val="15"/>
          <w:sz w:val="28"/>
          <w:szCs w:val="28"/>
        </w:rPr>
        <w:t>根据当地大气和地面条件构建局部晴空模拟训练数据集。使用固定的大气成分剖面以及随机生成的表面属性(土壤类型、绿棕植被比)模拟当前训练数据集。因此，在本文中，我们描述了该方法的一般应用，使用一组通用的大气和地表参数来证明其在全球尺度上的有用性。在进一步的应用中，如果这些参数对于感兴趣的区域是已知的，则完全有可能构建一个使用本地表面参数(土壤类型、植被类型)的训练数据集。引入相对湿度和气压等参数，也有助于改善晴空模拟的动态范围。对于一年中给定时间的</w:t>
      </w:r>
      <w:r w:rsidRPr="004B00DC">
        <w:rPr>
          <w:rFonts w:ascii="宋体" w:eastAsia="宋体" w:hAnsi="宋体" w:cs="Arial"/>
          <w:spacing w:val="15"/>
          <w:sz w:val="28"/>
          <w:szCs w:val="28"/>
        </w:rPr>
        <w:lastRenderedPageBreak/>
        <w:t>给定位置的应用，可以模拟一个高精度晴空辐射范围，以提高辨别能力</w:t>
      </w:r>
    </w:p>
    <w:p w:rsidR="009340BD" w:rsidRPr="004B00DC" w:rsidRDefault="009340BD" w:rsidP="004B00DC">
      <w:pPr>
        <w:pStyle w:val="a4"/>
        <w:numPr>
          <w:ilvl w:val="0"/>
          <w:numId w:val="2"/>
        </w:numPr>
        <w:spacing w:line="360" w:lineRule="auto"/>
        <w:ind w:firstLine="620"/>
        <w:jc w:val="left"/>
        <w:rPr>
          <w:rFonts w:ascii="宋体" w:eastAsia="宋体" w:hAnsi="宋体"/>
          <w:noProof/>
          <w:sz w:val="28"/>
          <w:szCs w:val="28"/>
        </w:rPr>
      </w:pPr>
      <w:r w:rsidRPr="004B00DC">
        <w:rPr>
          <w:rFonts w:ascii="宋体" w:eastAsia="宋体" w:hAnsi="宋体" w:cs="Arial"/>
          <w:spacing w:val="15"/>
          <w:sz w:val="28"/>
          <w:szCs w:val="28"/>
        </w:rPr>
        <w:t>构建一个更真实的云天模拟训练数据集。在当前的模拟数据集中，为了简单起见，我们使用了一个固定的云高度(液态水云高于地表2.0公里，冰云高于地表8.0公里)。在未来的实现中，云的级别和属性可以变得更加灵活，以改善对多云/晴朗天空的判断。模拟数据集与人类识别数据集的结合使用也将是一个有趣的研究方向。</w:t>
      </w:r>
    </w:p>
    <w:p w:rsidR="009340BD" w:rsidRPr="004B00DC" w:rsidRDefault="009340BD" w:rsidP="004B00DC">
      <w:pPr>
        <w:pStyle w:val="a4"/>
        <w:numPr>
          <w:ilvl w:val="0"/>
          <w:numId w:val="2"/>
        </w:numPr>
        <w:spacing w:line="360" w:lineRule="auto"/>
        <w:ind w:firstLine="620"/>
        <w:jc w:val="left"/>
        <w:rPr>
          <w:rFonts w:ascii="宋体" w:eastAsia="宋体" w:hAnsi="宋体"/>
          <w:noProof/>
          <w:sz w:val="28"/>
          <w:szCs w:val="28"/>
        </w:rPr>
      </w:pPr>
      <w:r w:rsidRPr="004B00DC">
        <w:rPr>
          <w:rFonts w:ascii="宋体" w:eastAsia="宋体" w:hAnsi="宋体" w:cs="Arial"/>
          <w:spacing w:val="15"/>
          <w:sz w:val="28"/>
          <w:szCs w:val="28"/>
        </w:rPr>
        <w:t>在模拟中增加额外的热红外通道。目前我们还没有对热红外通道进行模拟。这样的模拟将涉及各种不同的云的性质以及不同的表面发射率。红外热通道的使用不仅有助于提高对光学薄云的检测，而且将我们的方法扩展到夜间工作。</w:t>
      </w:r>
    </w:p>
    <w:p w:rsidR="009340BD" w:rsidRPr="004B00DC" w:rsidRDefault="009340BD" w:rsidP="004B00DC">
      <w:pPr>
        <w:pStyle w:val="a4"/>
        <w:numPr>
          <w:ilvl w:val="0"/>
          <w:numId w:val="2"/>
        </w:numPr>
        <w:spacing w:line="360" w:lineRule="auto"/>
        <w:ind w:firstLine="620"/>
        <w:jc w:val="left"/>
        <w:rPr>
          <w:rFonts w:ascii="宋体" w:eastAsia="宋体" w:hAnsi="宋体"/>
          <w:noProof/>
          <w:sz w:val="28"/>
          <w:szCs w:val="28"/>
        </w:rPr>
      </w:pPr>
      <w:r w:rsidRPr="004B00DC">
        <w:rPr>
          <w:rFonts w:ascii="宋体" w:eastAsia="宋体" w:hAnsi="宋体" w:cs="Arial"/>
          <w:spacing w:val="15"/>
          <w:sz w:val="28"/>
          <w:szCs w:val="28"/>
        </w:rPr>
        <w:t>使用额外的机器学习技术来提高性能。在本文中，我们使用一个简单的感知器神经网络模型来进行云/晴空的判断，因为它易于训练和实现。其他方法，如袋装决策树、支持</w:t>
      </w:r>
      <w:proofErr w:type="gramStart"/>
      <w:r w:rsidRPr="004B00DC">
        <w:rPr>
          <w:rFonts w:ascii="宋体" w:eastAsia="宋体" w:hAnsi="宋体" w:cs="Arial"/>
          <w:spacing w:val="15"/>
          <w:sz w:val="28"/>
          <w:szCs w:val="28"/>
        </w:rPr>
        <w:t>向量机</w:t>
      </w:r>
      <w:proofErr w:type="gramEnd"/>
      <w:r w:rsidRPr="004B00DC">
        <w:rPr>
          <w:rFonts w:ascii="宋体" w:eastAsia="宋体" w:hAnsi="宋体" w:cs="Arial"/>
          <w:spacing w:val="15"/>
          <w:sz w:val="28"/>
          <w:szCs w:val="28"/>
        </w:rPr>
        <w:t>和/或贝叶</w:t>
      </w:r>
      <w:proofErr w:type="gramStart"/>
      <w:r w:rsidRPr="004B00DC">
        <w:rPr>
          <w:rFonts w:ascii="宋体" w:eastAsia="宋体" w:hAnsi="宋体" w:cs="Arial"/>
          <w:spacing w:val="15"/>
          <w:sz w:val="28"/>
          <w:szCs w:val="28"/>
        </w:rPr>
        <w:t>斯方法</w:t>
      </w:r>
      <w:proofErr w:type="gramEnd"/>
      <w:r w:rsidRPr="004B00DC">
        <w:rPr>
          <w:rFonts w:ascii="宋体" w:eastAsia="宋体" w:hAnsi="宋体" w:cs="Arial"/>
          <w:spacing w:val="15"/>
          <w:sz w:val="28"/>
          <w:szCs w:val="28"/>
        </w:rPr>
        <w:t>也可以使用。事实上，初步的测试表明，bagged tree模型可以达到比目前的神经网络方法更高的精度。目前正在利用卫星数据对这些模型进行测试/验证。</w:t>
      </w:r>
    </w:p>
    <w:p w:rsidR="009340BD" w:rsidRPr="004B00DC" w:rsidRDefault="009340BD" w:rsidP="004B00DC">
      <w:pPr>
        <w:pStyle w:val="a4"/>
        <w:spacing w:line="360" w:lineRule="auto"/>
        <w:ind w:left="420" w:firstLine="560"/>
        <w:jc w:val="left"/>
        <w:rPr>
          <w:rFonts w:ascii="宋体" w:eastAsia="宋体" w:hAnsi="宋体" w:hint="eastAsia"/>
          <w:noProof/>
          <w:sz w:val="28"/>
          <w:szCs w:val="28"/>
        </w:rPr>
      </w:pPr>
    </w:p>
    <w:p w:rsidR="009340BD" w:rsidRPr="004B00DC" w:rsidRDefault="009340BD" w:rsidP="004B00DC">
      <w:pPr>
        <w:spacing w:line="360" w:lineRule="auto"/>
        <w:ind w:firstLineChars="200" w:firstLine="560"/>
        <w:jc w:val="left"/>
        <w:rPr>
          <w:rFonts w:ascii="宋体" w:eastAsia="宋体" w:hAnsi="宋体"/>
          <w:sz w:val="28"/>
          <w:szCs w:val="28"/>
        </w:rPr>
      </w:pPr>
      <w:r w:rsidRPr="004B00DC">
        <w:rPr>
          <w:rFonts w:ascii="宋体" w:eastAsia="宋体" w:hAnsi="宋体"/>
          <w:noProof/>
          <w:sz w:val="28"/>
          <w:szCs w:val="28"/>
        </w:rPr>
        <w:lastRenderedPageBreak/>
        <w:drawing>
          <wp:inline distT="0" distB="0" distL="0" distR="0" wp14:anchorId="5959DE38" wp14:editId="26F3ED76">
            <wp:extent cx="5274310" cy="51842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65"/>
                    <a:stretch/>
                  </pic:blipFill>
                  <pic:spPr bwMode="auto">
                    <a:xfrm>
                      <a:off x="0" y="0"/>
                      <a:ext cx="5274310" cy="5184250"/>
                    </a:xfrm>
                    <a:prstGeom prst="rect">
                      <a:avLst/>
                    </a:prstGeom>
                    <a:ln>
                      <a:noFill/>
                    </a:ln>
                    <a:extLst>
                      <a:ext uri="{53640926-AAD7-44D8-BBD7-CCE9431645EC}">
                        <a14:shadowObscured xmlns:a14="http://schemas.microsoft.com/office/drawing/2010/main"/>
                      </a:ext>
                    </a:extLst>
                  </pic:spPr>
                </pic:pic>
              </a:graphicData>
            </a:graphic>
          </wp:inline>
        </w:drawing>
      </w:r>
    </w:p>
    <w:p w:rsidR="009340BD" w:rsidRPr="004B00DC" w:rsidRDefault="009340BD" w:rsidP="004B00DC">
      <w:pPr>
        <w:spacing w:line="360" w:lineRule="auto"/>
        <w:ind w:firstLineChars="200" w:firstLine="560"/>
        <w:jc w:val="left"/>
        <w:rPr>
          <w:rFonts w:ascii="宋体" w:eastAsia="宋体" w:hAnsi="宋体"/>
          <w:sz w:val="28"/>
          <w:szCs w:val="28"/>
        </w:rPr>
      </w:pPr>
      <w:r w:rsidRPr="004B00DC">
        <w:rPr>
          <w:rFonts w:ascii="宋体" w:eastAsia="宋体" w:hAnsi="宋体"/>
          <w:noProof/>
          <w:sz w:val="28"/>
          <w:szCs w:val="28"/>
        </w:rPr>
        <w:drawing>
          <wp:inline distT="0" distB="0" distL="0" distR="0" wp14:anchorId="106C51CC" wp14:editId="418E6DA1">
            <wp:extent cx="4877051" cy="1898748"/>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7051" cy="1898748"/>
                    </a:xfrm>
                    <a:prstGeom prst="rect">
                      <a:avLst/>
                    </a:prstGeom>
                  </pic:spPr>
                </pic:pic>
              </a:graphicData>
            </a:graphic>
          </wp:inline>
        </w:drawing>
      </w:r>
    </w:p>
    <w:p w:rsidR="009340BD" w:rsidRPr="004B00DC" w:rsidRDefault="009340BD"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图7所示。我们的云面具算法(SCM)和MYD35在2008年在东亚(左)和欧洲(右)的Hanssen Kuiper技能得分。注意单片机在冬季的优越性能。</w:t>
      </w:r>
    </w:p>
    <w:p w:rsidR="009340BD" w:rsidRPr="004B00DC" w:rsidRDefault="009340BD" w:rsidP="004B00DC">
      <w:pPr>
        <w:spacing w:line="360" w:lineRule="auto"/>
        <w:ind w:firstLineChars="200" w:firstLine="620"/>
        <w:jc w:val="left"/>
        <w:rPr>
          <w:rFonts w:ascii="宋体" w:eastAsia="宋体" w:hAnsi="宋体" w:cs="Arial"/>
          <w:spacing w:val="15"/>
          <w:sz w:val="28"/>
          <w:szCs w:val="28"/>
        </w:rPr>
      </w:pPr>
    </w:p>
    <w:p w:rsidR="009340BD" w:rsidRPr="004B00DC" w:rsidRDefault="009340BD" w:rsidP="004B00DC">
      <w:pPr>
        <w:spacing w:line="360" w:lineRule="auto"/>
        <w:ind w:firstLineChars="200" w:firstLine="620"/>
        <w:jc w:val="left"/>
        <w:rPr>
          <w:rFonts w:ascii="宋体" w:eastAsia="宋体" w:hAnsi="宋体" w:cs="Arial"/>
          <w:spacing w:val="15"/>
          <w:sz w:val="28"/>
          <w:szCs w:val="28"/>
        </w:rPr>
      </w:pPr>
    </w:p>
    <w:p w:rsidR="009340BD" w:rsidRPr="004B00DC" w:rsidRDefault="009340BD"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如上所述，我们的方法和算法当然可以改进，重要的是遥感社区的用户可以帮助进一步探索这一方法。我们计划在ESA的SNAP平台上创建当前算法的一个版本(作为“插件”)，从而使其可供遥感社区使用。我们还将把我们的培训数据集放在我们的网站(http://lllab.phy.stevens.edu)上，供那些对进一步探索这一方法感兴趣的人使用。</w:t>
      </w:r>
    </w:p>
    <w:p w:rsidR="009340BD" w:rsidRPr="004B00DC" w:rsidRDefault="009340BD"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5. 总结</w:t>
      </w:r>
    </w:p>
    <w:p w:rsidR="009340BD" w:rsidRPr="004B00DC" w:rsidRDefault="009340BD"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一种基于机器学习技术的云罩和雪检测算法(SCM)已经开发、描述和验证了Aqua MODIS/CALIOP在陆地地区的测量数据。SCM使用大量辐射传输模拟生成的模拟数据集来训练机器学习算法，而不是使用从实际测量得出的人类分类数据集。与MODIS cloud mask等传统方法或以往基于机器学习的算法相比，本算法具有以下特点:</w:t>
      </w:r>
    </w:p>
    <w:p w:rsidR="009340BD" w:rsidRPr="004B00DC" w:rsidRDefault="009340BD" w:rsidP="004B00DC">
      <w:pPr>
        <w:pStyle w:val="a4"/>
        <w:numPr>
          <w:ilvl w:val="0"/>
          <w:numId w:val="3"/>
        </w:numPr>
        <w:spacing w:line="360" w:lineRule="auto"/>
        <w:ind w:firstLine="620"/>
        <w:jc w:val="left"/>
        <w:rPr>
          <w:rFonts w:ascii="宋体" w:eastAsia="宋体" w:hAnsi="宋体"/>
          <w:sz w:val="28"/>
          <w:szCs w:val="28"/>
        </w:rPr>
      </w:pPr>
      <w:r w:rsidRPr="004B00DC">
        <w:rPr>
          <w:rFonts w:ascii="宋体" w:eastAsia="宋体" w:hAnsi="宋体" w:cs="Arial"/>
          <w:spacing w:val="15"/>
          <w:sz w:val="28"/>
          <w:szCs w:val="28"/>
        </w:rPr>
        <w:t>它简化了测试逻辑，使用更少的卫星通道，同时能够在不同季节在不同类型的下垫表面上提供一致的性能，</w:t>
      </w:r>
    </w:p>
    <w:p w:rsidR="009340BD" w:rsidRPr="004B00DC" w:rsidRDefault="009340BD" w:rsidP="004B00DC">
      <w:pPr>
        <w:pStyle w:val="a4"/>
        <w:numPr>
          <w:ilvl w:val="0"/>
          <w:numId w:val="3"/>
        </w:numPr>
        <w:spacing w:line="360" w:lineRule="auto"/>
        <w:ind w:firstLine="620"/>
        <w:jc w:val="left"/>
        <w:rPr>
          <w:rFonts w:ascii="宋体" w:eastAsia="宋体" w:hAnsi="宋体"/>
          <w:sz w:val="28"/>
          <w:szCs w:val="28"/>
        </w:rPr>
      </w:pPr>
      <w:r w:rsidRPr="004B00DC">
        <w:rPr>
          <w:rFonts w:ascii="宋体" w:eastAsia="宋体" w:hAnsi="宋体" w:cs="Arial"/>
          <w:spacing w:val="15"/>
          <w:sz w:val="28"/>
          <w:szCs w:val="28"/>
        </w:rPr>
        <w:t>晴空情况的误分类率较低，地表覆盖有雪和植被/土壤的中纬度地区冬季TSS得分明显较高</w:t>
      </w:r>
    </w:p>
    <w:p w:rsidR="009340BD" w:rsidRPr="004B00DC" w:rsidRDefault="009340BD" w:rsidP="004B00DC">
      <w:pPr>
        <w:pStyle w:val="a4"/>
        <w:numPr>
          <w:ilvl w:val="0"/>
          <w:numId w:val="3"/>
        </w:numPr>
        <w:spacing w:line="360" w:lineRule="auto"/>
        <w:ind w:firstLine="620"/>
        <w:jc w:val="left"/>
        <w:rPr>
          <w:rFonts w:ascii="宋体" w:eastAsia="宋体" w:hAnsi="宋体"/>
          <w:sz w:val="28"/>
          <w:szCs w:val="28"/>
        </w:rPr>
      </w:pPr>
      <w:r w:rsidRPr="004B00DC">
        <w:rPr>
          <w:rFonts w:ascii="宋体" w:eastAsia="宋体" w:hAnsi="宋体" w:cs="Arial"/>
          <w:spacing w:val="15"/>
          <w:sz w:val="28"/>
          <w:szCs w:val="28"/>
        </w:rPr>
        <w:t>它在纯植被、土壤和积雪覆盖地区的表现类似于MODIS云罩</w:t>
      </w:r>
    </w:p>
    <w:p w:rsidR="004B00DC" w:rsidRPr="004B00DC" w:rsidRDefault="009340BD" w:rsidP="004B00DC">
      <w:pPr>
        <w:pStyle w:val="a4"/>
        <w:numPr>
          <w:ilvl w:val="0"/>
          <w:numId w:val="3"/>
        </w:numPr>
        <w:spacing w:line="360" w:lineRule="auto"/>
        <w:ind w:firstLine="620"/>
        <w:jc w:val="left"/>
        <w:rPr>
          <w:rFonts w:ascii="宋体" w:eastAsia="宋体" w:hAnsi="宋体"/>
          <w:sz w:val="28"/>
          <w:szCs w:val="28"/>
        </w:rPr>
      </w:pPr>
      <w:r w:rsidRPr="004B00DC">
        <w:rPr>
          <w:rFonts w:ascii="宋体" w:eastAsia="宋体" w:hAnsi="宋体" w:cs="Arial"/>
          <w:spacing w:val="15"/>
          <w:sz w:val="28"/>
          <w:szCs w:val="28"/>
        </w:rPr>
        <w:t>由于它完全依赖模拟数据进行算法训练，因此可以在卫星发射前很容易地将其修改为适用于新的传感器配</w:t>
      </w:r>
      <w:r w:rsidRPr="004B00DC">
        <w:rPr>
          <w:rFonts w:ascii="宋体" w:eastAsia="宋体" w:hAnsi="宋体" w:cs="Arial"/>
          <w:spacing w:val="15"/>
          <w:sz w:val="28"/>
          <w:szCs w:val="28"/>
        </w:rPr>
        <w:lastRenderedPageBreak/>
        <w:t>置，以评估其性能。这一功能有助于在发射</w:t>
      </w:r>
      <w:proofErr w:type="gramStart"/>
      <w:r w:rsidRPr="004B00DC">
        <w:rPr>
          <w:rFonts w:ascii="宋体" w:eastAsia="宋体" w:hAnsi="宋体" w:cs="Arial"/>
          <w:spacing w:val="15"/>
          <w:sz w:val="28"/>
          <w:szCs w:val="28"/>
        </w:rPr>
        <w:t>前探索</w:t>
      </w:r>
      <w:proofErr w:type="gramEnd"/>
      <w:r w:rsidRPr="004B00DC">
        <w:rPr>
          <w:rFonts w:ascii="宋体" w:eastAsia="宋体" w:hAnsi="宋体" w:cs="Arial"/>
          <w:spacing w:val="15"/>
          <w:sz w:val="28"/>
          <w:szCs w:val="28"/>
        </w:rPr>
        <w:t>使用哪些卫星通道来遮蔽云层和检索所需产品。</w:t>
      </w:r>
    </w:p>
    <w:p w:rsidR="004B00DC" w:rsidRPr="004B00DC" w:rsidRDefault="004B00DC" w:rsidP="004B00DC">
      <w:pPr>
        <w:spacing w:line="360" w:lineRule="auto"/>
        <w:ind w:firstLineChars="200" w:firstLine="620"/>
        <w:jc w:val="left"/>
        <w:rPr>
          <w:rFonts w:ascii="宋体" w:eastAsia="宋体" w:hAnsi="宋体" w:cs="Arial"/>
          <w:spacing w:val="15"/>
          <w:sz w:val="28"/>
          <w:szCs w:val="28"/>
        </w:rPr>
      </w:pPr>
    </w:p>
    <w:p w:rsidR="009340BD" w:rsidRPr="004B00DC" w:rsidRDefault="009340BD" w:rsidP="004B00DC">
      <w:pPr>
        <w:spacing w:line="360" w:lineRule="auto"/>
        <w:ind w:firstLineChars="200" w:firstLine="620"/>
        <w:jc w:val="left"/>
        <w:rPr>
          <w:rFonts w:ascii="宋体" w:eastAsia="宋体" w:hAnsi="宋体" w:cs="Arial"/>
          <w:spacing w:val="15"/>
          <w:sz w:val="28"/>
          <w:szCs w:val="28"/>
        </w:rPr>
      </w:pPr>
      <w:r w:rsidRPr="004B00DC">
        <w:rPr>
          <w:rFonts w:ascii="宋体" w:eastAsia="宋体" w:hAnsi="宋体" w:cs="Arial"/>
          <w:spacing w:val="15"/>
          <w:sz w:val="28"/>
          <w:szCs w:val="28"/>
        </w:rPr>
        <w:t>最后，我们应该指出JAXA的GCOM-C任务的目的是对碳循环和辐射收支进行全球长期观测(</w:t>
      </w:r>
      <w:proofErr w:type="spellStart"/>
      <w:r w:rsidRPr="004B00DC">
        <w:rPr>
          <w:rFonts w:ascii="宋体" w:eastAsia="宋体" w:hAnsi="宋体" w:cs="Arial"/>
          <w:spacing w:val="15"/>
          <w:sz w:val="28"/>
          <w:szCs w:val="28"/>
        </w:rPr>
        <w:t>Imaoka</w:t>
      </w:r>
      <w:proofErr w:type="spellEnd"/>
      <w:r w:rsidRPr="004B00DC">
        <w:rPr>
          <w:rFonts w:ascii="宋体" w:eastAsia="宋体" w:hAnsi="宋体" w:cs="Arial"/>
          <w:spacing w:val="15"/>
          <w:sz w:val="28"/>
          <w:szCs w:val="28"/>
        </w:rPr>
        <w:t xml:space="preserve"> et al.， 2010)。搭载GCOM-C的“</w:t>
      </w:r>
      <w:proofErr w:type="spellStart"/>
      <w:r w:rsidRPr="004B00DC">
        <w:rPr>
          <w:rFonts w:ascii="宋体" w:eastAsia="宋体" w:hAnsi="宋体" w:cs="Arial"/>
          <w:spacing w:val="15"/>
          <w:sz w:val="28"/>
          <w:szCs w:val="28"/>
        </w:rPr>
        <w:t>Shikisai</w:t>
      </w:r>
      <w:proofErr w:type="spellEnd"/>
      <w:r w:rsidRPr="004B00DC">
        <w:rPr>
          <w:rFonts w:ascii="宋体" w:eastAsia="宋体" w:hAnsi="宋体" w:cs="Arial"/>
          <w:spacing w:val="15"/>
          <w:sz w:val="28"/>
          <w:szCs w:val="28"/>
        </w:rPr>
        <w:t>”卫星于2017年12月成功发射，并已开始数据传输。本文所述的云罩算法已在数据处理链中实现，将用于反演雪粒大小、杂质浓度、积雪覆盖程度等关键参数组成的冰冻圈产品。</w:t>
      </w:r>
    </w:p>
    <w:p w:rsidR="004B00DC" w:rsidRPr="004B00DC" w:rsidRDefault="004B00DC" w:rsidP="004B00DC">
      <w:pPr>
        <w:spacing w:line="360" w:lineRule="auto"/>
        <w:ind w:firstLineChars="200" w:firstLine="620"/>
        <w:jc w:val="left"/>
        <w:rPr>
          <w:rFonts w:ascii="宋体" w:eastAsia="宋体" w:hAnsi="宋体" w:cs="Arial"/>
          <w:spacing w:val="15"/>
          <w:sz w:val="28"/>
          <w:szCs w:val="28"/>
        </w:rPr>
      </w:pPr>
    </w:p>
    <w:p w:rsidR="004B00DC" w:rsidRPr="004B00DC" w:rsidRDefault="004B00DC" w:rsidP="004B00DC">
      <w:pPr>
        <w:spacing w:line="360" w:lineRule="auto"/>
        <w:ind w:firstLineChars="200" w:firstLine="560"/>
        <w:jc w:val="left"/>
        <w:rPr>
          <w:rFonts w:ascii="宋体" w:eastAsia="宋体" w:hAnsi="宋体"/>
          <w:sz w:val="28"/>
          <w:szCs w:val="28"/>
        </w:rPr>
      </w:pPr>
      <w:r w:rsidRPr="004B00DC">
        <w:rPr>
          <w:rFonts w:ascii="宋体" w:eastAsia="宋体" w:hAnsi="宋体"/>
          <w:sz w:val="28"/>
          <w:szCs w:val="28"/>
        </w:rPr>
        <w:t>感谢，鸣谢</w:t>
      </w:r>
    </w:p>
    <w:p w:rsidR="004B00DC" w:rsidRPr="004B00DC" w:rsidRDefault="004B00DC" w:rsidP="004B00DC">
      <w:pPr>
        <w:spacing w:line="360" w:lineRule="auto"/>
        <w:ind w:firstLineChars="200" w:firstLine="560"/>
        <w:jc w:val="left"/>
        <w:rPr>
          <w:rFonts w:ascii="宋体" w:eastAsia="宋体" w:hAnsi="宋体" w:hint="eastAsia"/>
          <w:sz w:val="28"/>
          <w:szCs w:val="28"/>
        </w:rPr>
      </w:pPr>
    </w:p>
    <w:sectPr w:rsidR="004B00DC" w:rsidRPr="004B00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46230A"/>
    <w:multiLevelType w:val="hybridMultilevel"/>
    <w:tmpl w:val="E1AC46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3451228"/>
    <w:multiLevelType w:val="hybridMultilevel"/>
    <w:tmpl w:val="965A69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7956A2D"/>
    <w:multiLevelType w:val="hybridMultilevel"/>
    <w:tmpl w:val="FCD624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2AE"/>
    <w:rsid w:val="00090598"/>
    <w:rsid w:val="002C62AE"/>
    <w:rsid w:val="00423A11"/>
    <w:rsid w:val="004B00DC"/>
    <w:rsid w:val="005B3303"/>
    <w:rsid w:val="009340BD"/>
    <w:rsid w:val="00A01FDB"/>
    <w:rsid w:val="00D25B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BDBF3"/>
  <w15:chartTrackingRefBased/>
  <w15:docId w15:val="{FA604E27-DE1C-4C40-B9D0-973C3C7F3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B3303"/>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9340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284275">
      <w:bodyDiv w:val="1"/>
      <w:marLeft w:val="0"/>
      <w:marRight w:val="0"/>
      <w:marTop w:val="0"/>
      <w:marBottom w:val="0"/>
      <w:divBdr>
        <w:top w:val="none" w:sz="0" w:space="0" w:color="auto"/>
        <w:left w:val="none" w:sz="0" w:space="0" w:color="auto"/>
        <w:bottom w:val="none" w:sz="0" w:space="0" w:color="auto"/>
        <w:right w:val="none" w:sz="0" w:space="0" w:color="auto"/>
      </w:divBdr>
      <w:divsChild>
        <w:div w:id="520898946">
          <w:marLeft w:val="0"/>
          <w:marRight w:val="0"/>
          <w:marTop w:val="0"/>
          <w:marBottom w:val="0"/>
          <w:divBdr>
            <w:top w:val="none" w:sz="0" w:space="0" w:color="auto"/>
            <w:left w:val="none" w:sz="0" w:space="0" w:color="auto"/>
            <w:bottom w:val="none" w:sz="0" w:space="0" w:color="auto"/>
            <w:right w:val="none" w:sz="0" w:space="0" w:color="auto"/>
          </w:divBdr>
        </w:div>
      </w:divsChild>
    </w:div>
    <w:div w:id="1928268146">
      <w:bodyDiv w:val="1"/>
      <w:marLeft w:val="0"/>
      <w:marRight w:val="0"/>
      <w:marTop w:val="0"/>
      <w:marBottom w:val="0"/>
      <w:divBdr>
        <w:top w:val="none" w:sz="0" w:space="0" w:color="auto"/>
        <w:left w:val="none" w:sz="0" w:space="0" w:color="auto"/>
        <w:bottom w:val="none" w:sz="0" w:space="0" w:color="auto"/>
        <w:right w:val="none" w:sz="0" w:space="0" w:color="auto"/>
      </w:divBdr>
      <w:divsChild>
        <w:div w:id="421487229">
          <w:marLeft w:val="0"/>
          <w:marRight w:val="0"/>
          <w:marTop w:val="0"/>
          <w:marBottom w:val="0"/>
          <w:divBdr>
            <w:top w:val="none" w:sz="0" w:space="0" w:color="auto"/>
            <w:left w:val="none" w:sz="0" w:space="0" w:color="auto"/>
            <w:bottom w:val="none" w:sz="0" w:space="0" w:color="auto"/>
            <w:right w:val="none" w:sz="0" w:space="0" w:color="auto"/>
          </w:divBdr>
        </w:div>
      </w:divsChild>
    </w:div>
    <w:div w:id="2054228944">
      <w:bodyDiv w:val="1"/>
      <w:marLeft w:val="0"/>
      <w:marRight w:val="0"/>
      <w:marTop w:val="0"/>
      <w:marBottom w:val="0"/>
      <w:divBdr>
        <w:top w:val="none" w:sz="0" w:space="0" w:color="auto"/>
        <w:left w:val="none" w:sz="0" w:space="0" w:color="auto"/>
        <w:bottom w:val="none" w:sz="0" w:space="0" w:color="auto"/>
        <w:right w:val="none" w:sz="0" w:space="0" w:color="auto"/>
      </w:divBdr>
      <w:divsChild>
        <w:div w:id="14054931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24</Pages>
  <Words>1609</Words>
  <Characters>9176</Characters>
  <Application>Microsoft Office Word</Application>
  <DocSecurity>0</DocSecurity>
  <Lines>76</Lines>
  <Paragraphs>21</Paragraphs>
  <ScaleCrop>false</ScaleCrop>
  <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2021-02-28T07:26:00Z</dcterms:created>
  <dcterms:modified xsi:type="dcterms:W3CDTF">2021-02-28T08:28:00Z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