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ПУБЛІЧНИЙ ДОГОВІР (ОФЕРТА) про надання послуг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Останнє оновлення: 22 липня 2026 р.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ЗАГАЛЬНІ ПОЛОЖЕННЯ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1.1. Цей документ є офіційною пропозицією (публічною офертою) ФІЗИЧНОЇ ОСОБИ - ПІДПРИЄМЦЯ ДМИТРЕНКО СОФІЇ ДМИТРІВНИ (РНОКПП: 3770706565), надалі — «Виконавець», укласти договір про надання ІТ-послуг (надалі — «Договір») з будь-якою дієздатною фізичною чи юридичною особою, надалі — «Замовник», на умовах, викладених нижче.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1.2. Цей Договір є публічним відповідно до ст. 633, 634, 641 Цивільного кодексу України. Його умови є однаковими для всіх Замовників.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1.3. Акцептом (повним і безумовним прийняттям умов Оферти) вважається вчинення Замовником будь-якої з таких дій: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Оплата послуг Виконавця (включно з оформленням розстрочки через банк-партнер);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Підписання Технічного завдання або погодження його в електронному листуванні (на email info@prometeylabs.com або в офіційних месенджерах Виконавця).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1.4. З моменту Акцепту Замовник підтверджує, що він ознайомлений та згоден з усіма умовами цієї Оферти, а також Політикою конфіденційності, Політикою повернення коштів та іншими політиками, розміщеними на сайті prometeylabs.com.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ТЕРМІНИ ТА ВИЗНАЧЕННЯ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2.1. Послуги — комплекс робіт з розробки веб-сайтів, мобільних застосунків, Telegram-ботів, веб-дизайну та інших супутніх ІТ-послуг, які Виконавець надає Замовнику.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2.2. Технічне завдання (ТЗ) — документ (або зафіксована в листуванні домовленість), що визначає функціонал, структуру, дизайн та інші вимоги до майбутнього продукту.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2.3. Раунд правок — ітераційний процес внесення змін до результатів наданих послуг, суворо регламентований умовами цього Договору.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ПРЕДМЕТ ДОГОВОРУ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3.1. Виконавець зобов’язується надати Замовнику Послуги, а Замовник зобов’язується надати необхідні матеріали, прийняти та оплатити ці Послуги.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3.2. Конкретний перелік, обсяг, вартість та строки надання послуг узгоджуються Сторонами в ТЗ, Інвойсі (рахунку) або безпосередньо в електронному листуванні.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3.3. Послуги, які прямо та недвозначно не визначені в ТЗ, не є предметом цього Договору. Їх виконання вважається додатковими послугами і оплачується окремо.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3.4. До предмету Договору не входить забезпечення Замовника доменом, хостингом/сервером та платними сторонніми сервісами, якщо інше прямо не вказано в ТЗ.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ПОРЯДОК НАДАННЯ ПОСЛУГ ТА ВНЕСЕННЯ ПРАВОК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4.1. До початку виконання робіт Замовник зобов’язаний надати всю необхідну текстову, графічну інформацію, доступи (за потреби) та корпоративні вимоги.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4.2. У випадку затримки надання Замовником необхідної інформації на строк понад 14 (чотирнадцять) календарних днів, Виконавець має право в односторонньому порядку змінити строки виконання робіт або розірвати цей Договір, при цьому сума внесеної передоплати не повертається (утримується як штраф за простій).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4.3. Процедура прийому-здачі та внесення правок (Раунди правок):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4.3.1. Сторони погоджують проведення не більше 2 (двох) Раундів правок у межах базової вартості послуг. Третій і наступні раунди оплачуються додатково.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4.3.2. Після надання доступу до тестової версії ресурсу або макету, Замовник протягом 3 (трьох) робочих днів зобов'язаний надати єдиний консолідований список зауважень. Після його передачі поточний Раунд правок закривається. Доповнення списку не допускається.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4.3.3. Формат правок: Правки приймаються виключно в текстовому вигляді на email або в месенджер. Аудіоповідомлення до розгляду не приймаються.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4.3.4. Заборона суб'єктивних правок: Виконавець не приймає абстрактні зауваження («зробити красивіше», «погратися шрифтами», «зробити більш стильно»). Усі правки мають бути технічно або візуально обґрунтованими і не суперечити ТЗ. Відсутність чіткого бачення Замовника не є підставою для невизнання послуг наданими.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4.4. Автоматичне прийняття: Якщо Замовник не надав консолідований список недоліків протягом 3 (трьох) робочих днів, поточний Раунд правок вважається пропущеним, а Послуги на цьому етапі — прийнятими без зауважень та такими, що підлягають повній оплаті.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ВАРТІСТЬ ПОСЛУГ ТА ПОРЯДОК ОПЛАТИ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5.1. Вартість послуг фіксується у виставленому рахунку (Інвойсі), ТЗ або відповідному Додатку, і може розраховуватися в гривні або в Євро (з оплатою в гривневому еквіваленті за комерційним курсом на день оплати).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5.2. Оплата частинами (Monobank):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5.2.1. Якщо Сторони погодили оплату послуг через сервіс «Покупка частинами» від АТ «УНІВЕРСАЛ БАНК» (Monobank), Замовник зобов'язається успішно оформити транзакцію протягом 3 робочих днів з моменту узгодження ТЗ/виставлення рахунку.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5.2.2. Зобов'язання Замовника щодо оплати вважаються виконаними в повному обсязі з моменту підтвердження банком транзакції та зарахування повної суми на рахунок Виконавця. Подальші розрахунки за розстрочкою Замовник здійснює самостійно перед АТ «УНІВЕРСАЛ БАНК».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5.2.3. У цьому випадку Виконавець приступає до роботи не пізніше ніж через 3 робочі дні після зарахування повної суми від банку та отримання всіх матеріалів від Замовника.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5.3. Стандартна оплата: Здійснюється у вигляді 100% передоплати або шляхом розбиття платежів (наприклад, 50/50), що фіксується індивідуально. Передача Замовнику доступу до адміністративної панелі, серверів або вихідного коду здійснюється виключно після 100% оплати.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5.4. Будь-які авансові платежі є остаточними. Повернення коштів можливе лише у разі повної відсутності результату робіт виключно з вини Виконавця (детально регламентується Політикою повернення коштів).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ПРАВА ТА ОБОВ'ЯЗКИ СТОРІН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6.1. Замовник зобов'язаний не передавати ключі, паролі та доступи третім особам до моменту повної здачі проєкту.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6.2. Захист від токсичної комунікації: У разі порушення Замовником етики ділового спілкування (нецензурна лексика, образи, погрози, шантаж поверненням коштів), Виконавець має безумовне право в односторонньому порядку негайно розірвати цей Договір. У такому випадку будь-які сплачені кошти не повертаються і утримуються як штраф.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6.3. Виконавець має право залучати третіх осіб (субпідрядників) до виконання робіт без повідомлення Замовника.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ІНТЕЛЕКТУАЛЬНА ВЛАСНІСТЬ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7.1. Майнові права інтелектуальної власності на створений об'єкт (код, дизайн) переходять до Замовника виключно після 100% оплати вартості послуг.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7.2. Виконавець залишає за собою право використовувати створений продукт у своєму портфоліо (якщо інше не передбачено угодою про нерозголошення - NDA).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7.3. Базові алгоритми, фреймворки та фрагменти коду, які є стандартними рішеннями Виконавця, залишаються його власністю; Замовник отримує невиключну ліцензію на їх використання в рамках розробленого ресурсу.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ВІДПОВІДАЛЬНІСТЬ ТА ГАРАНТІЇ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8.1. Виконавець надає гарантійну підтримку терміном на 1 (один) рік з моменту повної оплати та передачі доступів. Гарантія поширюється виключно на усунення технічних багів, допущених з вини Виконавця.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8.2. Гарантія анулюється, а Виконавець не несе відповідальності за працездатність продукту у випадку: втручання Замовника або третіх осіб у вихідний код; зміни налаштувань хостингу; оновлення сторонніх API, платіжних систем чи модулів, які не залежать від Виконавця.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8.3. Виконавець не несе відповідальності за інформаційний зміст (контент), розміщений Замовником на розробленому ресурсі.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ФОРС-МАЖОР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9.1. Сторони звільняються від відповідальності за порушення умов Договору внаслідок дії обставин непереборної сили (війна, бойові дії, блекаути, масові відключення електроенергії чи зв'язку, стихійні лиха тощо).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9.2. У разі настання форс-мажору терміни виконання робіт автоматично продовжуються на час його дії.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ЗАКЛЮЧНІ ПОЛОЖЕННЯ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10.1. Усі спори вирішуються шляхом переговорів. У разі недосягнення згоди спір передається до суду за місцезнаходженням Виконавця.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10.2. Сторони беззаперечно визнають юридичну силу електронного листування (email info@prometeylabs.com та месенджери, прив'язані до контактних номерів телефонів Сторін) для узгодження ТЗ, правок, макетів та прийняття робіт.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10.3. Виконавець має право змінювати умови цієї Оферти в односторонньому порядку шляхом публікації нової редакції на сайті.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РЕКВІЗИТИ ВИКОНАВЦЯ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ФОП Дмитренко Софія Дмитрівна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РНОКПП: 3770706565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Місце реєстрації: Полтавська обл., м. Миргород, вул. Кваші, буд 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Фактичне місцезнаходження: м. Київ, бульв. Тараса Шевченка 46А, офіс 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Р/р: UA633220010000026003350084660 в АТ “УНІВЕРСАЛ БАНК”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Email: info@prometeylabs.com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Телефон: +380639520565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