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2A44"/>
        </w:rPr>
        <w:t>AgentQA — Project Progress Summary</w:t>
      </w:r>
    </w:p>
    <w:p>
      <w:r>
        <w:rPr>
          <w:i/>
          <w:color w:val="555555"/>
          <w:sz w:val="24"/>
        </w:rPr>
        <w:t>Local-LLM-driven QA automation agent for the Influence DOOH advertising platform</w:t>
      </w:r>
    </w:p>
    <w:p/>
    <w:p>
      <w:pPr>
        <w:pStyle w:val="Heading1"/>
      </w:pPr>
      <w:r>
        <w:rPr>
          <w:color w:val="1F2A44"/>
        </w:rPr>
        <w:t>1. What This Project Is</w:t>
      </w:r>
    </w:p>
    <w:p>
      <w:r>
        <w:t>AgentQA is an AI QA automation agent that drives a real Playwright browser against the Influence staging site (influence-stg.movingwalls.com), using a local, self-hosted language model — no paid third-party API — to plan, execute, and verify natural-language test cases. The system is built around three agent roles working together on one test case at a time:</w:t>
      </w:r>
    </w:p>
    <w:p>
      <w:pPr>
        <w:pStyle w:val="ListBullet"/>
      </w:pPr>
      <w:r>
        <w:rPr>
          <w:b/>
        </w:rPr>
        <w:t xml:space="preserve">Planner — </w:t>
      </w:r>
      <w:r>
        <w:t xml:space="preserve"> reads a test case's plain-English description and breaks it into an ordered list of concrete steps.</w:t>
      </w:r>
    </w:p>
    <w:p>
      <w:pPr>
        <w:pStyle w:val="ListBullet"/>
      </w:pPr>
      <w:r>
        <w:rPr>
          <w:b/>
        </w:rPr>
        <w:t xml:space="preserve">Executor — </w:t>
      </w:r>
      <w:r>
        <w:t xml:space="preserve"> drives real Playwright tools (click, fill, navigate, read the page) to carry out each step, in a ReAct-style tool-use loop.</w:t>
      </w:r>
    </w:p>
    <w:p>
      <w:pPr>
        <w:pStyle w:val="ListBullet"/>
      </w:pPr>
      <w:r>
        <w:rPr>
          <w:b/>
        </w:rPr>
        <w:t xml:space="preserve">Verifier — </w:t>
      </w:r>
      <w:r>
        <w:t xml:space="preserve"> judges whether a step's expected outcome actually holds, using the real page's accessibility tree as evidence — not the model's own unverified narration.</w:t>
      </w:r>
    </w:p>
    <w:p>
      <w:r>
        <w:t>Test cases are plain YAML files (id, title, description, preconditions, suite) — natural language, not code or a formal test DSL. The agent reads the real page via Playwright's accessibility-tree snapshot (aria_snapshot()), not raw HTML or screenshots — screenshots exist only for the human-facing live preview, never fed back into the model's reasoning.</w:t>
      </w:r>
    </w:p>
    <w:p>
      <w:pPr>
        <w:pStyle w:val="Heading1"/>
      </w:pPr>
      <w:r>
        <w:rPr>
          <w:color w:val="1F2A44"/>
        </w:rPr>
        <w:t>2. Local Model Comparison</w:t>
      </w:r>
    </w:p>
    <w:p>
      <w:r>
        <w:t>Every model below was tested with real, live runs against the staging site — not benchmarked in the abstract. “Verdict” reflects actual measured behavior, not vendor claims.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1F2A44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152"/>
            <w:shd w:fill="1F2A44"/>
          </w:tcPr>
          <w:p>
            <w:r>
              <w:rPr>
                <w:b/>
                <w:color w:val="FFFFFF"/>
              </w:rPr>
              <w:t>Size</w:t>
            </w:r>
          </w:p>
        </w:tc>
        <w:tc>
          <w:tcPr>
            <w:tcW w:type="dxa" w:w="4896"/>
            <w:shd w:fill="1F2A44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2016"/>
            <w:shd w:fill="1F2A44"/>
          </w:tcPr>
          <w:p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2304"/>
          </w:tcPr>
          <w:p>
            <w:r>
              <w:t>qwen2.5:14b-instruct</w:t>
            </w:r>
          </w:p>
        </w:tc>
        <w:tc>
          <w:tcPr>
            <w:tcW w:type="dxa" w:w="1152"/>
          </w:tcPr>
          <w:p>
            <w:r>
              <w:t>14.8B</w:t>
            </w:r>
          </w:p>
        </w:tc>
        <w:tc>
          <w:tcPr>
            <w:tcW w:type="dxa" w:w="4896"/>
          </w:tcPr>
          <w:p>
            <w:r>
              <w:t>Reliable baseline; slower per-call, but consistent judgment throughout most of the session.</w:t>
            </w:r>
          </w:p>
        </w:tc>
        <w:tc>
          <w:tcPr>
            <w:tcW w:type="dxa" w:w="2016"/>
          </w:tcPr>
          <w:p>
            <w:r>
              <w:t>Solid, previous default</w:t>
            </w:r>
          </w:p>
        </w:tc>
      </w:tr>
      <w:tr>
        <w:tc>
          <w:tcPr>
            <w:tcW w:type="dxa" w:w="2304"/>
          </w:tcPr>
          <w:p>
            <w:r>
              <w:t>qwen2.5:7b-instruct</w:t>
            </w:r>
          </w:p>
        </w:tc>
        <w:tc>
          <w:tcPr>
            <w:tcW w:type="dxa" w:w="1152"/>
          </w:tcPr>
          <w:p>
            <w:r>
              <w:t>7.6B</w:t>
            </w:r>
          </w:p>
        </w:tc>
        <w:tc>
          <w:tcPr>
            <w:tcW w:type="dxa" w:w="4896"/>
          </w:tcPr>
          <w:p>
            <w:r>
              <w:t>Faster, but real live testing showed leaked tool calls, hedgy verifier judgments, and repeated actions.</w:t>
            </w:r>
          </w:p>
        </w:tc>
        <w:tc>
          <w:tcPr>
            <w:tcW w:type="dxa" w:w="2016"/>
          </w:tcPr>
          <w:p>
            <w:r>
              <w:t>Rejected — unreliable</w:t>
            </w:r>
          </w:p>
        </w:tc>
      </w:tr>
      <w:tr>
        <w:tc>
          <w:tcPr>
            <w:tcW w:type="dxa" w:w="2304"/>
          </w:tcPr>
          <w:p>
            <w:r>
              <w:t>qwen3:4b</w:t>
            </w:r>
          </w:p>
        </w:tc>
        <w:tc>
          <w:tcPr>
            <w:tcW w:type="dxa" w:w="1152"/>
          </w:tcPr>
          <w:p>
            <w:r>
              <w:t>4B</w:t>
            </w:r>
          </w:p>
        </w:tc>
        <w:tc>
          <w:tcPr>
            <w:tcW w:type="dxa" w:w="4896"/>
          </w:tcPr>
          <w:p>
            <w:r>
              <w:t>Thinking-mode token overhead made it slower than 14B despite the smaller size.</w:t>
            </w:r>
          </w:p>
        </w:tc>
        <w:tc>
          <w:tcPr>
            <w:tcW w:type="dxa" w:w="2016"/>
          </w:tcPr>
          <w:p>
            <w:r>
              <w:t>Rejected — slower than bigger model</w:t>
            </w:r>
          </w:p>
        </w:tc>
      </w:tr>
      <w:tr>
        <w:tc>
          <w:tcPr>
            <w:tcW w:type="dxa" w:w="2304"/>
          </w:tcPr>
          <w:p>
            <w:r>
              <w:t>qwen3.5:4b / 9b</w:t>
            </w:r>
          </w:p>
        </w:tc>
        <w:tc>
          <w:tcPr>
            <w:tcW w:type="dxa" w:w="1152"/>
          </w:tcPr>
          <w:p>
            <w:r>
              <w:t>4B / 9.7B</w:t>
            </w:r>
          </w:p>
        </w:tc>
        <w:tc>
          <w:tcPr>
            <w:tcW w:type="dxa" w:w="4896"/>
          </w:tcPr>
          <w:p>
            <w:r>
              <w:t>Hit a hard 3,488-token “thinking” ceiling and returned empty output on the real Planner prompt — confirmed with thinking on, off, and at “low”.</w:t>
            </w:r>
          </w:p>
        </w:tc>
        <w:tc>
          <w:tcPr>
            <w:tcW w:type="dxa" w:w="2016"/>
          </w:tcPr>
          <w:p>
            <w:r>
              <w:t>Rejected — unusable on this task</w:t>
            </w:r>
          </w:p>
        </w:tc>
      </w:tr>
      <w:tr>
        <w:tc>
          <w:tcPr>
            <w:tcW w:type="dxa" w:w="2304"/>
          </w:tcPr>
          <w:p>
            <w:r>
              <w:t>qwen3.5:27b</w:t>
            </w:r>
          </w:p>
        </w:tc>
        <w:tc>
          <w:tcPr>
            <w:tcW w:type="dxa" w:w="1152"/>
          </w:tcPr>
          <w:p>
            <w:r>
              <w:t>27.8B</w:t>
            </w:r>
          </w:p>
        </w:tc>
        <w:tc>
          <w:tcPr>
            <w:tcW w:type="dxa" w:w="4896"/>
          </w:tcPr>
          <w:p>
            <w:r>
              <w:t>Did not fit this machine's GPU (9% GPU / 91% CPU) — same overflow problem as the earlier 32B model.</w:t>
            </w:r>
          </w:p>
        </w:tc>
        <w:tc>
          <w:tcPr>
            <w:tcW w:type="dxa" w:w="2016"/>
          </w:tcPr>
          <w:p>
            <w:r>
              <w:t>Rejected — hardware limit</w:t>
            </w:r>
          </w:p>
        </w:tc>
      </w:tr>
      <w:tr>
        <w:tc>
          <w:tcPr>
            <w:tcW w:type="dxa" w:w="2304"/>
          </w:tcPr>
          <w:p>
            <w:r>
              <w:t>qwen2.5-coder:14b</w:t>
            </w:r>
          </w:p>
        </w:tc>
        <w:tc>
          <w:tcPr>
            <w:tcW w:type="dxa" w:w="1152"/>
          </w:tcPr>
          <w:p>
            <w:r>
              <w:t>14.8B</w:t>
            </w:r>
          </w:p>
        </w:tc>
        <w:tc>
          <w:tcPr>
            <w:tcW w:type="dxa" w:w="4896"/>
          </w:tcPr>
          <w:p>
            <w:r>
              <w:t>Head-to-head controlled test vs. the instruct model: 4/5 vs 0/5 correct on a real verifier judgment. No evidence of being worse; one real test favored it.</w:t>
            </w:r>
          </w:p>
        </w:tc>
        <w:tc>
          <w:tcPr>
            <w:tcW w:type="dxa" w:w="2016"/>
          </w:tcPr>
          <w:p>
            <w:r>
              <w:t>Current model in use</w:t>
            </w:r>
          </w:p>
        </w:tc>
      </w:tr>
    </w:tbl>
    <w:p/>
    <w:p>
      <w:pPr>
        <w:pStyle w:val="Heading1"/>
      </w:pPr>
      <w:r>
        <w:rPr>
          <w:color w:val="1F2A44"/>
        </w:rPr>
        <w:t>3. Free-Tier Cloud API Comparison</w:t>
      </w:r>
    </w:p>
    <w:p>
      <w:r>
        <w:t>Cloud options were tested as an opt-in, toggleable backend (never replacing the local default) to see whether a hosted free tier could beat local speed/reliability. All were tested with real end-to-end runs against the live site.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/>
          </w:tcPr>
          <w:p>
            <w:r>
              <w:rPr>
                <w:b/>
                <w:color w:val="FFFFFF"/>
              </w:rPr>
              <w:t>Provider / Model</w:t>
            </w:r>
          </w:p>
        </w:tc>
        <w:tc>
          <w:tcPr>
            <w:tcW w:type="dxa" w:w="6192"/>
            <w:shd w:fill="1F2A44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1440"/>
            <w:shd w:fill="1F2A44"/>
          </w:tcPr>
          <w:p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2880"/>
          </w:tcPr>
          <w:p>
            <w:r>
              <w:t>NVIDIA NIM — Llama 3.1 8B</w:t>
            </w:r>
          </w:p>
        </w:tc>
        <w:tc>
          <w:tcPr>
            <w:tcW w:type="dxa" w:w="6192"/>
          </w:tcPr>
          <w:p>
            <w:r>
              <w:t>Fast (~9–10s per case) but genuinely unreliable — same field, same prompt, gave inconsistent ARIA-role guesses run to run, causing real element-not-found failures.</w:t>
            </w:r>
          </w:p>
        </w:tc>
        <w:tc>
          <w:tcPr>
            <w:tcW w:type="dxa" w:w="1440"/>
          </w:tcPr>
          <w:p>
            <w:r>
              <w:t>Rejected — unreliable</w:t>
            </w:r>
          </w:p>
        </w:tc>
      </w:tr>
      <w:tr>
        <w:tc>
          <w:tcPr>
            <w:tcW w:type="dxa" w:w="2880"/>
          </w:tcPr>
          <w:p>
            <w:r>
              <w:t>NVIDIA NIM — Llama 3.3 70B</w:t>
            </w:r>
          </w:p>
        </w:tc>
        <w:tc>
          <w:tcPr>
            <w:tcW w:type="dxa" w:w="6192"/>
          </w:tcPr>
          <w:p>
            <w:r>
              <w:t>Would have been a genuine reasoning upgrade, but was unresponsive on the free tier across every attempt (hard timeouts, no response).</w:t>
            </w:r>
          </w:p>
        </w:tc>
        <w:tc>
          <w:tcPr>
            <w:tcW w:type="dxa" w:w="1440"/>
          </w:tcPr>
          <w:p>
            <w:r>
              <w:t>Rejected — not accessible</w:t>
            </w:r>
          </w:p>
        </w:tc>
      </w:tr>
      <w:tr>
        <w:tc>
          <w:tcPr>
            <w:tcW w:type="dxa" w:w="2880"/>
          </w:tcPr>
          <w:p>
            <w:r>
              <w:t>Google Gemini — flash-latest</w:t>
            </w:r>
          </w:p>
        </w:tc>
        <w:tc>
          <w:tcPr>
            <w:tcW w:type="dxa" w:w="6192"/>
          </w:tcPr>
          <w:p>
            <w:r>
              <w:t>Correct answers, but slower than local 14B due to default “thinking” overhead (108 hidden tokens for a 25-token answer). Then hit a hard 5-requests/minute quota — too low to complete even one full test case.</w:t>
            </w:r>
          </w:p>
        </w:tc>
        <w:tc>
          <w:tcPr>
            <w:tcW w:type="dxa" w:w="1440"/>
          </w:tcPr>
          <w:p>
            <w:r>
              <w:t>Rejected — slower + quota-blocked</w:t>
            </w:r>
          </w:p>
        </w:tc>
      </w:tr>
      <w:tr>
        <w:tc>
          <w:tcPr>
            <w:tcW w:type="dxa" w:w="2880"/>
          </w:tcPr>
          <w:p>
            <w:r>
              <w:t>OpenAI API</w:t>
            </w:r>
          </w:p>
        </w:tc>
        <w:tc>
          <w:tcPr>
            <w:tcW w:type="dxa" w:w="6192"/>
          </w:tcPr>
          <w:p>
            <w:r>
              <w:t>No lasting free tier exists (pay-as-you-go only, aside from a possible small one-time trial credit) — not tested further, since it doesn't fit a free-tier comparison.</w:t>
            </w:r>
          </w:p>
        </w:tc>
        <w:tc>
          <w:tcPr>
            <w:tcW w:type="dxa" w:w="1440"/>
          </w:tcPr>
          <w:p>
            <w:r>
              <w:t>Not applicable</w:t>
            </w:r>
          </w:p>
        </w:tc>
      </w:tr>
    </w:tbl>
    <w:p/>
    <w:p>
      <w:r>
        <w:t>Net finding: no free-tier cloud option beat the local model on the combination of speed and reliability that actually matters for this tool. Each either failed on judgment quality, was rate-limited to the point of being unusable, or was never responsive enough to test properly.</w:t>
      </w:r>
    </w:p>
    <w:p>
      <w:pPr>
        <w:pStyle w:val="Heading1"/>
      </w:pPr>
      <w:r>
        <w:rPr>
          <w:color w:val="1F2A44"/>
        </w:rPr>
        <w:t>4. Real Engineering Fixes Shipped This Session</w:t>
      </w:r>
    </w:p>
    <w:p>
      <w:r>
        <w:t>Each item below was verified with a real, live test run — not just unit tests.</w:t>
      </w:r>
    </w:p>
    <w:p>
      <w:pPr>
        <w:pStyle w:val="Heading2"/>
      </w:pPr>
      <w:r>
        <w:rPr>
          <w:color w:val="1F2A44"/>
        </w:rPr>
        <w:t>Reliability / correctness</w:t>
      </w:r>
    </w:p>
    <w:p>
      <w:pPr>
        <w:pStyle w:val="ListBullet"/>
      </w:pPr>
      <w:r>
        <w:t>Leaked-tool-call recovery: the model sometimes narrates a tool call as text instead of issuing a real one — built detection and recovery for three distinct malformed shapes, with de-duplication to stop infinite re-narration loops.</w:t>
      </w:r>
    </w:p>
    <w:p>
      <w:pPr>
        <w:pStyle w:val="ListBullet"/>
      </w:pPr>
      <w:r>
        <w:t>Non-Latin text leak detection &amp; translation: Thai, Chinese, and Cyrillic text was leaking into agent output despite explicit English-only prompt instructions — built a detect-and-translate safety net.</w:t>
      </w:r>
    </w:p>
    <w:p>
      <w:pPr>
        <w:pStyle w:val="ListBullet"/>
      </w:pPr>
      <w:r>
        <w:t>Fixed a real correctness bug where an action step whose own tool call reported failure could still be recorded as passed and roll the whole run up to a false “passed” result.</w:t>
      </w:r>
    </w:p>
    <w:p>
      <w:pPr>
        <w:pStyle w:val="ListBullet"/>
      </w:pPr>
      <w:r>
        <w:t>Added a same-step action cache: the model would sometimes repeat an already-successful click/fill — now answered from cache instead of re-hitting the live page (avoids double-submitting forms).</w:t>
      </w:r>
    </w:p>
    <w:p>
      <w:pPr>
        <w:pStyle w:val="ListBullet"/>
      </w:pPr>
      <w:r>
        <w:t>Fixed credential placeholder resolution to tolerate a single-brace slip ({VALID_EMAIL} vs. the required {{VALID_EMAIL}}) — previously this silently typed the literal wrong text into a real login field.</w:t>
      </w:r>
    </w:p>
    <w:p>
      <w:pPr>
        <w:pStyle w:val="ListBullet"/>
      </w:pPr>
      <w:r>
        <w:t>Tightened the Verifier prompt to stop it from rejecting valid evidence on a technicality (e.g. treating “Invalid credentials” as “not really an error message”) — confirmed 5/5 correct on retest after the fix.</w:t>
      </w:r>
    </w:p>
    <w:p>
      <w:pPr>
        <w:pStyle w:val="Heading2"/>
      </w:pPr>
      <w:r>
        <w:rPr>
          <w:color w:val="1F2A44"/>
        </w:rPr>
        <w:t>Speed</w:t>
      </w:r>
    </w:p>
    <w:p>
      <w:pPr>
        <w:pStyle w:val="ListBullet"/>
      </w:pPr>
      <w:r>
        <w:t>Plan caching: a test case's plan is now cached after its first run — measured 13s → under 1s for the Planner step on any repeat run of an unchanged case.</w:t>
      </w:r>
    </w:p>
    <w:p>
      <w:pPr>
        <w:pStyle w:val="ListBullet"/>
      </w:pPr>
      <w:r>
        <w:t>Selector-matching fix: the real login form's HTML has no label/input association at all (a genuine accessibility gap in the site itself) — added a new mechanical tier that finds the nearby label by DOM proximity instead of falling back to a slow LLM call.</w:t>
      </w:r>
    </w:p>
    <w:p>
      <w:pPr>
        <w:pStyle w:val="ListBullet"/>
      </w:pPr>
      <w:r>
        <w:t>Cut a redundant LLM call per successful action step (the model no longer has to “narrate” a result that's already known from the tool's own return value) — measured 99s → 34s on the same test case.</w:t>
      </w:r>
    </w:p>
    <w:p>
      <w:pPr>
        <w:pStyle w:val="ListBullet"/>
      </w:pPr>
      <w:r>
        <w:t>Reuse one browser session across a batch of test cases that all need to already be logged in, instead of launching a fresh browser per case — while still correctly forcing a clean, logged-out session for the login-suite cases that specifically test that state.</w:t>
      </w:r>
    </w:p>
    <w:p>
      <w:pPr>
        <w:pStyle w:val="Heading2"/>
      </w:pPr>
      <w:r>
        <w:rPr>
          <w:color w:val="1F2A44"/>
        </w:rPr>
        <w:t>Live-view / UX polish</w:t>
      </w:r>
    </w:p>
    <w:p>
      <w:pPr>
        <w:pStyle w:val="ListBullet"/>
      </w:pPr>
      <w:r>
        <w:t>Added a visible cursor overlay so viewers can see where the agent is about to click — upgraded from a small red dot to a larger, blue arrow shape with a real glide animation between actions instead of teleporting.</w:t>
      </w:r>
    </w:p>
    <w:p>
      <w:pPr>
        <w:pStyle w:val="ListBullet"/>
      </w:pPr>
      <w:r>
        <w:t>Cleaned up a stale, duplicate frontend dev-server process that had been silently running since an earlier session.</w:t>
      </w:r>
    </w:p>
    <w:p>
      <w:pPr>
        <w:pStyle w:val="Heading1"/>
      </w:pPr>
      <w:r>
        <w:rPr>
          <w:color w:val="1F2A44"/>
        </w:rPr>
        <w:t>5. Test Case Corrections</w:t>
      </w:r>
    </w:p>
    <w:p>
      <w:r>
        <w:t>Several test cases had gone stale relative to the real, current UI. Each fix below was confirmed by inspecting the live site directly, not guessed.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fill="1F2A44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4320"/>
            <w:shd w:fill="1F2A44"/>
          </w:tcPr>
          <w:p>
            <w:r>
              <w:rPr>
                <w:b/>
                <w:color w:val="FFFFFF"/>
              </w:rPr>
              <w:t>Issue Found</w:t>
            </w:r>
          </w:p>
        </w:tc>
        <w:tc>
          <w:tcPr>
            <w:tcW w:type="dxa" w:w="4176"/>
            <w:shd w:fill="1F2A44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016"/>
          </w:tcPr>
          <w:p>
            <w:r>
              <w:t>AD_LG_01 / 02 / 03</w:t>
            </w:r>
          </w:p>
        </w:tc>
        <w:tc>
          <w:tcPr>
            <w:tcW w:type="dxa" w:w="4320"/>
          </w:tcPr>
          <w:p>
            <w:r>
              <w:t>Expected a generic “an error message is shown”.</w:t>
            </w:r>
          </w:p>
        </w:tc>
        <w:tc>
          <w:tcPr>
            <w:tcW w:type="dxa" w:w="4176"/>
          </w:tcPr>
          <w:p>
            <w:r>
              <w:t>Updated to expect the real, exact text (“Invalid credentials”) — faster and more consistent to verify.</w:t>
            </w:r>
          </w:p>
        </w:tc>
      </w:tr>
      <w:tr>
        <w:tc>
          <w:tcPr>
            <w:tcW w:type="dxa" w:w="2016"/>
          </w:tcPr>
          <w:p>
            <w:r>
              <w:t>INF_PG_01</w:t>
            </w:r>
          </w:p>
        </w:tc>
        <w:tc>
          <w:tcPr>
            <w:tcW w:type="dxa" w:w="4320"/>
          </w:tcPr>
          <w:p>
            <w:r>
              <w:t>Described a “+ Create Campaign” button and a “Programmatic Type” field that don't exist on the real form.</w:t>
            </w:r>
          </w:p>
        </w:tc>
        <w:tc>
          <w:tcPr>
            <w:tcW w:type="dxa" w:w="4176"/>
          </w:tcPr>
          <w:p>
            <w:r>
              <w:t>Fully rewritten after mapping the real multi-step campaign form live (correct button name, real Deal Type structure, real field list).</w:t>
            </w:r>
          </w:p>
        </w:tc>
      </w:tr>
      <w:tr>
        <w:tc>
          <w:tcPr>
            <w:tcW w:type="dxa" w:w="2016"/>
          </w:tcPr>
          <w:p>
            <w:r>
              <w:t>INF_LI_02</w:t>
            </w:r>
          </w:p>
        </w:tc>
        <w:tc>
          <w:tcPr>
            <w:tcW w:type="dxa" w:w="4320"/>
          </w:tcPr>
          <w:p>
            <w:r>
              <w:t>Referenced a “+ New Line Item” button.</w:t>
            </w:r>
          </w:p>
        </w:tc>
        <w:tc>
          <w:tcPr>
            <w:tcW w:type="dxa" w:w="4176"/>
          </w:tcPr>
          <w:p>
            <w:r>
              <w:t>Corrected to the real button label, “New Line Item”.</w:t>
            </w:r>
          </w:p>
        </w:tc>
      </w:tr>
      <w:tr>
        <w:tc>
          <w:tcPr>
            <w:tcW w:type="dxa" w:w="2016"/>
          </w:tcPr>
          <w:p>
            <w:r>
              <w:t>Ads_DL_LT_25 / Ads_NC_15</w:t>
            </w:r>
          </w:p>
        </w:tc>
        <w:tc>
          <w:tcPr>
            <w:tcW w:type="dxa" w:w="4320"/>
          </w:tcPr>
          <w:p>
            <w:r>
              <w:t>No real navigation instruction; assumed a “Deals” page distinct from Campaigns.</w:t>
            </w:r>
          </w:p>
        </w:tc>
        <w:tc>
          <w:tcPr>
            <w:tcW w:type="dxa" w:w="4176"/>
          </w:tcPr>
          <w:p>
            <w:r>
              <w:t>Discovered the app calls the same thing “Campaign” in the UI but “deal” in the URL/backend — fixed once at the prompt level (not per-file) so every current and future test case benefits.</w:t>
            </w:r>
          </w:p>
        </w:tc>
      </w:tr>
    </w:tbl>
    <w:p/>
    <w:p>
      <w:pPr>
        <w:pStyle w:val="Heading1"/>
      </w:pPr>
      <w:r>
        <w:rPr>
          <w:color w:val="1F2A44"/>
        </w:rPr>
        <w:t>6. Known Open Items</w:t>
      </w:r>
    </w:p>
    <w:p>
      <w:pPr>
        <w:pStyle w:val="ListBullet"/>
      </w:pPr>
      <w:r>
        <w:t>Some test cases assume “an existing campaign/deal” with no stable, repeatable target — real staging data changes between checks (campaigns can disappear or change state within minutes), which is a data-management gap, not a code bug.</w:t>
      </w:r>
    </w:p>
    <w:p>
      <w:pPr>
        <w:pStyle w:val="ListBullet"/>
      </w:pPr>
      <w:r>
        <w:t>A configured but unused setting (INFLUENCE_TEST_CAMPAIGN_ID) could resolve the many “the Test Campaign” references across 12 test cases, but isn't wired into the agent yet.</w:t>
      </w:r>
    </w:p>
    <w:p>
      <w:pPr>
        <w:pStyle w:val="ListBullet"/>
      </w:pPr>
      <w:r>
        <w:t>The real Line Item creation form has a live localization bug — several field labels and dropdown options show raw untranslated keys (e.g. form.fields.creativeType) instead of real text.</w:t>
      </w:r>
    </w:p>
    <w:p>
      <w:pPr>
        <w:pStyle w:val="ListBullet"/>
      </w:pPr>
      <w:r>
        <w:t>Ads_INV_07 assumes a standalone “Inventory page” that doesn't appear to exist in the current navigation — needs product input on where/whether it exists.</w:t>
      </w:r>
    </w:p>
    <w:p>
      <w:pPr>
        <w:pStyle w:val="ListBullet"/>
      </w:pPr>
      <w:r>
        <w:t>Occasional per-call model judgment variance remains on even well-hardened cases (e.g. a login case failing once, then passing 5/5 on immediate retest with no code change) — an accepted characteristic of local-model reasoning, not something fully eliminable.</w:t>
      </w:r>
    </w:p>
    <w:p/>
    <w:p>
      <w:r>
        <w:rPr>
          <w:i/>
        </w:rPr>
        <w:t>Bottom line: the agent runs fully locally on qwen2.5-coder:14b, with no paid API dependency. Every viable alternative — smaller/larger local models and every free cloud tier tested — was evaluated with real, live evidence and found worse on speed, reliability, or accessibility. Remaining gaps are concentrated in stale test case content and inherent local-model variance, both of which are being addressed incrementally with verified, live-tested fixes.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