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406C8B" w:rsidP="00406C8B">
      <w:pPr>
        <w:pStyle w:val="Title"/>
      </w:pPr>
      <w:r>
        <w:t>Coding Conventions</w:t>
      </w:r>
    </w:p>
    <w:p w:rsidR="00406C8B" w:rsidRDefault="00406C8B" w:rsidP="00406C8B">
      <w:pPr>
        <w:pStyle w:val="Heading2"/>
      </w:pPr>
      <w:r>
        <w:t>Formatting</w:t>
      </w:r>
    </w:p>
    <w:p w:rsidR="00406C8B" w:rsidRDefault="00406C8B" w:rsidP="00406C8B">
      <w:pPr>
        <w:pStyle w:val="ListParagraph"/>
        <w:numPr>
          <w:ilvl w:val="0"/>
          <w:numId w:val="1"/>
        </w:numPr>
      </w:pPr>
      <w:r>
        <w:t>Run AStyle script</w:t>
      </w:r>
    </w:p>
    <w:p w:rsidR="00406C8B" w:rsidRDefault="00406C8B" w:rsidP="00406C8B">
      <w:pPr>
        <w:pStyle w:val="ListParagraph"/>
      </w:pPr>
      <w:r w:rsidRPr="00406C8B">
        <w:t>RunAstyle.pl</w:t>
      </w:r>
    </w:p>
    <w:p w:rsidR="00406C8B" w:rsidRDefault="00406C8B" w:rsidP="00406C8B">
      <w:pPr>
        <w:pStyle w:val="ListParagraph"/>
      </w:pPr>
      <w:r>
        <w:t>I’m not even slightly happy about the way this looks but I’ve found no better alternative.</w:t>
      </w:r>
    </w:p>
    <w:p w:rsidR="00DB5208" w:rsidRDefault="00DB5208" w:rsidP="00DB5208">
      <w:pPr>
        <w:pStyle w:val="Heading2"/>
      </w:pPr>
      <w:r>
        <w:t>Begin/End versus start/length</w:t>
      </w:r>
    </w:p>
    <w:p w:rsidR="00DB5208" w:rsidRDefault="00DB5208" w:rsidP="00406C8B">
      <w:r>
        <w:t>STL is reasonably consistent, with most APIs using T* start, T* end, but some APIs use length instead of end. The Stroika convention is to always use T* start, T* end.</w:t>
      </w:r>
    </w:p>
    <w:p w:rsidR="00DB5208" w:rsidRDefault="00DB5208" w:rsidP="00DB5208">
      <w:pPr>
        <w:pStyle w:val="Heading3"/>
      </w:pPr>
      <w:r>
        <w:t>Rationale</w:t>
      </w:r>
    </w:p>
    <w:p w:rsidR="00FF2250" w:rsidRDefault="00FF2250" w:rsidP="00DB5208">
      <w:r>
        <w:t xml:space="preserve">One, this gives more consistent expectations. That’s especially important for APIs that use offsets (like String) – so that </w:t>
      </w:r>
      <w:r w:rsidR="0068482C">
        <w:t>it’s</w:t>
      </w:r>
      <w:r>
        <w:t xml:space="preserve"> obvious the meaning of integer parameters.</w:t>
      </w:r>
    </w:p>
    <w:p w:rsidR="00FF2250" w:rsidRDefault="00FF2250" w:rsidP="00DB5208">
      <w:r>
        <w:t>And it avoids problems with overflow. For example, if you had an API like:</w:t>
      </w:r>
    </w:p>
    <w:p w:rsidR="00FF2250" w:rsidRPr="00FF2250" w:rsidRDefault="00FF2250" w:rsidP="006E4860">
      <w:pPr>
        <w:pStyle w:val="CodeFragment"/>
      </w:pPr>
      <w:r w:rsidRPr="00FF2250">
        <w:t>basic_string substr(</w:t>
      </w:r>
    </w:p>
    <w:p w:rsidR="00FF2250" w:rsidRPr="00FF2250" w:rsidRDefault="00FF2250" w:rsidP="006E4860">
      <w:pPr>
        <w:pStyle w:val="CodeFragment"/>
      </w:pPr>
      <w:r w:rsidRPr="00FF2250">
        <w:t xml:space="preserve">   size_type _Off = 0,</w:t>
      </w:r>
    </w:p>
    <w:p w:rsidR="00FF2250" w:rsidRPr="00FF2250" w:rsidRDefault="00FF2250" w:rsidP="006E4860">
      <w:pPr>
        <w:pStyle w:val="CodeFragment"/>
      </w:pPr>
      <w:r w:rsidRPr="00FF2250">
        <w:t xml:space="preserve">   size_type _Count = npos</w:t>
      </w:r>
    </w:p>
    <w:p w:rsidR="00FF2250" w:rsidRPr="00FF2250" w:rsidRDefault="00FF2250" w:rsidP="006E4860">
      <w:pPr>
        <w:pStyle w:val="CodeFragment"/>
      </w:pPr>
      <w:r w:rsidRPr="00FF2250">
        <w:t>) con</w:t>
      </w:r>
      <w:r>
        <w:t>st</w:t>
      </w:r>
    </w:p>
    <w:p w:rsidR="00DB5208" w:rsidRDefault="00DB5208" w:rsidP="00DB5208"/>
    <w:p w:rsidR="00FF2250" w:rsidRDefault="00FF2250" w:rsidP="00DB5208">
      <w:r>
        <w:t>To map this to an internal representation you have todo:</w:t>
      </w:r>
    </w:p>
    <w:p w:rsidR="00FF2250" w:rsidRDefault="00FF2250" w:rsidP="006E4860">
      <w:pPr>
        <w:pStyle w:val="CodeFragment"/>
      </w:pPr>
      <w:r>
        <w:tab/>
        <w:t>char* s = m_bufPtr + _Off;</w:t>
      </w:r>
    </w:p>
    <w:p w:rsidR="00FF2250" w:rsidRDefault="00FF2250" w:rsidP="006E4860">
      <w:pPr>
        <w:pStyle w:val="CodeFragment"/>
      </w:pPr>
      <w:r>
        <w:tab/>
        <w:t>char* e = m_bufPtr + _Off + _Count;</w:t>
      </w:r>
    </w:p>
    <w:p w:rsidR="002649F3" w:rsidRDefault="002649F3" w:rsidP="006E4860">
      <w:pPr>
        <w:pStyle w:val="CodeFragment"/>
      </w:pPr>
    </w:p>
    <w:p w:rsidR="00FF2250" w:rsidRDefault="00FF2250" w:rsidP="00DB5208">
      <w:r>
        <w:t xml:space="preserve">but if count was numeric_limits&lt;size_t&gt;::max(), then the e pointer computation would overflow. There are ways around this, but mixing the two styles creates a number of </w:t>
      </w:r>
      <w:r w:rsidR="0068482C">
        <w:t>problems -</w:t>
      </w:r>
      <w:r>
        <w:t xml:space="preserve"> but for implementations – and for use. </w:t>
      </w:r>
    </w:p>
    <w:p w:rsidR="0068482C" w:rsidRDefault="0068482C" w:rsidP="0068482C">
      <w:pPr>
        <w:pStyle w:val="Heading2"/>
      </w:pPr>
      <w:r>
        <w:t>mk Factories</w:t>
      </w:r>
    </w:p>
    <w:p w:rsidR="0068482C" w:rsidRDefault="009A1FED" w:rsidP="0068482C">
      <w:r>
        <w:t>Stroika doesn’t make much use of the factory pattern, but occasionally – it is useful. If the type provided by the factory is exactly the type of a given class, then we generally use</w:t>
      </w:r>
    </w:p>
    <w:p w:rsidR="009A1FED" w:rsidRPr="00DE5A3A" w:rsidRDefault="005155BE" w:rsidP="00DE5A3A">
      <w:pPr>
        <w:pStyle w:val="CodeFragment"/>
      </w:pPr>
      <w:r w:rsidRPr="00DE5A3A">
        <w:t>s</w:t>
      </w:r>
      <w:r w:rsidR="009A1FED" w:rsidRPr="00DE5A3A">
        <w:t xml:space="preserve">truct T { </w:t>
      </w:r>
    </w:p>
    <w:p w:rsidR="009A1FED" w:rsidRPr="00DE5A3A" w:rsidRDefault="006E4860" w:rsidP="00DE5A3A">
      <w:pPr>
        <w:pStyle w:val="CodeFragment"/>
      </w:pPr>
      <w:r>
        <w:t xml:space="preserve">    </w:t>
      </w:r>
      <w:r w:rsidR="009A1FED" w:rsidRPr="00DE5A3A">
        <w:t>static T mk();</w:t>
      </w:r>
    </w:p>
    <w:p w:rsidR="009A1FED" w:rsidRDefault="009A1FED" w:rsidP="00DE5A3A">
      <w:pPr>
        <w:pStyle w:val="CodeFragment"/>
      </w:pPr>
      <w:r w:rsidRPr="00DE5A3A">
        <w:t>};</w:t>
      </w:r>
    </w:p>
    <w:p w:rsidR="00361436" w:rsidRPr="00DE5A3A" w:rsidRDefault="00361436" w:rsidP="00361436">
      <w:pPr>
        <w:pStyle w:val="CodeFragment"/>
        <w:ind w:left="0"/>
      </w:pPr>
      <w:r>
        <w:tab/>
        <w:t>Of course in this case, there was little obvious motivation to use a factory instead of regular constructor. However, if the class T is effectively a smart-pointer wrapper on some underlying dynamic ‘rep’ – this pattern may make sense.</w:t>
      </w:r>
    </w:p>
    <w:p w:rsidR="009A1FED" w:rsidRDefault="009A1FED" w:rsidP="0068482C"/>
    <w:p w:rsidR="009A1FED" w:rsidRDefault="009A1FED" w:rsidP="0068482C">
      <w:r>
        <w:t>But – for shared_ptr types, and typedefs, we generally use</w:t>
      </w:r>
    </w:p>
    <w:p w:rsidR="009A1FED" w:rsidRDefault="00E3686A" w:rsidP="001008DF">
      <w:pPr>
        <w:pStyle w:val="CodeFragment"/>
      </w:pPr>
      <w:r>
        <w:lastRenderedPageBreak/>
        <w:t>struct</w:t>
      </w:r>
      <w:r w:rsidR="009A1FED">
        <w:t xml:space="preserve"> </w:t>
      </w:r>
      <w:r w:rsidR="001008DF">
        <w:tab/>
      </w:r>
      <w:r w:rsidR="001008DF">
        <w:tab/>
      </w:r>
      <w:r w:rsidR="001008DF">
        <w:tab/>
      </w:r>
      <w:r>
        <w:t xml:space="preserve">      </w:t>
      </w:r>
      <w:bookmarkStart w:id="0" w:name="_GoBack"/>
      <w:bookmarkEnd w:id="0"/>
      <w:r w:rsidR="009A1FED">
        <w:t>X;</w:t>
      </w:r>
    </w:p>
    <w:p w:rsidR="009A1FED" w:rsidRDefault="00D81908" w:rsidP="001008DF">
      <w:pPr>
        <w:pStyle w:val="CodeFragment"/>
      </w:pPr>
      <w:r>
        <w:t>t</w:t>
      </w:r>
      <w:r w:rsidR="009A1FED">
        <w:t xml:space="preserve">ypedef  shared_ptr&lt;X&gt; </w:t>
      </w:r>
      <w:r w:rsidR="001008DF">
        <w:tab/>
      </w:r>
      <w:r w:rsidR="009A1FED">
        <w:t>XPtr;</w:t>
      </w:r>
    </w:p>
    <w:p w:rsidR="009A1FED" w:rsidRDefault="009A1FED" w:rsidP="001008DF">
      <w:pPr>
        <w:pStyle w:val="CodeFragment"/>
      </w:pPr>
      <w:r>
        <w:t xml:space="preserve">XPtr </w:t>
      </w:r>
      <w:r w:rsidR="001008DF">
        <w:tab/>
      </w:r>
      <w:r w:rsidR="001008DF">
        <w:tab/>
      </w:r>
      <w:r w:rsidR="001008DF">
        <w:tab/>
      </w:r>
      <w:r w:rsidR="001008DF">
        <w:tab/>
      </w:r>
      <w:r>
        <w:t>mkXPtr ();</w:t>
      </w:r>
    </w:p>
    <w:p w:rsidR="009A1FED" w:rsidRPr="0068482C" w:rsidRDefault="009A1FED" w:rsidP="0068482C">
      <w:r w:rsidRPr="0068482C">
        <w:t xml:space="preserve"> </w:t>
      </w:r>
    </w:p>
    <w:sectPr w:rsidR="009A1FED" w:rsidRPr="00684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1008DF"/>
    <w:rsid w:val="002649F3"/>
    <w:rsid w:val="003443AC"/>
    <w:rsid w:val="00361436"/>
    <w:rsid w:val="00406C8B"/>
    <w:rsid w:val="00447014"/>
    <w:rsid w:val="005155BE"/>
    <w:rsid w:val="0068482C"/>
    <w:rsid w:val="006D64B5"/>
    <w:rsid w:val="006E4860"/>
    <w:rsid w:val="009A1FED"/>
    <w:rsid w:val="00A13F6F"/>
    <w:rsid w:val="00C67EC1"/>
    <w:rsid w:val="00D81908"/>
    <w:rsid w:val="00DB5208"/>
    <w:rsid w:val="00DE3B82"/>
    <w:rsid w:val="00DE5A3A"/>
    <w:rsid w:val="00E3686A"/>
    <w:rsid w:val="00FF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 Pringle</cp:lastModifiedBy>
  <cp:revision>18</cp:revision>
  <dcterms:created xsi:type="dcterms:W3CDTF">2012-07-27T03:23:00Z</dcterms:created>
  <dcterms:modified xsi:type="dcterms:W3CDTF">2013-02-28T03:42:00Z</dcterms:modified>
</cp:coreProperties>
</file>