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7467DE" w14:textId="77777777" w:rsidR="008F5FFB" w:rsidRDefault="008F5FFB" w:rsidP="00B66836">
      <w:pPr>
        <w:jc w:val="center"/>
        <w:rPr>
          <w:rFonts w:ascii="Palatino Linotype" w:hAnsi="Palatino Linotype"/>
          <w:color w:val="660066"/>
          <w:sz w:val="40"/>
        </w:rPr>
      </w:pPr>
    </w:p>
    <w:p w14:paraId="24C19C72" w14:textId="77777777" w:rsidR="008F5FFB" w:rsidRDefault="008F5FFB" w:rsidP="00B66836">
      <w:pPr>
        <w:jc w:val="center"/>
        <w:rPr>
          <w:rFonts w:ascii="Palatino Linotype" w:hAnsi="Palatino Linotype"/>
          <w:color w:val="660066"/>
          <w:sz w:val="40"/>
        </w:rPr>
      </w:pPr>
    </w:p>
    <w:p w14:paraId="329B915D" w14:textId="77777777" w:rsidR="008F5FFB" w:rsidRDefault="008F5FFB" w:rsidP="00B66836">
      <w:pPr>
        <w:jc w:val="center"/>
        <w:rPr>
          <w:rFonts w:ascii="Palatino Linotype" w:hAnsi="Palatino Linotype"/>
          <w:color w:val="660066"/>
          <w:sz w:val="40"/>
        </w:rPr>
      </w:pPr>
    </w:p>
    <w:p w14:paraId="15246F5C" w14:textId="77777777" w:rsidR="008F5FFB" w:rsidRDefault="008F5FFB" w:rsidP="00B66836">
      <w:pPr>
        <w:jc w:val="center"/>
        <w:rPr>
          <w:rFonts w:ascii="Palatino Linotype" w:hAnsi="Palatino Linotype"/>
          <w:color w:val="660066"/>
          <w:sz w:val="40"/>
        </w:rPr>
      </w:pPr>
    </w:p>
    <w:p w14:paraId="31D0D658" w14:textId="77777777" w:rsidR="004469BF" w:rsidRPr="00B66836" w:rsidRDefault="008E5E43" w:rsidP="00B66836">
      <w:pPr>
        <w:jc w:val="center"/>
        <w:rPr>
          <w:rFonts w:ascii="Palatino Linotype" w:hAnsi="Palatino Linotype"/>
          <w:color w:val="660066"/>
          <w:sz w:val="40"/>
        </w:rPr>
      </w:pPr>
      <w:r w:rsidRPr="00B66836">
        <w:rPr>
          <w:rFonts w:ascii="Palatino Linotype" w:hAnsi="Palatino Linotype"/>
          <w:color w:val="660066"/>
          <w:sz w:val="40"/>
        </w:rPr>
        <w:t>Instructivo:</w:t>
      </w:r>
    </w:p>
    <w:p w14:paraId="33BBB11B" w14:textId="09133060" w:rsidR="008E5E43" w:rsidRPr="00166B74" w:rsidRDefault="008E5E43" w:rsidP="00166B74">
      <w:pPr>
        <w:pStyle w:val="Prrafodelista"/>
        <w:numPr>
          <w:ilvl w:val="0"/>
          <w:numId w:val="4"/>
        </w:numPr>
        <w:spacing w:after="0" w:line="240" w:lineRule="auto"/>
        <w:jc w:val="both"/>
        <w:rPr>
          <w:rFonts w:ascii="Palatino Linotype" w:hAnsi="Palatino Linotype"/>
          <w:sz w:val="24"/>
          <w:szCs w:val="24"/>
        </w:rPr>
      </w:pPr>
      <w:r w:rsidRPr="00166B74">
        <w:rPr>
          <w:rFonts w:ascii="Palatino Linotype" w:hAnsi="Palatino Linotype"/>
          <w:sz w:val="24"/>
          <w:szCs w:val="24"/>
        </w:rPr>
        <w:t xml:space="preserve">En la columna “Activo o Medida de seguridad”, se </w:t>
      </w:r>
      <w:r w:rsidR="00BE13D5">
        <w:rPr>
          <w:rFonts w:ascii="Palatino Linotype" w:hAnsi="Palatino Linotype"/>
          <w:sz w:val="24"/>
          <w:szCs w:val="24"/>
        </w:rPr>
        <w:t>detallará</w:t>
      </w:r>
      <w:r w:rsidRPr="00166B74">
        <w:rPr>
          <w:rFonts w:ascii="Palatino Linotype" w:hAnsi="Palatino Linotype"/>
          <w:sz w:val="24"/>
          <w:szCs w:val="24"/>
        </w:rPr>
        <w:t xml:space="preserve"> la</w:t>
      </w:r>
      <w:r w:rsidR="001130C3">
        <w:rPr>
          <w:rFonts w:ascii="Palatino Linotype" w:hAnsi="Palatino Linotype"/>
          <w:sz w:val="24"/>
          <w:szCs w:val="24"/>
        </w:rPr>
        <w:t>s</w:t>
      </w:r>
      <w:r w:rsidRPr="00166B74">
        <w:rPr>
          <w:rFonts w:ascii="Palatino Linotype" w:hAnsi="Palatino Linotype"/>
          <w:sz w:val="24"/>
          <w:szCs w:val="24"/>
        </w:rPr>
        <w:t xml:space="preserve"> debilidad</w:t>
      </w:r>
      <w:r w:rsidR="001130C3">
        <w:rPr>
          <w:rFonts w:ascii="Palatino Linotype" w:hAnsi="Palatino Linotype"/>
          <w:sz w:val="24"/>
          <w:szCs w:val="24"/>
        </w:rPr>
        <w:t>es y amenazas</w:t>
      </w:r>
      <w:r w:rsidRPr="00166B74">
        <w:rPr>
          <w:rFonts w:ascii="Palatino Linotype" w:hAnsi="Palatino Linotype"/>
          <w:sz w:val="24"/>
          <w:szCs w:val="24"/>
        </w:rPr>
        <w:t xml:space="preserve"> que se </w:t>
      </w:r>
      <w:r w:rsidR="001130C3">
        <w:rPr>
          <w:rFonts w:ascii="Palatino Linotype" w:hAnsi="Palatino Linotype"/>
          <w:sz w:val="24"/>
          <w:szCs w:val="24"/>
        </w:rPr>
        <w:t>hayan identificado de acuerdo al análisis FODA, importante que se refiere exclusivamente</w:t>
      </w:r>
      <w:r w:rsidR="00BE13D5">
        <w:rPr>
          <w:rFonts w:ascii="Palatino Linotype" w:hAnsi="Palatino Linotype"/>
          <w:sz w:val="24"/>
          <w:szCs w:val="24"/>
        </w:rPr>
        <w:t xml:space="preserve"> a la</w:t>
      </w:r>
      <w:r w:rsidR="001130C3">
        <w:rPr>
          <w:rFonts w:ascii="Palatino Linotype" w:hAnsi="Palatino Linotype"/>
          <w:sz w:val="24"/>
          <w:szCs w:val="24"/>
        </w:rPr>
        <w:t>s</w:t>
      </w:r>
      <w:r w:rsidR="00BE13D5">
        <w:rPr>
          <w:rFonts w:ascii="Palatino Linotype" w:hAnsi="Palatino Linotype"/>
          <w:sz w:val="24"/>
          <w:szCs w:val="24"/>
        </w:rPr>
        <w:t xml:space="preserve"> </w:t>
      </w:r>
      <w:r w:rsidR="001130C3">
        <w:rPr>
          <w:rFonts w:ascii="Palatino Linotype" w:hAnsi="Palatino Linotype"/>
          <w:sz w:val="24"/>
          <w:szCs w:val="24"/>
        </w:rPr>
        <w:t xml:space="preserve">medidas de </w:t>
      </w:r>
      <w:r w:rsidR="00BE13D5">
        <w:rPr>
          <w:rFonts w:ascii="Palatino Linotype" w:hAnsi="Palatino Linotype"/>
          <w:sz w:val="24"/>
          <w:szCs w:val="24"/>
        </w:rPr>
        <w:t>seguridad de los datos personales</w:t>
      </w:r>
      <w:r w:rsidR="001130C3">
        <w:rPr>
          <w:rFonts w:ascii="Palatino Linotype" w:hAnsi="Palatino Linotype"/>
          <w:sz w:val="24"/>
          <w:szCs w:val="24"/>
        </w:rPr>
        <w:t xml:space="preserve"> y los activos que participan</w:t>
      </w:r>
      <w:r w:rsidRPr="00166B74">
        <w:rPr>
          <w:rFonts w:ascii="Palatino Linotype" w:hAnsi="Palatino Linotype"/>
          <w:sz w:val="24"/>
          <w:szCs w:val="24"/>
        </w:rPr>
        <w:t>.</w:t>
      </w:r>
    </w:p>
    <w:p w14:paraId="4286290F" w14:textId="40338EBE" w:rsidR="008E5E43" w:rsidRPr="00166B74" w:rsidRDefault="008E5E43" w:rsidP="00166B74">
      <w:pPr>
        <w:pStyle w:val="Prrafodelista"/>
        <w:numPr>
          <w:ilvl w:val="0"/>
          <w:numId w:val="4"/>
        </w:numPr>
        <w:spacing w:after="0" w:line="240" w:lineRule="auto"/>
        <w:jc w:val="both"/>
        <w:rPr>
          <w:rFonts w:ascii="Palatino Linotype" w:hAnsi="Palatino Linotype"/>
          <w:sz w:val="24"/>
          <w:szCs w:val="24"/>
        </w:rPr>
      </w:pPr>
      <w:r w:rsidRPr="00166B74">
        <w:rPr>
          <w:rFonts w:ascii="Palatino Linotype" w:hAnsi="Palatino Linotype"/>
          <w:sz w:val="24"/>
          <w:szCs w:val="24"/>
        </w:rPr>
        <w:t>Las columnas: “SI”= existe medida de seguridad</w:t>
      </w:r>
      <w:r w:rsidR="001130C3">
        <w:rPr>
          <w:rFonts w:ascii="Palatino Linotype" w:hAnsi="Palatino Linotype"/>
          <w:sz w:val="24"/>
          <w:szCs w:val="24"/>
        </w:rPr>
        <w:t>, el activo</w:t>
      </w:r>
      <w:r w:rsidRPr="00166B74">
        <w:rPr>
          <w:rFonts w:ascii="Palatino Linotype" w:hAnsi="Palatino Linotype"/>
          <w:sz w:val="24"/>
          <w:szCs w:val="24"/>
        </w:rPr>
        <w:t xml:space="preserve"> o se tiene la fortaleza, aunque no den resultados positivos. “NO”</w:t>
      </w:r>
      <w:r w:rsidR="00B66836" w:rsidRPr="00166B74">
        <w:rPr>
          <w:rFonts w:ascii="Palatino Linotype" w:hAnsi="Palatino Linotype"/>
          <w:sz w:val="24"/>
          <w:szCs w:val="24"/>
        </w:rPr>
        <w:t>= No se tiene medida de seguridad o no se cuenta con los recursos.</w:t>
      </w:r>
      <w:r w:rsidRPr="00166B74">
        <w:rPr>
          <w:rFonts w:ascii="Palatino Linotype" w:hAnsi="Palatino Linotype"/>
          <w:sz w:val="24"/>
          <w:szCs w:val="24"/>
        </w:rPr>
        <w:t xml:space="preserve"> </w:t>
      </w:r>
    </w:p>
    <w:p w14:paraId="2FE1EC88" w14:textId="14F7EDE3" w:rsidR="00B66836" w:rsidRPr="00166B74" w:rsidRDefault="00BE13D5" w:rsidP="00166B74">
      <w:pPr>
        <w:pStyle w:val="Prrafodelista"/>
        <w:numPr>
          <w:ilvl w:val="0"/>
          <w:numId w:val="4"/>
        </w:numPr>
        <w:spacing w:after="0" w:line="240" w:lineRule="auto"/>
        <w:jc w:val="both"/>
        <w:rPr>
          <w:rFonts w:ascii="Palatino Linotype" w:hAnsi="Palatino Linotype"/>
          <w:sz w:val="24"/>
          <w:szCs w:val="24"/>
        </w:rPr>
      </w:pPr>
      <w:r>
        <w:rPr>
          <w:rFonts w:ascii="Palatino Linotype" w:hAnsi="Palatino Linotype"/>
          <w:sz w:val="24"/>
          <w:szCs w:val="24"/>
        </w:rPr>
        <w:t>En l</w:t>
      </w:r>
      <w:r w:rsidR="00B66836" w:rsidRPr="00166B74">
        <w:rPr>
          <w:rFonts w:ascii="Palatino Linotype" w:hAnsi="Palatino Linotype"/>
          <w:sz w:val="24"/>
          <w:szCs w:val="24"/>
        </w:rPr>
        <w:t>a columna central se deberá realizar la propuesta para: transformar una debilidad en fortaleza</w:t>
      </w:r>
      <w:r w:rsidR="001130C3">
        <w:rPr>
          <w:rFonts w:ascii="Palatino Linotype" w:hAnsi="Palatino Linotype"/>
          <w:sz w:val="24"/>
          <w:szCs w:val="24"/>
        </w:rPr>
        <w:t>, minimizar el daño de una amenaza</w:t>
      </w:r>
      <w:r w:rsidR="00B66836" w:rsidRPr="00166B74">
        <w:rPr>
          <w:rFonts w:ascii="Palatino Linotype" w:hAnsi="Palatino Linotype"/>
          <w:sz w:val="24"/>
          <w:szCs w:val="24"/>
        </w:rPr>
        <w:t>, implementar una medida de seguridad nueva, sustituir medidas de seguridad de poca eficiencia y eficacia.</w:t>
      </w:r>
    </w:p>
    <w:p w14:paraId="093BED35" w14:textId="77777777" w:rsidR="00B66836" w:rsidRPr="00166B74" w:rsidRDefault="00B66836" w:rsidP="00166B74">
      <w:pPr>
        <w:pStyle w:val="Prrafodelista"/>
        <w:numPr>
          <w:ilvl w:val="0"/>
          <w:numId w:val="4"/>
        </w:numPr>
        <w:spacing w:after="0" w:line="240" w:lineRule="auto"/>
        <w:jc w:val="both"/>
        <w:rPr>
          <w:rFonts w:ascii="Palatino Linotype" w:hAnsi="Palatino Linotype"/>
          <w:sz w:val="24"/>
          <w:szCs w:val="24"/>
        </w:rPr>
      </w:pPr>
      <w:r w:rsidRPr="00166B74">
        <w:rPr>
          <w:rFonts w:ascii="Palatino Linotype" w:hAnsi="Palatino Linotype"/>
          <w:sz w:val="24"/>
          <w:szCs w:val="24"/>
        </w:rPr>
        <w:t xml:space="preserve">Es importante establecer la unidad responsable y sustentarlo con el </w:t>
      </w:r>
      <w:r w:rsidR="00B23FDA">
        <w:rPr>
          <w:rFonts w:ascii="Palatino Linotype" w:hAnsi="Palatino Linotype"/>
          <w:sz w:val="24"/>
          <w:szCs w:val="24"/>
        </w:rPr>
        <w:t>documento o forma</w:t>
      </w:r>
      <w:r w:rsidRPr="00166B74">
        <w:rPr>
          <w:rFonts w:ascii="Palatino Linotype" w:hAnsi="Palatino Linotype"/>
          <w:sz w:val="24"/>
          <w:szCs w:val="24"/>
        </w:rPr>
        <w:t xml:space="preserve"> de comunicación utilizado para hacer del conocimiento</w:t>
      </w:r>
      <w:r w:rsidR="00B23FDA">
        <w:rPr>
          <w:rFonts w:ascii="Palatino Linotype" w:hAnsi="Palatino Linotype"/>
          <w:sz w:val="24"/>
          <w:szCs w:val="24"/>
        </w:rPr>
        <w:t xml:space="preserve"> y generar responsabilidad</w:t>
      </w:r>
      <w:r w:rsidRPr="00166B74">
        <w:rPr>
          <w:rFonts w:ascii="Palatino Linotype" w:hAnsi="Palatino Linotype"/>
          <w:sz w:val="24"/>
          <w:szCs w:val="24"/>
        </w:rPr>
        <w:t>.</w:t>
      </w:r>
    </w:p>
    <w:p w14:paraId="5B07CEE3" w14:textId="77777777" w:rsidR="00B66836" w:rsidRPr="00166B74" w:rsidRDefault="00B66836" w:rsidP="00166B74">
      <w:pPr>
        <w:pStyle w:val="Prrafodelista"/>
        <w:numPr>
          <w:ilvl w:val="0"/>
          <w:numId w:val="4"/>
        </w:numPr>
        <w:spacing w:after="0" w:line="240" w:lineRule="auto"/>
        <w:jc w:val="both"/>
        <w:rPr>
          <w:rFonts w:ascii="Palatino Linotype" w:hAnsi="Palatino Linotype"/>
          <w:sz w:val="24"/>
          <w:szCs w:val="24"/>
        </w:rPr>
      </w:pPr>
      <w:r w:rsidRPr="00166B74">
        <w:rPr>
          <w:rFonts w:ascii="Palatino Linotype" w:hAnsi="Palatino Linotype"/>
          <w:sz w:val="24"/>
          <w:szCs w:val="24"/>
        </w:rPr>
        <w:t>La fecha puede dar dos datos cuando la medida sugerida no dependa el cumplimiento de quien realiza el análisis, el primer dato será cuando se realizó la solicitud al área que realizará la dotación, la segunda cuando se reciba lo solicitado para mejorar la medida de seguridad propuesta.</w:t>
      </w:r>
    </w:p>
    <w:p w14:paraId="5598C2FD" w14:textId="77777777" w:rsidR="00B66836" w:rsidRPr="00166B74" w:rsidRDefault="00B66836" w:rsidP="00166B74">
      <w:pPr>
        <w:pStyle w:val="Prrafodelista"/>
        <w:numPr>
          <w:ilvl w:val="0"/>
          <w:numId w:val="4"/>
        </w:numPr>
        <w:spacing w:after="0" w:line="240" w:lineRule="auto"/>
        <w:jc w:val="both"/>
        <w:rPr>
          <w:rFonts w:ascii="Palatino Linotype" w:hAnsi="Palatino Linotype"/>
          <w:sz w:val="24"/>
          <w:szCs w:val="24"/>
        </w:rPr>
      </w:pPr>
      <w:r w:rsidRPr="00166B74">
        <w:rPr>
          <w:rFonts w:ascii="Palatino Linotype" w:hAnsi="Palatino Linotype"/>
          <w:sz w:val="24"/>
          <w:szCs w:val="24"/>
        </w:rPr>
        <w:t>En caso de que la medida la realice el ente sin necesidad de otras instancias, la fecha será única.</w:t>
      </w:r>
    </w:p>
    <w:p w14:paraId="607D4CA9" w14:textId="77777777" w:rsidR="008E5E43" w:rsidRPr="008E5E43" w:rsidRDefault="008E5E43" w:rsidP="00765198">
      <w:pPr>
        <w:spacing w:after="0" w:line="240" w:lineRule="auto"/>
        <w:jc w:val="both"/>
        <w:rPr>
          <w:rFonts w:ascii="Palatino Linotype" w:hAnsi="Palatino Linotype"/>
          <w:sz w:val="24"/>
          <w:szCs w:val="24"/>
        </w:rPr>
      </w:pPr>
    </w:p>
    <w:p w14:paraId="066FC8B4" w14:textId="4F83A0B2" w:rsidR="00166B74" w:rsidRDefault="00117BA1">
      <w:pPr>
        <w:rPr>
          <w:i/>
          <w:sz w:val="16"/>
          <w:szCs w:val="24"/>
        </w:rPr>
      </w:pPr>
      <w:r>
        <w:rPr>
          <w:i/>
          <w:sz w:val="16"/>
          <w:szCs w:val="24"/>
        </w:rPr>
        <w:t>Nota: El análisis deberá integrar el documento de seguridad de cada unidad administrativa, posteriormente se remitirá al encargado interno que realizará el Plan de Trabajo.</w:t>
      </w:r>
      <w:bookmarkStart w:id="0" w:name="_GoBack"/>
      <w:bookmarkEnd w:id="0"/>
      <w:r w:rsidR="00166B74">
        <w:rPr>
          <w:i/>
          <w:sz w:val="16"/>
          <w:szCs w:val="24"/>
        </w:rPr>
        <w:br w:type="page"/>
      </w:r>
    </w:p>
    <w:p w14:paraId="097362E2" w14:textId="77777777" w:rsidR="004469BF" w:rsidRDefault="004469BF" w:rsidP="00765198">
      <w:pPr>
        <w:spacing w:after="0" w:line="240" w:lineRule="auto"/>
        <w:jc w:val="both"/>
        <w:rPr>
          <w:i/>
          <w:sz w:val="16"/>
          <w:szCs w:val="24"/>
        </w:rPr>
      </w:pPr>
    </w:p>
    <w:p w14:paraId="2AA52223" w14:textId="77777777" w:rsidR="006B0363" w:rsidRDefault="004469BF" w:rsidP="004469BF">
      <w:pPr>
        <w:jc w:val="center"/>
        <w:rPr>
          <w:rFonts w:ascii="Palatino Linotype" w:hAnsi="Palatino Linotype"/>
          <w:color w:val="660066"/>
          <w:sz w:val="40"/>
        </w:rPr>
      </w:pPr>
      <w:r>
        <w:rPr>
          <w:rFonts w:ascii="Palatino Linotype" w:hAnsi="Palatino Linotype"/>
          <w:color w:val="660066"/>
          <w:sz w:val="40"/>
        </w:rPr>
        <w:t>Análisis de Brecha</w:t>
      </w:r>
      <w:r w:rsidR="00473218">
        <w:rPr>
          <w:rFonts w:ascii="Palatino Linotype" w:hAnsi="Palatino Linotype"/>
          <w:color w:val="660066"/>
          <w:sz w:val="40"/>
        </w:rPr>
        <w:t xml:space="preserve"> </w:t>
      </w:r>
    </w:p>
    <w:p w14:paraId="727BA040" w14:textId="590FB2B4" w:rsidR="00117BA1" w:rsidRPr="00117BA1" w:rsidRDefault="0044791D" w:rsidP="00117BA1">
      <w:pPr>
        <w:rPr>
          <w:rFonts w:ascii="Palatino Linotype" w:hAnsi="Palatino Linotype"/>
          <w:color w:val="660066"/>
          <w:sz w:val="28"/>
          <w:szCs w:val="28"/>
        </w:rPr>
      </w:pPr>
      <w:r w:rsidRPr="00117BA1">
        <w:rPr>
          <w:rFonts w:ascii="Palatino Linotype" w:hAnsi="Palatino Linotype"/>
          <w:color w:val="660066"/>
          <w:sz w:val="28"/>
          <w:szCs w:val="28"/>
        </w:rPr>
        <w:t>Área</w:t>
      </w:r>
      <w:r w:rsidR="00117BA1" w:rsidRPr="00117BA1">
        <w:rPr>
          <w:rFonts w:ascii="Palatino Linotype" w:hAnsi="Palatino Linotype"/>
          <w:color w:val="660066"/>
          <w:sz w:val="28"/>
          <w:szCs w:val="28"/>
        </w:rPr>
        <w:t>: (</w:t>
      </w:r>
      <w:r w:rsidR="00117BA1" w:rsidRPr="00117BA1">
        <w:rPr>
          <w:rFonts w:ascii="Palatino Linotype" w:hAnsi="Palatino Linotype"/>
          <w:color w:val="FF0000"/>
          <w:sz w:val="28"/>
          <w:szCs w:val="28"/>
        </w:rPr>
        <w:t>Unidad Administrativa que cuenta con bases de datos en tratamiento</w:t>
      </w:r>
      <w:r w:rsidR="00117BA1" w:rsidRPr="00117BA1">
        <w:rPr>
          <w:rFonts w:ascii="Palatino Linotype" w:hAnsi="Palatino Linotype"/>
          <w:color w:val="660066"/>
          <w:sz w:val="28"/>
          <w:szCs w:val="28"/>
        </w:rPr>
        <w:t>)</w:t>
      </w:r>
    </w:p>
    <w:p w14:paraId="1C1B6EBC" w14:textId="38BE7F3B" w:rsidR="004469BF" w:rsidRPr="00117BA1" w:rsidRDefault="0044791D" w:rsidP="00117BA1">
      <w:pPr>
        <w:rPr>
          <w:rFonts w:ascii="Palatino Linotype" w:hAnsi="Palatino Linotype"/>
          <w:color w:val="660066"/>
          <w:sz w:val="28"/>
          <w:szCs w:val="28"/>
        </w:rPr>
      </w:pPr>
      <w:r w:rsidRPr="00117BA1">
        <w:rPr>
          <w:rFonts w:ascii="Palatino Linotype" w:hAnsi="Palatino Linotype"/>
          <w:color w:val="660066"/>
          <w:sz w:val="28"/>
          <w:szCs w:val="28"/>
        </w:rPr>
        <w:t>Sujeto Obligado</w:t>
      </w:r>
      <w:r w:rsidR="00117BA1">
        <w:rPr>
          <w:rFonts w:ascii="Palatino Linotype" w:hAnsi="Palatino Linotype"/>
          <w:color w:val="660066"/>
          <w:sz w:val="28"/>
          <w:szCs w:val="28"/>
        </w:rPr>
        <w:t xml:space="preserve">: </w:t>
      </w:r>
    </w:p>
    <w:tbl>
      <w:tblPr>
        <w:tblStyle w:val="Tablaconcuadrcula"/>
        <w:tblW w:w="13261" w:type="dxa"/>
        <w:tblLayout w:type="fixed"/>
        <w:tblLook w:val="04A0" w:firstRow="1" w:lastRow="0" w:firstColumn="1" w:lastColumn="0" w:noHBand="0" w:noVBand="1"/>
      </w:tblPr>
      <w:tblGrid>
        <w:gridCol w:w="3853"/>
        <w:gridCol w:w="588"/>
        <w:gridCol w:w="663"/>
        <w:gridCol w:w="4247"/>
        <w:gridCol w:w="2454"/>
        <w:gridCol w:w="1456"/>
      </w:tblGrid>
      <w:tr w:rsidR="004469BF" w14:paraId="4C7EBA20" w14:textId="77777777" w:rsidTr="00166B74">
        <w:tc>
          <w:tcPr>
            <w:tcW w:w="3853" w:type="dxa"/>
            <w:vMerge w:val="restart"/>
            <w:vAlign w:val="center"/>
          </w:tcPr>
          <w:p w14:paraId="6373E9DA" w14:textId="77777777" w:rsidR="004469BF" w:rsidRPr="00985BA7" w:rsidRDefault="004469BF" w:rsidP="004F6F78">
            <w:pPr>
              <w:jc w:val="center"/>
              <w:rPr>
                <w:b/>
                <w:bCs/>
              </w:rPr>
            </w:pPr>
            <w:r w:rsidRPr="00985BA7">
              <w:rPr>
                <w:b/>
                <w:bCs/>
              </w:rPr>
              <w:t>Activo</w:t>
            </w:r>
            <w:r>
              <w:rPr>
                <w:b/>
                <w:bCs/>
              </w:rPr>
              <w:t xml:space="preserve"> o Medida de seguridad</w:t>
            </w:r>
          </w:p>
        </w:tc>
        <w:tc>
          <w:tcPr>
            <w:tcW w:w="1251" w:type="dxa"/>
            <w:gridSpan w:val="2"/>
          </w:tcPr>
          <w:p w14:paraId="70DF3BF1" w14:textId="77777777" w:rsidR="004469BF" w:rsidRPr="004469BF" w:rsidRDefault="004469BF" w:rsidP="004F6F78">
            <w:pPr>
              <w:jc w:val="center"/>
              <w:rPr>
                <w:b/>
                <w:bCs/>
                <w:sz w:val="20"/>
                <w:szCs w:val="20"/>
              </w:rPr>
            </w:pPr>
            <w:r w:rsidRPr="004469BF">
              <w:rPr>
                <w:b/>
                <w:bCs/>
                <w:sz w:val="20"/>
                <w:szCs w:val="20"/>
              </w:rPr>
              <w:t>Medidas de seguridad</w:t>
            </w:r>
            <w:r w:rsidR="00F80125">
              <w:rPr>
                <w:b/>
                <w:bCs/>
                <w:sz w:val="20"/>
                <w:szCs w:val="20"/>
              </w:rPr>
              <w:t xml:space="preserve"> o activo</w:t>
            </w:r>
          </w:p>
        </w:tc>
        <w:tc>
          <w:tcPr>
            <w:tcW w:w="4247" w:type="dxa"/>
            <w:vMerge w:val="restart"/>
            <w:vAlign w:val="center"/>
          </w:tcPr>
          <w:p w14:paraId="3F0B6E08" w14:textId="77777777" w:rsidR="004469BF" w:rsidRPr="00985BA7" w:rsidRDefault="004469BF" w:rsidP="004F6F78">
            <w:pPr>
              <w:jc w:val="center"/>
              <w:rPr>
                <w:b/>
                <w:bCs/>
              </w:rPr>
            </w:pPr>
            <w:r>
              <w:rPr>
                <w:b/>
                <w:bCs/>
              </w:rPr>
              <w:t>Propuesta de medida de seguridad nueva o mejorada</w:t>
            </w:r>
          </w:p>
        </w:tc>
        <w:tc>
          <w:tcPr>
            <w:tcW w:w="2454" w:type="dxa"/>
            <w:vMerge w:val="restart"/>
            <w:vAlign w:val="center"/>
          </w:tcPr>
          <w:p w14:paraId="34890EE2" w14:textId="77777777" w:rsidR="004469BF" w:rsidRPr="00985BA7" w:rsidRDefault="004469BF" w:rsidP="004F6F78">
            <w:pPr>
              <w:jc w:val="center"/>
              <w:rPr>
                <w:b/>
                <w:bCs/>
              </w:rPr>
            </w:pPr>
            <w:r>
              <w:rPr>
                <w:b/>
                <w:bCs/>
              </w:rPr>
              <w:t>Unidad Responsable</w:t>
            </w:r>
          </w:p>
        </w:tc>
        <w:tc>
          <w:tcPr>
            <w:tcW w:w="1456" w:type="dxa"/>
            <w:vMerge w:val="restart"/>
            <w:vAlign w:val="center"/>
          </w:tcPr>
          <w:p w14:paraId="090CD61D" w14:textId="77777777" w:rsidR="004469BF" w:rsidRDefault="004469BF" w:rsidP="004F6F78">
            <w:pPr>
              <w:jc w:val="center"/>
              <w:rPr>
                <w:b/>
                <w:bCs/>
              </w:rPr>
            </w:pPr>
            <w:r>
              <w:rPr>
                <w:b/>
                <w:bCs/>
              </w:rPr>
              <w:t>Fecha</w:t>
            </w:r>
          </w:p>
        </w:tc>
      </w:tr>
      <w:tr w:rsidR="004469BF" w:rsidRPr="00985BA7" w14:paraId="143278F5" w14:textId="77777777" w:rsidTr="00166B74">
        <w:tc>
          <w:tcPr>
            <w:tcW w:w="3853" w:type="dxa"/>
            <w:vMerge/>
          </w:tcPr>
          <w:p w14:paraId="34B7422E" w14:textId="77777777" w:rsidR="004469BF" w:rsidRPr="00985BA7" w:rsidRDefault="004469BF" w:rsidP="004F6F78">
            <w:pPr>
              <w:jc w:val="center"/>
              <w:rPr>
                <w:b/>
                <w:bCs/>
              </w:rPr>
            </w:pPr>
          </w:p>
        </w:tc>
        <w:tc>
          <w:tcPr>
            <w:tcW w:w="588" w:type="dxa"/>
          </w:tcPr>
          <w:p w14:paraId="7572AF68" w14:textId="77777777" w:rsidR="004469BF" w:rsidRPr="00985BA7" w:rsidRDefault="004469BF" w:rsidP="004F6F78">
            <w:pPr>
              <w:jc w:val="center"/>
              <w:rPr>
                <w:b/>
                <w:bCs/>
              </w:rPr>
            </w:pPr>
            <w:r>
              <w:rPr>
                <w:b/>
                <w:bCs/>
              </w:rPr>
              <w:t>Si</w:t>
            </w:r>
          </w:p>
        </w:tc>
        <w:tc>
          <w:tcPr>
            <w:tcW w:w="663" w:type="dxa"/>
          </w:tcPr>
          <w:p w14:paraId="4BC01AAC" w14:textId="77777777" w:rsidR="004469BF" w:rsidRPr="00985BA7" w:rsidRDefault="004469BF" w:rsidP="004F6F78">
            <w:pPr>
              <w:jc w:val="center"/>
              <w:rPr>
                <w:b/>
                <w:bCs/>
              </w:rPr>
            </w:pPr>
            <w:r>
              <w:rPr>
                <w:b/>
                <w:bCs/>
              </w:rPr>
              <w:t>No</w:t>
            </w:r>
          </w:p>
        </w:tc>
        <w:tc>
          <w:tcPr>
            <w:tcW w:w="4247" w:type="dxa"/>
            <w:vMerge/>
          </w:tcPr>
          <w:p w14:paraId="23CC15EC" w14:textId="77777777" w:rsidR="004469BF" w:rsidRPr="00985BA7" w:rsidRDefault="004469BF" w:rsidP="004F6F78">
            <w:pPr>
              <w:jc w:val="center"/>
              <w:rPr>
                <w:b/>
                <w:bCs/>
              </w:rPr>
            </w:pPr>
          </w:p>
        </w:tc>
        <w:tc>
          <w:tcPr>
            <w:tcW w:w="2454" w:type="dxa"/>
            <w:vMerge/>
          </w:tcPr>
          <w:p w14:paraId="6771C59D" w14:textId="77777777" w:rsidR="004469BF" w:rsidRPr="00985BA7" w:rsidRDefault="004469BF" w:rsidP="004F6F78">
            <w:pPr>
              <w:jc w:val="center"/>
              <w:rPr>
                <w:b/>
                <w:bCs/>
              </w:rPr>
            </w:pPr>
          </w:p>
        </w:tc>
        <w:tc>
          <w:tcPr>
            <w:tcW w:w="1456" w:type="dxa"/>
            <w:vMerge/>
          </w:tcPr>
          <w:p w14:paraId="12B711CC" w14:textId="77777777" w:rsidR="004469BF" w:rsidRPr="00985BA7" w:rsidRDefault="004469BF" w:rsidP="004F6F78">
            <w:pPr>
              <w:jc w:val="center"/>
              <w:rPr>
                <w:b/>
                <w:bCs/>
              </w:rPr>
            </w:pPr>
          </w:p>
        </w:tc>
      </w:tr>
      <w:tr w:rsidR="004469BF" w14:paraId="60E1EEA0" w14:textId="77777777" w:rsidTr="00166B74">
        <w:tc>
          <w:tcPr>
            <w:tcW w:w="3853" w:type="dxa"/>
          </w:tcPr>
          <w:p w14:paraId="6F570B2B" w14:textId="7F23D52B" w:rsidR="004469BF" w:rsidRDefault="004469BF" w:rsidP="004F6F78"/>
        </w:tc>
        <w:tc>
          <w:tcPr>
            <w:tcW w:w="588" w:type="dxa"/>
          </w:tcPr>
          <w:p w14:paraId="79546B5A" w14:textId="77777777" w:rsidR="004469BF" w:rsidRDefault="004469BF" w:rsidP="004F6F78"/>
        </w:tc>
        <w:tc>
          <w:tcPr>
            <w:tcW w:w="663" w:type="dxa"/>
          </w:tcPr>
          <w:p w14:paraId="36A749EA" w14:textId="156453AD" w:rsidR="004469BF" w:rsidRDefault="004469BF" w:rsidP="004F6F78"/>
        </w:tc>
        <w:tc>
          <w:tcPr>
            <w:tcW w:w="4247" w:type="dxa"/>
          </w:tcPr>
          <w:p w14:paraId="7AAE1C91" w14:textId="77777777" w:rsidR="00393608" w:rsidRPr="008C7684" w:rsidRDefault="00393608" w:rsidP="004F6F78"/>
        </w:tc>
        <w:tc>
          <w:tcPr>
            <w:tcW w:w="2454" w:type="dxa"/>
          </w:tcPr>
          <w:p w14:paraId="048AF053" w14:textId="3F39C7B7" w:rsidR="004469BF" w:rsidRPr="00F93FB9" w:rsidRDefault="004469BF" w:rsidP="00F93FB9">
            <w:pPr>
              <w:jc w:val="center"/>
            </w:pPr>
          </w:p>
        </w:tc>
        <w:tc>
          <w:tcPr>
            <w:tcW w:w="1456" w:type="dxa"/>
          </w:tcPr>
          <w:p w14:paraId="61324730" w14:textId="10198CC3" w:rsidR="004469BF" w:rsidRPr="00F93FB9" w:rsidRDefault="004469BF" w:rsidP="00F93FB9">
            <w:pPr>
              <w:jc w:val="center"/>
            </w:pPr>
          </w:p>
        </w:tc>
      </w:tr>
      <w:tr w:rsidR="004469BF" w14:paraId="4AFD3263" w14:textId="77777777" w:rsidTr="00166B74">
        <w:tc>
          <w:tcPr>
            <w:tcW w:w="3853" w:type="dxa"/>
          </w:tcPr>
          <w:p w14:paraId="568C696F" w14:textId="1CB5D18D" w:rsidR="004469BF" w:rsidRPr="008C7684" w:rsidRDefault="004469BF" w:rsidP="008C7684">
            <w:pPr>
              <w:jc w:val="both"/>
              <w:rPr>
                <w:color w:val="92D050"/>
                <w:sz w:val="24"/>
                <w:szCs w:val="24"/>
              </w:rPr>
            </w:pPr>
          </w:p>
        </w:tc>
        <w:tc>
          <w:tcPr>
            <w:tcW w:w="588" w:type="dxa"/>
          </w:tcPr>
          <w:p w14:paraId="63B5A415" w14:textId="77777777" w:rsidR="004469BF" w:rsidRDefault="004469BF" w:rsidP="004F6F78"/>
        </w:tc>
        <w:tc>
          <w:tcPr>
            <w:tcW w:w="663" w:type="dxa"/>
          </w:tcPr>
          <w:p w14:paraId="4A64B4E3" w14:textId="44EAD20A" w:rsidR="004469BF" w:rsidRDefault="004469BF" w:rsidP="004F6F78"/>
        </w:tc>
        <w:tc>
          <w:tcPr>
            <w:tcW w:w="4247" w:type="dxa"/>
          </w:tcPr>
          <w:p w14:paraId="147C3A97" w14:textId="13A0D078" w:rsidR="008C7684" w:rsidRPr="00B23FDA" w:rsidRDefault="008C7684" w:rsidP="00B23FDA">
            <w:pPr>
              <w:jc w:val="both"/>
              <w:rPr>
                <w:sz w:val="24"/>
                <w:szCs w:val="24"/>
              </w:rPr>
            </w:pPr>
          </w:p>
        </w:tc>
        <w:tc>
          <w:tcPr>
            <w:tcW w:w="2454" w:type="dxa"/>
          </w:tcPr>
          <w:p w14:paraId="7CE06953" w14:textId="3A525259" w:rsidR="004469BF" w:rsidRPr="00F93FB9" w:rsidRDefault="004469BF" w:rsidP="00F93FB9">
            <w:pPr>
              <w:jc w:val="center"/>
            </w:pPr>
          </w:p>
        </w:tc>
        <w:tc>
          <w:tcPr>
            <w:tcW w:w="1456" w:type="dxa"/>
          </w:tcPr>
          <w:p w14:paraId="48359761" w14:textId="26AF9E22" w:rsidR="004469BF" w:rsidRPr="00F93FB9" w:rsidRDefault="004469BF" w:rsidP="00F93FB9">
            <w:pPr>
              <w:jc w:val="center"/>
            </w:pPr>
          </w:p>
        </w:tc>
      </w:tr>
      <w:tr w:rsidR="004469BF" w14:paraId="2DF1E86A" w14:textId="77777777" w:rsidTr="00166B74">
        <w:tc>
          <w:tcPr>
            <w:tcW w:w="3853" w:type="dxa"/>
          </w:tcPr>
          <w:p w14:paraId="6E82EB1C" w14:textId="0634DCAD" w:rsidR="004469BF" w:rsidRDefault="004469BF" w:rsidP="004F6F78"/>
        </w:tc>
        <w:tc>
          <w:tcPr>
            <w:tcW w:w="588" w:type="dxa"/>
          </w:tcPr>
          <w:p w14:paraId="2F8287A3" w14:textId="7F889A54" w:rsidR="004469BF" w:rsidRDefault="004469BF" w:rsidP="004F6F78"/>
        </w:tc>
        <w:tc>
          <w:tcPr>
            <w:tcW w:w="663" w:type="dxa"/>
          </w:tcPr>
          <w:p w14:paraId="3D9A326F" w14:textId="77777777" w:rsidR="004469BF" w:rsidRDefault="004469BF" w:rsidP="004F6F78"/>
        </w:tc>
        <w:tc>
          <w:tcPr>
            <w:tcW w:w="4247" w:type="dxa"/>
          </w:tcPr>
          <w:p w14:paraId="5F8DAB55" w14:textId="1B6A4571" w:rsidR="004469BF" w:rsidRPr="00B23FDA" w:rsidRDefault="004469BF" w:rsidP="004F6F78">
            <w:pPr>
              <w:rPr>
                <w:sz w:val="24"/>
                <w:szCs w:val="24"/>
              </w:rPr>
            </w:pPr>
          </w:p>
        </w:tc>
        <w:tc>
          <w:tcPr>
            <w:tcW w:w="2454" w:type="dxa"/>
          </w:tcPr>
          <w:p w14:paraId="58F2C201" w14:textId="13B2B4E1" w:rsidR="004469BF" w:rsidRPr="00F93FB9" w:rsidRDefault="004469BF" w:rsidP="00F93FB9">
            <w:pPr>
              <w:jc w:val="center"/>
            </w:pPr>
          </w:p>
        </w:tc>
        <w:tc>
          <w:tcPr>
            <w:tcW w:w="1456" w:type="dxa"/>
          </w:tcPr>
          <w:p w14:paraId="7409904E" w14:textId="032DEB90" w:rsidR="004469BF" w:rsidRPr="00F93FB9" w:rsidRDefault="004469BF" w:rsidP="00F93FB9">
            <w:pPr>
              <w:jc w:val="center"/>
            </w:pPr>
          </w:p>
        </w:tc>
      </w:tr>
      <w:tr w:rsidR="004469BF" w14:paraId="2EE7A7AF" w14:textId="77777777" w:rsidTr="00F97BF1">
        <w:trPr>
          <w:trHeight w:val="598"/>
        </w:trPr>
        <w:tc>
          <w:tcPr>
            <w:tcW w:w="3853" w:type="dxa"/>
          </w:tcPr>
          <w:p w14:paraId="346DE986" w14:textId="35029325" w:rsidR="004469BF" w:rsidRPr="00166B74" w:rsidRDefault="004469BF" w:rsidP="004F6F78">
            <w:pPr>
              <w:rPr>
                <w:color w:val="0070C0"/>
              </w:rPr>
            </w:pPr>
          </w:p>
        </w:tc>
        <w:tc>
          <w:tcPr>
            <w:tcW w:w="588" w:type="dxa"/>
          </w:tcPr>
          <w:p w14:paraId="77A48A4D" w14:textId="36957A68" w:rsidR="004469BF" w:rsidRDefault="004469BF" w:rsidP="004F6F78"/>
        </w:tc>
        <w:tc>
          <w:tcPr>
            <w:tcW w:w="663" w:type="dxa"/>
          </w:tcPr>
          <w:p w14:paraId="7E5A96E4" w14:textId="77777777" w:rsidR="004469BF" w:rsidRDefault="004469BF" w:rsidP="004F6F78"/>
        </w:tc>
        <w:tc>
          <w:tcPr>
            <w:tcW w:w="4247" w:type="dxa"/>
          </w:tcPr>
          <w:p w14:paraId="745BB0D2" w14:textId="56F6BC38" w:rsidR="004469BF" w:rsidRPr="00B23FDA" w:rsidRDefault="004469BF" w:rsidP="004F6F78">
            <w:pPr>
              <w:rPr>
                <w:sz w:val="24"/>
                <w:szCs w:val="24"/>
              </w:rPr>
            </w:pPr>
          </w:p>
        </w:tc>
        <w:tc>
          <w:tcPr>
            <w:tcW w:w="2454" w:type="dxa"/>
          </w:tcPr>
          <w:p w14:paraId="7C9B5C33" w14:textId="10A87DED" w:rsidR="004469BF" w:rsidRDefault="004469BF" w:rsidP="00166B74">
            <w:pPr>
              <w:jc w:val="center"/>
            </w:pPr>
          </w:p>
        </w:tc>
        <w:tc>
          <w:tcPr>
            <w:tcW w:w="1456" w:type="dxa"/>
          </w:tcPr>
          <w:p w14:paraId="6F2D10BA" w14:textId="49D1CCBE" w:rsidR="004469BF" w:rsidRDefault="004469BF" w:rsidP="004F6F78"/>
        </w:tc>
      </w:tr>
      <w:tr w:rsidR="00166B74" w14:paraId="1BA77F1C" w14:textId="77777777" w:rsidTr="00166B74">
        <w:tc>
          <w:tcPr>
            <w:tcW w:w="3853" w:type="dxa"/>
          </w:tcPr>
          <w:p w14:paraId="08189EA6" w14:textId="3ED3B20E" w:rsidR="00166B74" w:rsidRPr="00166B74" w:rsidRDefault="00166B74" w:rsidP="004F6F78">
            <w:pPr>
              <w:rPr>
                <w:color w:val="0070C0"/>
              </w:rPr>
            </w:pPr>
          </w:p>
        </w:tc>
        <w:tc>
          <w:tcPr>
            <w:tcW w:w="588" w:type="dxa"/>
          </w:tcPr>
          <w:p w14:paraId="338AF104" w14:textId="77777777" w:rsidR="00166B74" w:rsidRDefault="00166B74" w:rsidP="004F6F78"/>
        </w:tc>
        <w:tc>
          <w:tcPr>
            <w:tcW w:w="663" w:type="dxa"/>
          </w:tcPr>
          <w:p w14:paraId="744CEE75" w14:textId="1F85C538" w:rsidR="00166B74" w:rsidRDefault="00166B74" w:rsidP="004F6F78"/>
        </w:tc>
        <w:tc>
          <w:tcPr>
            <w:tcW w:w="4247" w:type="dxa"/>
          </w:tcPr>
          <w:p w14:paraId="4664EDB3" w14:textId="529F84B6" w:rsidR="00166B74" w:rsidRPr="00B23FDA" w:rsidRDefault="00166B74" w:rsidP="004F6F78">
            <w:pPr>
              <w:rPr>
                <w:sz w:val="24"/>
                <w:szCs w:val="24"/>
              </w:rPr>
            </w:pPr>
          </w:p>
        </w:tc>
        <w:tc>
          <w:tcPr>
            <w:tcW w:w="2454" w:type="dxa"/>
          </w:tcPr>
          <w:p w14:paraId="28FFB4C9" w14:textId="6118E56A" w:rsidR="00166B74" w:rsidRPr="00F93FB9" w:rsidRDefault="00166B74" w:rsidP="00166B74">
            <w:pPr>
              <w:jc w:val="center"/>
            </w:pPr>
          </w:p>
        </w:tc>
        <w:tc>
          <w:tcPr>
            <w:tcW w:w="1456" w:type="dxa"/>
          </w:tcPr>
          <w:p w14:paraId="74C744CE" w14:textId="2AF3ABF7" w:rsidR="00166B74" w:rsidRDefault="00166B74" w:rsidP="004F6F78"/>
        </w:tc>
      </w:tr>
      <w:tr w:rsidR="00E83127" w14:paraId="4D67399E" w14:textId="77777777" w:rsidTr="00166B74">
        <w:tc>
          <w:tcPr>
            <w:tcW w:w="3853" w:type="dxa"/>
          </w:tcPr>
          <w:p w14:paraId="03C41AC9" w14:textId="5A62A517" w:rsidR="00E83127" w:rsidRPr="00166B74" w:rsidRDefault="00E83127" w:rsidP="004F6F78">
            <w:pPr>
              <w:rPr>
                <w:color w:val="538135" w:themeColor="accent6" w:themeShade="BF"/>
              </w:rPr>
            </w:pPr>
          </w:p>
        </w:tc>
        <w:tc>
          <w:tcPr>
            <w:tcW w:w="588" w:type="dxa"/>
          </w:tcPr>
          <w:p w14:paraId="15443AAF" w14:textId="77777777" w:rsidR="00E83127" w:rsidRDefault="00E83127" w:rsidP="004F6F78"/>
        </w:tc>
        <w:tc>
          <w:tcPr>
            <w:tcW w:w="663" w:type="dxa"/>
          </w:tcPr>
          <w:p w14:paraId="758BFEBF" w14:textId="69EBBC39" w:rsidR="00E83127" w:rsidRDefault="00E83127" w:rsidP="004F6F78"/>
        </w:tc>
        <w:tc>
          <w:tcPr>
            <w:tcW w:w="4247" w:type="dxa"/>
          </w:tcPr>
          <w:p w14:paraId="16B8E7EA" w14:textId="4CB32830" w:rsidR="00E83127" w:rsidRPr="00B23FDA" w:rsidRDefault="00E83127" w:rsidP="004F6F78">
            <w:pPr>
              <w:rPr>
                <w:sz w:val="24"/>
                <w:szCs w:val="24"/>
              </w:rPr>
            </w:pPr>
          </w:p>
        </w:tc>
        <w:tc>
          <w:tcPr>
            <w:tcW w:w="2454" w:type="dxa"/>
          </w:tcPr>
          <w:p w14:paraId="4EA5BFAB" w14:textId="132606AD" w:rsidR="00E83127" w:rsidRDefault="00E83127" w:rsidP="00166B74">
            <w:pPr>
              <w:jc w:val="center"/>
            </w:pPr>
          </w:p>
        </w:tc>
        <w:tc>
          <w:tcPr>
            <w:tcW w:w="1456" w:type="dxa"/>
          </w:tcPr>
          <w:p w14:paraId="47B6DDC9" w14:textId="77777777" w:rsidR="00E83127" w:rsidRDefault="00E83127" w:rsidP="004F6F78"/>
        </w:tc>
      </w:tr>
    </w:tbl>
    <w:p w14:paraId="0C1A34D3" w14:textId="77777777" w:rsidR="004469BF" w:rsidRPr="00645AC0" w:rsidRDefault="004469BF" w:rsidP="00765198">
      <w:pPr>
        <w:spacing w:after="0" w:line="240" w:lineRule="auto"/>
        <w:jc w:val="both"/>
        <w:rPr>
          <w:i/>
          <w:sz w:val="16"/>
          <w:szCs w:val="24"/>
        </w:rPr>
      </w:pPr>
    </w:p>
    <w:p w14:paraId="64692EA2" w14:textId="77777777" w:rsidR="00765198" w:rsidRDefault="00765198" w:rsidP="00765198">
      <w:pPr>
        <w:spacing w:after="0" w:line="240" w:lineRule="auto"/>
        <w:jc w:val="both"/>
        <w:rPr>
          <w:b/>
          <w:i/>
          <w:sz w:val="24"/>
          <w:szCs w:val="24"/>
        </w:rPr>
      </w:pPr>
    </w:p>
    <w:p w14:paraId="322EEE98" w14:textId="77777777" w:rsidR="00F80125" w:rsidRDefault="00F80125" w:rsidP="00765198">
      <w:pPr>
        <w:spacing w:after="0" w:line="240" w:lineRule="auto"/>
        <w:jc w:val="both"/>
        <w:rPr>
          <w:b/>
          <w:i/>
          <w:sz w:val="24"/>
          <w:szCs w:val="24"/>
        </w:rPr>
      </w:pPr>
    </w:p>
    <w:p w14:paraId="4D840CB8" w14:textId="77777777" w:rsidR="00B23FDA" w:rsidRDefault="00B23FDA" w:rsidP="00765198">
      <w:pPr>
        <w:spacing w:after="0" w:line="240" w:lineRule="auto"/>
        <w:jc w:val="both"/>
        <w:rPr>
          <w:b/>
          <w:i/>
          <w:sz w:val="24"/>
          <w:szCs w:val="24"/>
        </w:rPr>
      </w:pPr>
    </w:p>
    <w:p w14:paraId="2DE9BFE4" w14:textId="77777777" w:rsidR="00D31C3D" w:rsidRDefault="00D31C3D" w:rsidP="00765198">
      <w:pPr>
        <w:spacing w:after="0" w:line="240" w:lineRule="auto"/>
        <w:jc w:val="both"/>
        <w:rPr>
          <w:b/>
          <w:i/>
          <w:sz w:val="24"/>
          <w:szCs w:val="24"/>
        </w:rPr>
      </w:pPr>
    </w:p>
    <w:p w14:paraId="7B736232" w14:textId="020343BD" w:rsidR="00D31C3D" w:rsidRDefault="00D31C3D" w:rsidP="00765198">
      <w:pPr>
        <w:spacing w:after="0" w:line="240" w:lineRule="auto"/>
        <w:jc w:val="both"/>
        <w:rPr>
          <w:b/>
          <w:i/>
          <w:sz w:val="24"/>
          <w:szCs w:val="24"/>
        </w:rPr>
      </w:pPr>
    </w:p>
    <w:p w14:paraId="148B063D" w14:textId="77777777" w:rsidR="00D31C3D" w:rsidRDefault="00D31C3D" w:rsidP="00765198">
      <w:pPr>
        <w:spacing w:after="0" w:line="240" w:lineRule="auto"/>
        <w:jc w:val="both"/>
        <w:rPr>
          <w:b/>
          <w:i/>
          <w:sz w:val="24"/>
          <w:szCs w:val="24"/>
        </w:rPr>
      </w:pPr>
    </w:p>
    <w:sectPr w:rsidR="00D31C3D" w:rsidSect="004469BF">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40901"/>
    <w:multiLevelType w:val="hybridMultilevel"/>
    <w:tmpl w:val="2C0659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ABF0E91"/>
    <w:multiLevelType w:val="hybridMultilevel"/>
    <w:tmpl w:val="E0CC796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8DC5830"/>
    <w:multiLevelType w:val="hybridMultilevel"/>
    <w:tmpl w:val="E72404CE"/>
    <w:lvl w:ilvl="0" w:tplc="3CD87962">
      <w:numFmt w:val="bullet"/>
      <w:lvlText w:val="-"/>
      <w:lvlJc w:val="left"/>
      <w:pPr>
        <w:ind w:left="720" w:hanging="360"/>
      </w:pPr>
      <w:rPr>
        <w:rFonts w:ascii="Palatino Linotype" w:eastAsiaTheme="minorHAnsi" w:hAnsi="Palatino Linotype"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53F2B1C"/>
    <w:multiLevelType w:val="multilevel"/>
    <w:tmpl w:val="FA8EE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B94CD5"/>
    <w:multiLevelType w:val="hybridMultilevel"/>
    <w:tmpl w:val="878EDCEC"/>
    <w:lvl w:ilvl="0" w:tplc="3CD87962">
      <w:numFmt w:val="bullet"/>
      <w:lvlText w:val="-"/>
      <w:lvlJc w:val="left"/>
      <w:pPr>
        <w:ind w:left="720" w:hanging="360"/>
      </w:pPr>
      <w:rPr>
        <w:rFonts w:ascii="Palatino Linotype" w:eastAsiaTheme="minorHAnsi" w:hAnsi="Palatino Linotype"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2522297"/>
    <w:multiLevelType w:val="multilevel"/>
    <w:tmpl w:val="43F4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198"/>
    <w:rsid w:val="0000297E"/>
    <w:rsid w:val="00005E51"/>
    <w:rsid w:val="00007310"/>
    <w:rsid w:val="00012914"/>
    <w:rsid w:val="00012DB8"/>
    <w:rsid w:val="00020407"/>
    <w:rsid w:val="00025996"/>
    <w:rsid w:val="00027198"/>
    <w:rsid w:val="00031A7B"/>
    <w:rsid w:val="00035EAD"/>
    <w:rsid w:val="00040D9B"/>
    <w:rsid w:val="00042DF8"/>
    <w:rsid w:val="0004374D"/>
    <w:rsid w:val="0004732D"/>
    <w:rsid w:val="000477B3"/>
    <w:rsid w:val="000501B3"/>
    <w:rsid w:val="0005043C"/>
    <w:rsid w:val="00056E7C"/>
    <w:rsid w:val="00061936"/>
    <w:rsid w:val="00061D0E"/>
    <w:rsid w:val="00070560"/>
    <w:rsid w:val="000746AB"/>
    <w:rsid w:val="00077E10"/>
    <w:rsid w:val="00080053"/>
    <w:rsid w:val="0008783C"/>
    <w:rsid w:val="000A1CB6"/>
    <w:rsid w:val="000A336D"/>
    <w:rsid w:val="000A5AC3"/>
    <w:rsid w:val="000A635D"/>
    <w:rsid w:val="000C0D99"/>
    <w:rsid w:val="000C4A60"/>
    <w:rsid w:val="000C5421"/>
    <w:rsid w:val="000D5BD9"/>
    <w:rsid w:val="000D5F89"/>
    <w:rsid w:val="000D62BC"/>
    <w:rsid w:val="000D67E5"/>
    <w:rsid w:val="000D6F47"/>
    <w:rsid w:val="000E0DF6"/>
    <w:rsid w:val="000F113D"/>
    <w:rsid w:val="000F70DC"/>
    <w:rsid w:val="00103735"/>
    <w:rsid w:val="00103EF8"/>
    <w:rsid w:val="001065D8"/>
    <w:rsid w:val="00112824"/>
    <w:rsid w:val="001130C3"/>
    <w:rsid w:val="00116A12"/>
    <w:rsid w:val="00117BA1"/>
    <w:rsid w:val="00120BED"/>
    <w:rsid w:val="0012624E"/>
    <w:rsid w:val="0013193F"/>
    <w:rsid w:val="00144094"/>
    <w:rsid w:val="00144659"/>
    <w:rsid w:val="00145988"/>
    <w:rsid w:val="00151951"/>
    <w:rsid w:val="00151BDA"/>
    <w:rsid w:val="00152ACB"/>
    <w:rsid w:val="00160705"/>
    <w:rsid w:val="00161D71"/>
    <w:rsid w:val="001645D8"/>
    <w:rsid w:val="001657C4"/>
    <w:rsid w:val="00166B74"/>
    <w:rsid w:val="00170038"/>
    <w:rsid w:val="00177D93"/>
    <w:rsid w:val="001801FD"/>
    <w:rsid w:val="00181259"/>
    <w:rsid w:val="00184E60"/>
    <w:rsid w:val="0019504B"/>
    <w:rsid w:val="00196D6C"/>
    <w:rsid w:val="00197047"/>
    <w:rsid w:val="001A0264"/>
    <w:rsid w:val="001A1442"/>
    <w:rsid w:val="001A1BE0"/>
    <w:rsid w:val="001A20AE"/>
    <w:rsid w:val="001A34D6"/>
    <w:rsid w:val="001A4CD6"/>
    <w:rsid w:val="001A56AF"/>
    <w:rsid w:val="001A7AC5"/>
    <w:rsid w:val="001B27DE"/>
    <w:rsid w:val="001B326D"/>
    <w:rsid w:val="001B4A30"/>
    <w:rsid w:val="001B4FF5"/>
    <w:rsid w:val="001B6771"/>
    <w:rsid w:val="001B6928"/>
    <w:rsid w:val="001C004F"/>
    <w:rsid w:val="001C1D57"/>
    <w:rsid w:val="001C6118"/>
    <w:rsid w:val="001D05A5"/>
    <w:rsid w:val="001E7480"/>
    <w:rsid w:val="001F14BA"/>
    <w:rsid w:val="001F5F1F"/>
    <w:rsid w:val="00202E12"/>
    <w:rsid w:val="00216020"/>
    <w:rsid w:val="00220CBA"/>
    <w:rsid w:val="00240B6A"/>
    <w:rsid w:val="0024567F"/>
    <w:rsid w:val="002468E2"/>
    <w:rsid w:val="00255403"/>
    <w:rsid w:val="00260C2B"/>
    <w:rsid w:val="002656BA"/>
    <w:rsid w:val="00266B8D"/>
    <w:rsid w:val="00273487"/>
    <w:rsid w:val="00274A94"/>
    <w:rsid w:val="00275345"/>
    <w:rsid w:val="00275F49"/>
    <w:rsid w:val="0028369B"/>
    <w:rsid w:val="00296058"/>
    <w:rsid w:val="002A1117"/>
    <w:rsid w:val="002A306D"/>
    <w:rsid w:val="002B1556"/>
    <w:rsid w:val="002B79F0"/>
    <w:rsid w:val="002D0A5E"/>
    <w:rsid w:val="002E27CC"/>
    <w:rsid w:val="002F2D28"/>
    <w:rsid w:val="00301463"/>
    <w:rsid w:val="0030417E"/>
    <w:rsid w:val="003064BC"/>
    <w:rsid w:val="003134E1"/>
    <w:rsid w:val="0031753E"/>
    <w:rsid w:val="00324166"/>
    <w:rsid w:val="003317EA"/>
    <w:rsid w:val="003368A1"/>
    <w:rsid w:val="00336C14"/>
    <w:rsid w:val="00341D3C"/>
    <w:rsid w:val="00342654"/>
    <w:rsid w:val="00343392"/>
    <w:rsid w:val="00343D06"/>
    <w:rsid w:val="00345C35"/>
    <w:rsid w:val="00354E19"/>
    <w:rsid w:val="00356B88"/>
    <w:rsid w:val="00366703"/>
    <w:rsid w:val="003674C7"/>
    <w:rsid w:val="00376909"/>
    <w:rsid w:val="0038173F"/>
    <w:rsid w:val="00383832"/>
    <w:rsid w:val="00393608"/>
    <w:rsid w:val="003B0C44"/>
    <w:rsid w:val="003B334D"/>
    <w:rsid w:val="003C0C74"/>
    <w:rsid w:val="003C7EBA"/>
    <w:rsid w:val="003D0D15"/>
    <w:rsid w:val="003D18EE"/>
    <w:rsid w:val="003D3E50"/>
    <w:rsid w:val="003D4ADB"/>
    <w:rsid w:val="003D53A6"/>
    <w:rsid w:val="003E26F9"/>
    <w:rsid w:val="003F0421"/>
    <w:rsid w:val="00406825"/>
    <w:rsid w:val="00407F06"/>
    <w:rsid w:val="00426F4B"/>
    <w:rsid w:val="00427E4F"/>
    <w:rsid w:val="0043400E"/>
    <w:rsid w:val="004376B7"/>
    <w:rsid w:val="004414A1"/>
    <w:rsid w:val="00443D01"/>
    <w:rsid w:val="004450E2"/>
    <w:rsid w:val="004469BF"/>
    <w:rsid w:val="0044791D"/>
    <w:rsid w:val="004501A6"/>
    <w:rsid w:val="0046166C"/>
    <w:rsid w:val="00463CA3"/>
    <w:rsid w:val="00470991"/>
    <w:rsid w:val="004711A8"/>
    <w:rsid w:val="00473218"/>
    <w:rsid w:val="00474218"/>
    <w:rsid w:val="00482080"/>
    <w:rsid w:val="004828D4"/>
    <w:rsid w:val="004A7355"/>
    <w:rsid w:val="004A7FE1"/>
    <w:rsid w:val="004B1E3F"/>
    <w:rsid w:val="004B31A1"/>
    <w:rsid w:val="004B519E"/>
    <w:rsid w:val="004B5941"/>
    <w:rsid w:val="004C2841"/>
    <w:rsid w:val="004C4115"/>
    <w:rsid w:val="004D70E0"/>
    <w:rsid w:val="004E095E"/>
    <w:rsid w:val="004E137C"/>
    <w:rsid w:val="004E3473"/>
    <w:rsid w:val="004E574C"/>
    <w:rsid w:val="004F1C0F"/>
    <w:rsid w:val="004F4738"/>
    <w:rsid w:val="004F75D4"/>
    <w:rsid w:val="004F7D0B"/>
    <w:rsid w:val="00501D3F"/>
    <w:rsid w:val="00501F73"/>
    <w:rsid w:val="005235C1"/>
    <w:rsid w:val="0052585B"/>
    <w:rsid w:val="00537415"/>
    <w:rsid w:val="00540A99"/>
    <w:rsid w:val="0054113F"/>
    <w:rsid w:val="005431B3"/>
    <w:rsid w:val="00545DE6"/>
    <w:rsid w:val="00550AC9"/>
    <w:rsid w:val="00557DAB"/>
    <w:rsid w:val="00562956"/>
    <w:rsid w:val="00571794"/>
    <w:rsid w:val="00573409"/>
    <w:rsid w:val="0057529B"/>
    <w:rsid w:val="00575444"/>
    <w:rsid w:val="00576BF9"/>
    <w:rsid w:val="005841AF"/>
    <w:rsid w:val="0058428C"/>
    <w:rsid w:val="005860A2"/>
    <w:rsid w:val="005933DB"/>
    <w:rsid w:val="00593DDE"/>
    <w:rsid w:val="005B16DB"/>
    <w:rsid w:val="005B1A2C"/>
    <w:rsid w:val="005B1FFF"/>
    <w:rsid w:val="005B2061"/>
    <w:rsid w:val="005B360D"/>
    <w:rsid w:val="005B3E0B"/>
    <w:rsid w:val="005B704A"/>
    <w:rsid w:val="005C4B50"/>
    <w:rsid w:val="005D0FE5"/>
    <w:rsid w:val="005D5DC5"/>
    <w:rsid w:val="005E1A0F"/>
    <w:rsid w:val="005E297D"/>
    <w:rsid w:val="005E4817"/>
    <w:rsid w:val="005E4E07"/>
    <w:rsid w:val="005E7609"/>
    <w:rsid w:val="005F3843"/>
    <w:rsid w:val="00621E0F"/>
    <w:rsid w:val="006433C1"/>
    <w:rsid w:val="00644C6C"/>
    <w:rsid w:val="00644F57"/>
    <w:rsid w:val="006459F1"/>
    <w:rsid w:val="00645AC0"/>
    <w:rsid w:val="00646271"/>
    <w:rsid w:val="006509A0"/>
    <w:rsid w:val="00651E54"/>
    <w:rsid w:val="00652C6F"/>
    <w:rsid w:val="006622CC"/>
    <w:rsid w:val="00670BF1"/>
    <w:rsid w:val="00687FBA"/>
    <w:rsid w:val="00691746"/>
    <w:rsid w:val="006929EA"/>
    <w:rsid w:val="00695A70"/>
    <w:rsid w:val="006A184A"/>
    <w:rsid w:val="006B0363"/>
    <w:rsid w:val="006B0C9E"/>
    <w:rsid w:val="006C15C1"/>
    <w:rsid w:val="006C2E9B"/>
    <w:rsid w:val="006C4E9A"/>
    <w:rsid w:val="006D5D12"/>
    <w:rsid w:val="006E0E23"/>
    <w:rsid w:val="006E58AF"/>
    <w:rsid w:val="006F4F64"/>
    <w:rsid w:val="006F76B0"/>
    <w:rsid w:val="007153E0"/>
    <w:rsid w:val="00750F42"/>
    <w:rsid w:val="0075365F"/>
    <w:rsid w:val="00756E77"/>
    <w:rsid w:val="00765198"/>
    <w:rsid w:val="0076554E"/>
    <w:rsid w:val="00780842"/>
    <w:rsid w:val="00781FC4"/>
    <w:rsid w:val="00782AF0"/>
    <w:rsid w:val="007860F4"/>
    <w:rsid w:val="007C09B9"/>
    <w:rsid w:val="007C248B"/>
    <w:rsid w:val="007C3AE0"/>
    <w:rsid w:val="007C4694"/>
    <w:rsid w:val="007C560E"/>
    <w:rsid w:val="007C74F7"/>
    <w:rsid w:val="007C7DBF"/>
    <w:rsid w:val="007D795F"/>
    <w:rsid w:val="007F6BC6"/>
    <w:rsid w:val="00800360"/>
    <w:rsid w:val="00801166"/>
    <w:rsid w:val="008011D0"/>
    <w:rsid w:val="00802DF3"/>
    <w:rsid w:val="00807383"/>
    <w:rsid w:val="00812515"/>
    <w:rsid w:val="008161B0"/>
    <w:rsid w:val="00816FF6"/>
    <w:rsid w:val="0083011E"/>
    <w:rsid w:val="00842670"/>
    <w:rsid w:val="00847661"/>
    <w:rsid w:val="00852A46"/>
    <w:rsid w:val="00853BD4"/>
    <w:rsid w:val="008777E5"/>
    <w:rsid w:val="00886A99"/>
    <w:rsid w:val="00892742"/>
    <w:rsid w:val="00894883"/>
    <w:rsid w:val="00894F6E"/>
    <w:rsid w:val="00896A45"/>
    <w:rsid w:val="008A4D6D"/>
    <w:rsid w:val="008A6E74"/>
    <w:rsid w:val="008B360A"/>
    <w:rsid w:val="008B3D91"/>
    <w:rsid w:val="008B4A02"/>
    <w:rsid w:val="008C2D7F"/>
    <w:rsid w:val="008C7684"/>
    <w:rsid w:val="008D2068"/>
    <w:rsid w:val="008D7285"/>
    <w:rsid w:val="008D7B7A"/>
    <w:rsid w:val="008E4EA3"/>
    <w:rsid w:val="008E5E43"/>
    <w:rsid w:val="008F16A9"/>
    <w:rsid w:val="008F4456"/>
    <w:rsid w:val="008F5FFB"/>
    <w:rsid w:val="00903A43"/>
    <w:rsid w:val="00904ED1"/>
    <w:rsid w:val="00914849"/>
    <w:rsid w:val="0092225A"/>
    <w:rsid w:val="009224C5"/>
    <w:rsid w:val="00927E16"/>
    <w:rsid w:val="00930AA4"/>
    <w:rsid w:val="00937760"/>
    <w:rsid w:val="00937789"/>
    <w:rsid w:val="00941D20"/>
    <w:rsid w:val="00947077"/>
    <w:rsid w:val="00953CA6"/>
    <w:rsid w:val="009567B2"/>
    <w:rsid w:val="0096121C"/>
    <w:rsid w:val="009672E4"/>
    <w:rsid w:val="009732CC"/>
    <w:rsid w:val="009800EE"/>
    <w:rsid w:val="009821AD"/>
    <w:rsid w:val="00983074"/>
    <w:rsid w:val="0098369A"/>
    <w:rsid w:val="00986971"/>
    <w:rsid w:val="009936D5"/>
    <w:rsid w:val="00994E36"/>
    <w:rsid w:val="009A1405"/>
    <w:rsid w:val="009A29B2"/>
    <w:rsid w:val="009A65BD"/>
    <w:rsid w:val="009B17EA"/>
    <w:rsid w:val="009B7351"/>
    <w:rsid w:val="009C4CDA"/>
    <w:rsid w:val="009C4E5D"/>
    <w:rsid w:val="009C64BF"/>
    <w:rsid w:val="009C6FD7"/>
    <w:rsid w:val="009D4767"/>
    <w:rsid w:val="009E2B8D"/>
    <w:rsid w:val="009E5D5A"/>
    <w:rsid w:val="009F1BE7"/>
    <w:rsid w:val="009F602A"/>
    <w:rsid w:val="009F74BC"/>
    <w:rsid w:val="00A1722A"/>
    <w:rsid w:val="00A31F2C"/>
    <w:rsid w:val="00A42FF5"/>
    <w:rsid w:val="00A43E75"/>
    <w:rsid w:val="00A52396"/>
    <w:rsid w:val="00A67E5D"/>
    <w:rsid w:val="00A745C8"/>
    <w:rsid w:val="00A86ACC"/>
    <w:rsid w:val="00AA0536"/>
    <w:rsid w:val="00AA3022"/>
    <w:rsid w:val="00AB0590"/>
    <w:rsid w:val="00AB1AB1"/>
    <w:rsid w:val="00AB2999"/>
    <w:rsid w:val="00AB3A6B"/>
    <w:rsid w:val="00AB3D41"/>
    <w:rsid w:val="00AC4DDB"/>
    <w:rsid w:val="00AD24EF"/>
    <w:rsid w:val="00AD3057"/>
    <w:rsid w:val="00AE7C17"/>
    <w:rsid w:val="00AE7C86"/>
    <w:rsid w:val="00B01AF3"/>
    <w:rsid w:val="00B23FDA"/>
    <w:rsid w:val="00B269EC"/>
    <w:rsid w:val="00B26C94"/>
    <w:rsid w:val="00B31504"/>
    <w:rsid w:val="00B3381D"/>
    <w:rsid w:val="00B339C7"/>
    <w:rsid w:val="00B40FB7"/>
    <w:rsid w:val="00B514D2"/>
    <w:rsid w:val="00B51F74"/>
    <w:rsid w:val="00B55694"/>
    <w:rsid w:val="00B6373B"/>
    <w:rsid w:val="00B66836"/>
    <w:rsid w:val="00B6774B"/>
    <w:rsid w:val="00B728C4"/>
    <w:rsid w:val="00B73858"/>
    <w:rsid w:val="00B747A4"/>
    <w:rsid w:val="00B77EA7"/>
    <w:rsid w:val="00B81537"/>
    <w:rsid w:val="00B83683"/>
    <w:rsid w:val="00BA2B81"/>
    <w:rsid w:val="00BA3244"/>
    <w:rsid w:val="00BA371C"/>
    <w:rsid w:val="00BA7441"/>
    <w:rsid w:val="00BB3882"/>
    <w:rsid w:val="00BC50C8"/>
    <w:rsid w:val="00BC66FA"/>
    <w:rsid w:val="00BD06ED"/>
    <w:rsid w:val="00BD3ECA"/>
    <w:rsid w:val="00BD579D"/>
    <w:rsid w:val="00BD723A"/>
    <w:rsid w:val="00BD72CE"/>
    <w:rsid w:val="00BE13D5"/>
    <w:rsid w:val="00BE4732"/>
    <w:rsid w:val="00BE7BBC"/>
    <w:rsid w:val="00BF3823"/>
    <w:rsid w:val="00BF3E8C"/>
    <w:rsid w:val="00BF561B"/>
    <w:rsid w:val="00BF624B"/>
    <w:rsid w:val="00C01FC5"/>
    <w:rsid w:val="00C04036"/>
    <w:rsid w:val="00C14C91"/>
    <w:rsid w:val="00C16FEE"/>
    <w:rsid w:val="00C204BB"/>
    <w:rsid w:val="00C2054F"/>
    <w:rsid w:val="00C22C1D"/>
    <w:rsid w:val="00C23245"/>
    <w:rsid w:val="00C26042"/>
    <w:rsid w:val="00C27C97"/>
    <w:rsid w:val="00C3024E"/>
    <w:rsid w:val="00C30E38"/>
    <w:rsid w:val="00C41975"/>
    <w:rsid w:val="00C43699"/>
    <w:rsid w:val="00C45380"/>
    <w:rsid w:val="00C54177"/>
    <w:rsid w:val="00C54BB9"/>
    <w:rsid w:val="00C55C18"/>
    <w:rsid w:val="00C61074"/>
    <w:rsid w:val="00C610EC"/>
    <w:rsid w:val="00C62230"/>
    <w:rsid w:val="00C87FCC"/>
    <w:rsid w:val="00C908DF"/>
    <w:rsid w:val="00C97148"/>
    <w:rsid w:val="00CA1C4B"/>
    <w:rsid w:val="00CB0864"/>
    <w:rsid w:val="00CB215E"/>
    <w:rsid w:val="00CC4671"/>
    <w:rsid w:val="00CD031F"/>
    <w:rsid w:val="00CD12BB"/>
    <w:rsid w:val="00CD2311"/>
    <w:rsid w:val="00CD4D02"/>
    <w:rsid w:val="00CE05F0"/>
    <w:rsid w:val="00CE73D6"/>
    <w:rsid w:val="00CE76A6"/>
    <w:rsid w:val="00CF4011"/>
    <w:rsid w:val="00D05F81"/>
    <w:rsid w:val="00D06BE2"/>
    <w:rsid w:val="00D14637"/>
    <w:rsid w:val="00D271E6"/>
    <w:rsid w:val="00D31C3D"/>
    <w:rsid w:val="00D340A4"/>
    <w:rsid w:val="00D352FB"/>
    <w:rsid w:val="00D54B3A"/>
    <w:rsid w:val="00D60D8A"/>
    <w:rsid w:val="00D6421F"/>
    <w:rsid w:val="00D656F6"/>
    <w:rsid w:val="00D663CC"/>
    <w:rsid w:val="00D6699D"/>
    <w:rsid w:val="00D71D57"/>
    <w:rsid w:val="00D814BB"/>
    <w:rsid w:val="00D83B3E"/>
    <w:rsid w:val="00D86493"/>
    <w:rsid w:val="00DA4556"/>
    <w:rsid w:val="00DA5162"/>
    <w:rsid w:val="00DA6865"/>
    <w:rsid w:val="00DA778A"/>
    <w:rsid w:val="00DB10AC"/>
    <w:rsid w:val="00DB6063"/>
    <w:rsid w:val="00DB61DE"/>
    <w:rsid w:val="00DC1B9A"/>
    <w:rsid w:val="00DC7F94"/>
    <w:rsid w:val="00DD0EE5"/>
    <w:rsid w:val="00DE4635"/>
    <w:rsid w:val="00DE69C1"/>
    <w:rsid w:val="00DF133A"/>
    <w:rsid w:val="00DF209D"/>
    <w:rsid w:val="00DF24E3"/>
    <w:rsid w:val="00DF5064"/>
    <w:rsid w:val="00DF5C77"/>
    <w:rsid w:val="00DF63BE"/>
    <w:rsid w:val="00E00EF8"/>
    <w:rsid w:val="00E11743"/>
    <w:rsid w:val="00E127C6"/>
    <w:rsid w:val="00E138F5"/>
    <w:rsid w:val="00E13A20"/>
    <w:rsid w:val="00E204FA"/>
    <w:rsid w:val="00E31E05"/>
    <w:rsid w:val="00E47876"/>
    <w:rsid w:val="00E518EE"/>
    <w:rsid w:val="00E51EA0"/>
    <w:rsid w:val="00E56166"/>
    <w:rsid w:val="00E57632"/>
    <w:rsid w:val="00E65B49"/>
    <w:rsid w:val="00E66463"/>
    <w:rsid w:val="00E720F9"/>
    <w:rsid w:val="00E73E9D"/>
    <w:rsid w:val="00E77384"/>
    <w:rsid w:val="00E83127"/>
    <w:rsid w:val="00E87203"/>
    <w:rsid w:val="00E95A07"/>
    <w:rsid w:val="00E96380"/>
    <w:rsid w:val="00EA1B6C"/>
    <w:rsid w:val="00EA35D2"/>
    <w:rsid w:val="00EA395F"/>
    <w:rsid w:val="00EA573C"/>
    <w:rsid w:val="00EA5C46"/>
    <w:rsid w:val="00EB2571"/>
    <w:rsid w:val="00EB60DC"/>
    <w:rsid w:val="00EC08CD"/>
    <w:rsid w:val="00EC0DF0"/>
    <w:rsid w:val="00EC1161"/>
    <w:rsid w:val="00EC5CE7"/>
    <w:rsid w:val="00EC6472"/>
    <w:rsid w:val="00EC7802"/>
    <w:rsid w:val="00ED0BD9"/>
    <w:rsid w:val="00ED6CC2"/>
    <w:rsid w:val="00EE0810"/>
    <w:rsid w:val="00EE3A2D"/>
    <w:rsid w:val="00EF733D"/>
    <w:rsid w:val="00F05F1A"/>
    <w:rsid w:val="00F235D6"/>
    <w:rsid w:val="00F26769"/>
    <w:rsid w:val="00F4201A"/>
    <w:rsid w:val="00F5298E"/>
    <w:rsid w:val="00F63082"/>
    <w:rsid w:val="00F6309D"/>
    <w:rsid w:val="00F6335F"/>
    <w:rsid w:val="00F733B9"/>
    <w:rsid w:val="00F744A4"/>
    <w:rsid w:val="00F74600"/>
    <w:rsid w:val="00F80125"/>
    <w:rsid w:val="00F80ECE"/>
    <w:rsid w:val="00F836A3"/>
    <w:rsid w:val="00F93FB9"/>
    <w:rsid w:val="00F97BF1"/>
    <w:rsid w:val="00FA1D2F"/>
    <w:rsid w:val="00FB3DDF"/>
    <w:rsid w:val="00FB6E85"/>
    <w:rsid w:val="00FC4529"/>
    <w:rsid w:val="00FC51DE"/>
    <w:rsid w:val="00FC7668"/>
    <w:rsid w:val="00FD42DF"/>
    <w:rsid w:val="00FD4FD8"/>
    <w:rsid w:val="00FE1F65"/>
    <w:rsid w:val="00FE5C45"/>
    <w:rsid w:val="00FF3EF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B654B"/>
  <w15:chartTrackingRefBased/>
  <w15:docId w15:val="{38960CB5-B1B8-4A06-B99A-D7E92A191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198"/>
  </w:style>
  <w:style w:type="paragraph" w:styleId="Ttulo2">
    <w:name w:val="heading 2"/>
    <w:basedOn w:val="Normal"/>
    <w:link w:val="Ttulo2Car"/>
    <w:uiPriority w:val="9"/>
    <w:qFormat/>
    <w:rsid w:val="008F5FFB"/>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8F5F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5198"/>
    <w:pPr>
      <w:ind w:left="720"/>
      <w:contextualSpacing/>
    </w:pPr>
  </w:style>
  <w:style w:type="table" w:styleId="Tablaconcuadrcula">
    <w:name w:val="Table Grid"/>
    <w:basedOn w:val="Tablanormal"/>
    <w:uiPriority w:val="39"/>
    <w:rsid w:val="00446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8F5FFB"/>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8F5FF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3Car">
    <w:name w:val="Título 3 Car"/>
    <w:basedOn w:val="Fuentedeprrafopredeter"/>
    <w:link w:val="Ttulo3"/>
    <w:uiPriority w:val="9"/>
    <w:semiHidden/>
    <w:rsid w:val="008F5FFB"/>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8F5F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75653">
      <w:bodyDiv w:val="1"/>
      <w:marLeft w:val="0"/>
      <w:marRight w:val="0"/>
      <w:marTop w:val="0"/>
      <w:marBottom w:val="0"/>
      <w:divBdr>
        <w:top w:val="none" w:sz="0" w:space="0" w:color="auto"/>
        <w:left w:val="none" w:sz="0" w:space="0" w:color="auto"/>
        <w:bottom w:val="none" w:sz="0" w:space="0" w:color="auto"/>
        <w:right w:val="none" w:sz="0" w:space="0" w:color="auto"/>
      </w:divBdr>
    </w:div>
    <w:div w:id="1445156800">
      <w:bodyDiv w:val="1"/>
      <w:marLeft w:val="0"/>
      <w:marRight w:val="0"/>
      <w:marTop w:val="0"/>
      <w:marBottom w:val="0"/>
      <w:divBdr>
        <w:top w:val="none" w:sz="0" w:space="0" w:color="auto"/>
        <w:left w:val="none" w:sz="0" w:space="0" w:color="auto"/>
        <w:bottom w:val="none" w:sz="0" w:space="0" w:color="auto"/>
        <w:right w:val="none" w:sz="0" w:space="0" w:color="auto"/>
      </w:divBdr>
    </w:div>
    <w:div w:id="1775979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1345</TotalTime>
  <Pages>2</Pages>
  <Words>268</Words>
  <Characters>1480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Alfredo</cp:lastModifiedBy>
  <cp:revision>31</cp:revision>
  <dcterms:created xsi:type="dcterms:W3CDTF">2022-10-11T14:59:00Z</dcterms:created>
  <dcterms:modified xsi:type="dcterms:W3CDTF">2023-06-29T15:13:00Z</dcterms:modified>
</cp:coreProperties>
</file>