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 The chosen type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Opaque Layering (Closed)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There are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</w:t>
      </w:r>
      <w:r w:rsidDel="00000000" w:rsidR="00000000" w:rsidRPr="00000000">
        <w:rPr>
          <w:b w:val="1"/>
          <w:sz w:val="24"/>
          <w:szCs w:val="24"/>
          <w:rtl w:val="0"/>
        </w:rPr>
        <w:t xml:space="preserve"> Application logic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 Storage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There are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Partitions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 Logic 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Server - User Profile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Server - Destination Management Subsystem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Server - Bucket Lists Management Subsystem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Server - Specific Bucket List Management Subsystem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Server - Authentication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