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6060"/>
        <w:tblGridChange w:id="0">
          <w:tblGrid>
            <w:gridCol w:w="3390"/>
            <w:gridCol w:w="6060"/>
          </w:tblGrid>
        </w:tblGridChange>
      </w:tblGrid>
      <w:tr>
        <w:trPr>
          <w:cantSplit w:val="0"/>
          <w:trHeight w:val="417.5999999999999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UpdatePrivateDestination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Initiated by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User logs into account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2. User is directed to their dashboard.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User navigates to “View destinations list” and presses “Update” for the desired destination.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4. The system shows a form with the destination fields.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The user updates the fields and submits by pressing a button “Save”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6. The system verifies that the user has provided all the required information, and that the information is valid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7. If all the information is valid, the system updates the private destination in the database.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color w:val="229a22"/>
                <w:rtl w:val="0"/>
              </w:rPr>
              <w:t xml:space="preserve">8. The system presents the updated destination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logged in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destination is successfully updated and the system displays a message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requirements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user interface should be intuitive and easy to use, with clear navigation and prominent buttons for common tasks such as creating a private destination.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