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Remote Approval SOP</w:t>
      </w:r>
    </w:p>
    <w:p>
      <w:pPr>
        <w:jc w:val="center"/>
      </w:pPr>
      <w:r>
        <w:t>Orchid Retail Digital Transformation | Owner: Document Operations | Version 1.1</w:t>
      </w:r>
    </w:p>
    <w:p>
      <w:pPr>
        <w:pStyle w:val="Heading1"/>
      </w:pPr>
      <w:r>
        <w:t>Purpose</w:t>
      </w:r>
    </w:p>
    <w:p>
      <w:r>
        <w:t>This SOP defines how Orchid Retail teams complete and record remote approvals during the CentralDocs pilot. It supports vendor onboarding, reimbursement review, and document changes when managers are not in the same location.</w:t>
      </w:r>
    </w:p>
    <w:p>
      <w:pPr>
        <w:pStyle w:val="Heading1"/>
      </w:pPr>
      <w:r>
        <w:t>When to use this SOP</w:t>
      </w:r>
    </w:p>
    <w:p>
      <w:pPr>
        <w:pStyle w:val="ListBullet"/>
      </w:pPr>
      <w:r>
        <w:t>Approving vendor onboarding tasks.</w:t>
      </w:r>
    </w:p>
    <w:p>
      <w:pPr>
        <w:pStyle w:val="ListBullet"/>
      </w:pPr>
      <w:r>
        <w:t>Approving reimbursement requests.</w:t>
      </w:r>
    </w:p>
    <w:p>
      <w:pPr>
        <w:pStyle w:val="ListBullet"/>
      </w:pPr>
      <w:r>
        <w:t>Approving generated briefing documents before sharing.</w:t>
      </w:r>
    </w:p>
    <w:p>
      <w:pPr>
        <w:pStyle w:val="ListBullet"/>
      </w:pPr>
      <w:r>
        <w:t>Confirming document policy exceptions.</w:t>
      </w:r>
    </w:p>
    <w:p>
      <w:pPr>
        <w:pStyle w:val="Heading1"/>
      </w:pPr>
      <w:r>
        <w:t>Approval steps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rPr>
              <w:t>Step</w:t>
            </w:r>
          </w:p>
        </w:tc>
        <w:tc>
          <w:tcPr>
            <w:tcW w:type="dxa" w:w="2880"/>
            <w:vAlign w:val="center"/>
          </w:tcPr>
          <w:p>
            <w:r>
              <w:rPr>
                <w:b/>
              </w:rPr>
              <w:t>Action</w:t>
            </w:r>
          </w:p>
        </w:tc>
        <w:tc>
          <w:tcPr>
            <w:tcW w:type="dxa" w:w="2880"/>
            <w:vAlign w:val="center"/>
          </w:tcPr>
          <w:p>
            <w:r>
              <w:rPr>
                <w:b/>
              </w:rPr>
              <w:t>Evidence saved in CentralDocs</w:t>
            </w:r>
          </w:p>
        </w:tc>
      </w:tr>
      <w:tr>
        <w:tc>
          <w:tcPr>
            <w:tcW w:type="dxa" w:w="2880"/>
            <w:vAlign w:val="top"/>
          </w:tcPr>
          <w:p>
            <w:r>
              <w:t>1</w:t>
            </w:r>
          </w:p>
        </w:tc>
        <w:tc>
          <w:tcPr>
            <w:tcW w:type="dxa" w:w="2880"/>
            <w:vAlign w:val="top"/>
          </w:tcPr>
          <w:p>
            <w:r>
              <w:t>Requester attaches the relevant folder or documents to a chat session.</w:t>
            </w:r>
          </w:p>
        </w:tc>
        <w:tc>
          <w:tcPr>
            <w:tcW w:type="dxa" w:w="2880"/>
            <w:vAlign w:val="top"/>
          </w:tcPr>
          <w:p>
            <w:r>
              <w:t>Attached context snapshot in chat.</w:t>
            </w:r>
          </w:p>
        </w:tc>
      </w:tr>
      <w:tr>
        <w:tc>
          <w:tcPr>
            <w:tcW w:type="dxa" w:w="2880"/>
            <w:vAlign w:val="top"/>
          </w:tcPr>
          <w:p>
            <w:r>
              <w:t>2</w:t>
            </w:r>
          </w:p>
        </w:tc>
        <w:tc>
          <w:tcPr>
            <w:tcW w:type="dxa" w:w="2880"/>
            <w:vAlign w:val="top"/>
          </w:tcPr>
          <w:p>
            <w:r>
              <w:t>Requester asks for a concise summary and checks references used.</w:t>
            </w:r>
          </w:p>
        </w:tc>
        <w:tc>
          <w:tcPr>
            <w:tcW w:type="dxa" w:w="2880"/>
            <w:vAlign w:val="top"/>
          </w:tcPr>
          <w:p>
            <w:r>
              <w:t>Assistant answer with References Used panel.</w:t>
            </w:r>
          </w:p>
        </w:tc>
      </w:tr>
      <w:tr>
        <w:tc>
          <w:tcPr>
            <w:tcW w:type="dxa" w:w="2880"/>
            <w:vAlign w:val="top"/>
          </w:tcPr>
          <w:p>
            <w:r>
              <w:t>3</w:t>
            </w:r>
          </w:p>
        </w:tc>
        <w:tc>
          <w:tcPr>
            <w:tcW w:type="dxa" w:w="2880"/>
            <w:vAlign w:val="top"/>
          </w:tcPr>
          <w:p>
            <w:r>
              <w:t>Requester generates a Markdown approval brief if needed.</w:t>
            </w:r>
          </w:p>
        </w:tc>
        <w:tc>
          <w:tcPr>
            <w:tcW w:type="dxa" w:w="2880"/>
            <w:vAlign w:val="top"/>
          </w:tcPr>
          <w:p>
            <w:r>
              <w:t>Generated document stored in S3 and indexed.</w:t>
            </w:r>
          </w:p>
        </w:tc>
      </w:tr>
      <w:tr>
        <w:tc>
          <w:tcPr>
            <w:tcW w:type="dxa" w:w="2880"/>
            <w:vAlign w:val="top"/>
          </w:tcPr>
          <w:p>
            <w:r>
              <w:t>4</w:t>
            </w:r>
          </w:p>
        </w:tc>
        <w:tc>
          <w:tcPr>
            <w:tcW w:type="dxa" w:w="2880"/>
            <w:vAlign w:val="top"/>
          </w:tcPr>
          <w:p>
            <w:r>
              <w:t>Approver reviews the brief, source references, and original files.</w:t>
            </w:r>
          </w:p>
        </w:tc>
        <w:tc>
          <w:tcPr>
            <w:tcW w:type="dxa" w:w="2880"/>
            <w:vAlign w:val="top"/>
          </w:tcPr>
          <w:p>
            <w:r>
              <w:t>Decision note or chat message.</w:t>
            </w:r>
          </w:p>
        </w:tc>
      </w:tr>
      <w:tr>
        <w:tc>
          <w:tcPr>
            <w:tcW w:type="dxa" w:w="2880"/>
            <w:vAlign w:val="top"/>
          </w:tcPr>
          <w:p>
            <w:r>
              <w:t>5</w:t>
            </w:r>
          </w:p>
        </w:tc>
        <w:tc>
          <w:tcPr>
            <w:tcW w:type="dxa" w:w="2880"/>
            <w:vAlign w:val="top"/>
          </w:tcPr>
          <w:p>
            <w:r>
              <w:t>Final document is moved to the correct folder.</w:t>
            </w:r>
          </w:p>
        </w:tc>
        <w:tc>
          <w:tcPr>
            <w:tcW w:type="dxa" w:w="2880"/>
            <w:vAlign w:val="top"/>
          </w:tcPr>
          <w:p>
            <w:r>
              <w:t>Document metadata and folder history.</w:t>
            </w:r>
          </w:p>
        </w:tc>
      </w:tr>
    </w:tbl>
    <w:p/>
    <w:p>
      <w:pPr>
        <w:pStyle w:val="Heading1"/>
      </w:pPr>
      <w:r>
        <w:t>Controls</w:t>
      </w:r>
    </w:p>
    <w:p>
      <w:r>
        <w:t>Deleted user documents are soft-deleted and excluded from future retrieval. Mock documents are read-only and remain available for the demo. All generated approval briefs should include references when source documents were used.</w:t>
      </w:r>
    </w:p>
    <w:p>
      <w:pPr>
        <w:pStyle w:val="Heading1"/>
      </w:pPr>
      <w:r>
        <w:t>Related documents</w:t>
      </w:r>
    </w:p>
    <w:p>
      <w:pPr>
        <w:pStyle w:val="ListBullet"/>
      </w:pPr>
      <w:r>
        <w:t>Document Management Policy.pdf</w:t>
      </w:r>
    </w:p>
    <w:p>
      <w:pPr>
        <w:pStyle w:val="ListBullet"/>
      </w:pPr>
      <w:r>
        <w:t>Vendor Onboarding Checklist.docx</w:t>
      </w:r>
    </w:p>
    <w:p>
      <w:pPr>
        <w:pStyle w:val="ListBullet"/>
      </w:pPr>
      <w:r>
        <w:t>Expense Reimbursement Guide.pdf</w:t>
      </w:r>
    </w:p>
    <w:p>
      <w:pPr>
        <w:pStyle w:val="ListBullet"/>
      </w:pPr>
      <w:r>
        <w:t>Invoice Tracking Sample.xlsx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