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D9266" w14:textId="77777777" w:rsidR="00A36EEE" w:rsidRDefault="00A36EEE">
      <w:pPr>
        <w:spacing w:after="0"/>
      </w:pPr>
    </w:p>
    <w:p w14:paraId="617640AC" w14:textId="77777777" w:rsidR="00A36EEE" w:rsidRDefault="00000000">
      <w:r>
        <w:rPr>
          <w:b/>
          <w:color w:val="2E86AB"/>
          <w:sz w:val="22"/>
        </w:rPr>
        <w:t>F I N A L   R E P O R T</w:t>
      </w:r>
    </w:p>
    <w:tbl>
      <w:tblPr>
        <w:tblW w:w="9411" w:type="dxa"/>
        <w:tblLayout w:type="fixed"/>
        <w:tblCellMar>
          <w:top w:w="220" w:type="dxa"/>
          <w:left w:w="240" w:type="dxa"/>
          <w:bottom w:w="240" w:type="dxa"/>
          <w:right w:w="200" w:type="dxa"/>
        </w:tblCellMar>
        <w:tblLook w:val="04A0" w:firstRow="1" w:lastRow="0" w:firstColumn="1" w:lastColumn="0" w:noHBand="0" w:noVBand="1"/>
      </w:tblPr>
      <w:tblGrid>
        <w:gridCol w:w="9411"/>
      </w:tblGrid>
      <w:tr w:rsidR="00A36EEE" w14:paraId="1ADD3213" w14:textId="77777777">
        <w:tc>
          <w:tcPr>
            <w:tcW w:w="9411" w:type="dxa"/>
            <w:shd w:val="clear" w:color="auto" w:fill="1B2A4A"/>
          </w:tcPr>
          <w:p w14:paraId="109BFCB9" w14:textId="77777777" w:rsidR="00A36EEE" w:rsidRDefault="00000000">
            <w:pPr>
              <w:spacing w:after="40"/>
            </w:pPr>
            <w:r>
              <w:rPr>
                <w:b/>
                <w:color w:val="FFFFFF"/>
                <w:sz w:val="68"/>
              </w:rPr>
              <w:t>Grief Tracker</w:t>
            </w:r>
          </w:p>
          <w:p w14:paraId="4B3B10CF" w14:textId="77777777" w:rsidR="00A36EEE" w:rsidRDefault="00000000">
            <w:pPr>
              <w:spacing w:after="0"/>
            </w:pPr>
            <w:r>
              <w:rPr>
                <w:color w:val="FFFFFF"/>
                <w:sz w:val="30"/>
              </w:rPr>
              <w:t>Shipment Incident Tracking Platform</w:t>
            </w:r>
          </w:p>
          <w:p w14:paraId="3400B99B" w14:textId="77777777" w:rsidR="00A36EEE" w:rsidRDefault="00000000">
            <w:pPr>
              <w:spacing w:before="80" w:after="0"/>
            </w:pPr>
            <w:r>
              <w:rPr>
                <w:i/>
                <w:color w:val="C7D6EA"/>
                <w:sz w:val="20"/>
              </w:rPr>
              <w:t>Application codename: ShipTrack   ·   Django + Django REST Framework</w:t>
            </w:r>
          </w:p>
        </w:tc>
      </w:tr>
    </w:tbl>
    <w:p w14:paraId="32D6B04F" w14:textId="77777777" w:rsidR="00A36EEE" w:rsidRDefault="00A36EEE">
      <w:pPr>
        <w:spacing w:after="0"/>
      </w:pPr>
    </w:p>
    <w:tbl>
      <w:tblPr>
        <w:tblW w:w="9411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608"/>
        <w:gridCol w:w="6803"/>
      </w:tblGrid>
      <w:tr w:rsidR="00A36EEE" w14:paraId="65A83312" w14:textId="77777777">
        <w:tc>
          <w:tcPr>
            <w:tcW w:w="2608" w:type="dxa"/>
            <w:shd w:val="clear" w:color="auto" w:fill="1B2A4A"/>
            <w:vAlign w:val="center"/>
          </w:tcPr>
          <w:p w14:paraId="7136A362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6803" w:type="dxa"/>
            <w:shd w:val="clear" w:color="auto" w:fill="1B2A4A"/>
            <w:vAlign w:val="center"/>
          </w:tcPr>
          <w:p w14:paraId="5826DAE4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 w:rsidR="00A36EEE" w14:paraId="31CDDB36" w14:textId="77777777">
        <w:tc>
          <w:tcPr>
            <w:tcW w:w="2608" w:type="dxa"/>
            <w:shd w:val="clear" w:color="auto" w:fill="DCE6F1"/>
            <w:vAlign w:val="center"/>
          </w:tcPr>
          <w:p w14:paraId="00BC1601" w14:textId="77777777" w:rsidR="00A36EEE" w:rsidRDefault="00000000">
            <w:pPr>
              <w:spacing w:before="40" w:after="40" w:line="252" w:lineRule="auto"/>
            </w:pPr>
            <w:r>
              <w:rPr>
                <w:b/>
                <w:sz w:val="20"/>
              </w:rPr>
              <w:t>Author</w:t>
            </w:r>
          </w:p>
        </w:tc>
        <w:tc>
          <w:tcPr>
            <w:tcW w:w="6803" w:type="dxa"/>
            <w:vAlign w:val="center"/>
          </w:tcPr>
          <w:p w14:paraId="4AA4DD62" w14:textId="77777777" w:rsidR="00A36EEE" w:rsidRDefault="00000000">
            <w:pPr>
              <w:spacing w:before="40" w:after="40" w:line="252" w:lineRule="auto"/>
            </w:pPr>
            <w:r>
              <w:rPr>
                <w:sz w:val="20"/>
              </w:rPr>
              <w:t>Koen Janssens</w:t>
            </w:r>
          </w:p>
        </w:tc>
      </w:tr>
      <w:tr w:rsidR="00A36EEE" w14:paraId="44B390CD" w14:textId="77777777">
        <w:tc>
          <w:tcPr>
            <w:tcW w:w="2608" w:type="dxa"/>
            <w:shd w:val="clear" w:color="auto" w:fill="DCE6F1"/>
            <w:vAlign w:val="center"/>
          </w:tcPr>
          <w:p w14:paraId="415F670E" w14:textId="77777777" w:rsidR="00A36EEE" w:rsidRDefault="00000000">
            <w:pPr>
              <w:spacing w:before="40" w:after="40" w:line="252" w:lineRule="auto"/>
            </w:pPr>
            <w:r>
              <w:rPr>
                <w:b/>
                <w:sz w:val="20"/>
              </w:rPr>
              <w:t>Student number / class</w:t>
            </w:r>
          </w:p>
        </w:tc>
        <w:tc>
          <w:tcPr>
            <w:tcW w:w="6803" w:type="dxa"/>
            <w:shd w:val="clear" w:color="auto" w:fill="EEF3F8"/>
            <w:vAlign w:val="center"/>
          </w:tcPr>
          <w:p w14:paraId="04016605" w14:textId="4BDC2C1C" w:rsidR="00A36EEE" w:rsidRDefault="00EF3F74">
            <w:pPr>
              <w:spacing w:before="40" w:after="40" w:line="252" w:lineRule="auto"/>
            </w:pPr>
            <w:r>
              <w:rPr>
                <w:sz w:val="20"/>
              </w:rPr>
              <w:t>Pydev 2</w:t>
            </w:r>
          </w:p>
        </w:tc>
      </w:tr>
      <w:tr w:rsidR="00A36EEE" w14:paraId="2A37340A" w14:textId="77777777">
        <w:tc>
          <w:tcPr>
            <w:tcW w:w="2608" w:type="dxa"/>
            <w:shd w:val="clear" w:color="auto" w:fill="DCE6F1"/>
            <w:vAlign w:val="center"/>
          </w:tcPr>
          <w:p w14:paraId="37C6F126" w14:textId="77777777" w:rsidR="00A36EEE" w:rsidRDefault="00000000">
            <w:pPr>
              <w:spacing w:before="40" w:after="40" w:line="252" w:lineRule="auto"/>
            </w:pPr>
            <w:r>
              <w:rPr>
                <w:b/>
                <w:sz w:val="20"/>
              </w:rPr>
              <w:t>Course / module</w:t>
            </w:r>
          </w:p>
        </w:tc>
        <w:tc>
          <w:tcPr>
            <w:tcW w:w="6803" w:type="dxa"/>
            <w:vAlign w:val="center"/>
          </w:tcPr>
          <w:p w14:paraId="661E0F20" w14:textId="45D3BA06" w:rsidR="00A36EEE" w:rsidRDefault="00EF3F74">
            <w:pPr>
              <w:spacing w:before="40" w:after="40" w:line="252" w:lineRule="auto"/>
            </w:pPr>
            <w:r>
              <w:rPr>
                <w:sz w:val="20"/>
              </w:rPr>
              <w:t>Grief Tracker</w:t>
            </w:r>
          </w:p>
        </w:tc>
      </w:tr>
      <w:tr w:rsidR="00A36EEE" w14:paraId="3025F88B" w14:textId="77777777">
        <w:tc>
          <w:tcPr>
            <w:tcW w:w="2608" w:type="dxa"/>
            <w:shd w:val="clear" w:color="auto" w:fill="DCE6F1"/>
            <w:vAlign w:val="center"/>
          </w:tcPr>
          <w:p w14:paraId="22D42F50" w14:textId="77777777" w:rsidR="00A36EEE" w:rsidRDefault="00000000">
            <w:pPr>
              <w:spacing w:before="40" w:after="40" w:line="252" w:lineRule="auto"/>
            </w:pPr>
            <w:r>
              <w:rPr>
                <w:b/>
                <w:sz w:val="20"/>
              </w:rPr>
              <w:t>Institution</w:t>
            </w:r>
          </w:p>
        </w:tc>
        <w:tc>
          <w:tcPr>
            <w:tcW w:w="6803" w:type="dxa"/>
            <w:shd w:val="clear" w:color="auto" w:fill="EEF3F8"/>
            <w:vAlign w:val="center"/>
          </w:tcPr>
          <w:p w14:paraId="4127D512" w14:textId="297AE4B8" w:rsidR="00A36EEE" w:rsidRDefault="00EF3F74">
            <w:pPr>
              <w:spacing w:before="40" w:after="40" w:line="252" w:lineRule="auto"/>
            </w:pPr>
            <w:r>
              <w:rPr>
                <w:sz w:val="20"/>
              </w:rPr>
              <w:t>Syntra AB Mechelen</w:t>
            </w:r>
          </w:p>
        </w:tc>
      </w:tr>
      <w:tr w:rsidR="00A36EEE" w14:paraId="06BC54B6" w14:textId="77777777">
        <w:tc>
          <w:tcPr>
            <w:tcW w:w="2608" w:type="dxa"/>
            <w:shd w:val="clear" w:color="auto" w:fill="DCE6F1"/>
            <w:vAlign w:val="center"/>
          </w:tcPr>
          <w:p w14:paraId="3BBCC0A4" w14:textId="77777777" w:rsidR="00A36EEE" w:rsidRDefault="00000000">
            <w:pPr>
              <w:spacing w:before="40" w:after="40" w:line="252" w:lineRule="auto"/>
            </w:pPr>
            <w:r>
              <w:rPr>
                <w:b/>
                <w:sz w:val="20"/>
              </w:rPr>
              <w:t>Supervisor / assessor</w:t>
            </w:r>
          </w:p>
        </w:tc>
        <w:tc>
          <w:tcPr>
            <w:tcW w:w="6803" w:type="dxa"/>
            <w:vAlign w:val="center"/>
          </w:tcPr>
          <w:p w14:paraId="53372CBE" w14:textId="489B0CAA" w:rsidR="00A36EEE" w:rsidRDefault="00EF3F74">
            <w:pPr>
              <w:spacing w:before="40" w:after="40" w:line="252" w:lineRule="auto"/>
            </w:pPr>
            <w:r>
              <w:rPr>
                <w:sz w:val="20"/>
              </w:rPr>
              <w:t>Steven Welters</w:t>
            </w:r>
          </w:p>
        </w:tc>
      </w:tr>
      <w:tr w:rsidR="00A36EEE" w14:paraId="72DEDDBB" w14:textId="77777777">
        <w:tc>
          <w:tcPr>
            <w:tcW w:w="2608" w:type="dxa"/>
            <w:shd w:val="clear" w:color="auto" w:fill="DCE6F1"/>
            <w:vAlign w:val="center"/>
          </w:tcPr>
          <w:p w14:paraId="020A7BE0" w14:textId="77777777" w:rsidR="00A36EEE" w:rsidRDefault="00000000">
            <w:pPr>
              <w:spacing w:before="40" w:after="40" w:line="252" w:lineRule="auto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w="6803" w:type="dxa"/>
            <w:shd w:val="clear" w:color="auto" w:fill="EEF3F8"/>
            <w:vAlign w:val="center"/>
          </w:tcPr>
          <w:p w14:paraId="673EE4DD" w14:textId="77777777" w:rsidR="00A36EEE" w:rsidRDefault="00000000">
            <w:pPr>
              <w:spacing w:before="40" w:after="40" w:line="252" w:lineRule="auto"/>
            </w:pPr>
            <w:r>
              <w:rPr>
                <w:sz w:val="20"/>
              </w:rPr>
              <w:t>1.0</w:t>
            </w:r>
          </w:p>
        </w:tc>
      </w:tr>
      <w:tr w:rsidR="00A36EEE" w14:paraId="27DED463" w14:textId="77777777">
        <w:tc>
          <w:tcPr>
            <w:tcW w:w="2608" w:type="dxa"/>
            <w:shd w:val="clear" w:color="auto" w:fill="DCE6F1"/>
            <w:vAlign w:val="center"/>
          </w:tcPr>
          <w:p w14:paraId="6AED51E8" w14:textId="77777777" w:rsidR="00A36EEE" w:rsidRDefault="00000000">
            <w:pPr>
              <w:spacing w:before="40" w:after="40" w:line="252" w:lineRule="auto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6803" w:type="dxa"/>
            <w:vAlign w:val="center"/>
          </w:tcPr>
          <w:p w14:paraId="2D6C1E9A" w14:textId="77777777" w:rsidR="00A36EEE" w:rsidRDefault="00000000">
            <w:pPr>
              <w:spacing w:before="40" w:after="40" w:line="252" w:lineRule="auto"/>
            </w:pPr>
            <w:r>
              <w:rPr>
                <w:sz w:val="20"/>
              </w:rPr>
              <w:t>28 May 2026</w:t>
            </w:r>
          </w:p>
        </w:tc>
      </w:tr>
      <w:tr w:rsidR="00A36EEE" w14:paraId="4809E826" w14:textId="77777777">
        <w:tc>
          <w:tcPr>
            <w:tcW w:w="2608" w:type="dxa"/>
            <w:shd w:val="clear" w:color="auto" w:fill="DCE6F1"/>
            <w:vAlign w:val="center"/>
          </w:tcPr>
          <w:p w14:paraId="2A8696A9" w14:textId="77777777" w:rsidR="00A36EEE" w:rsidRDefault="00000000">
            <w:pPr>
              <w:spacing w:before="40" w:after="40" w:line="252" w:lineRule="auto"/>
            </w:pPr>
            <w:r>
              <w:rPr>
                <w:b/>
                <w:sz w:val="20"/>
              </w:rPr>
              <w:t>Deadline</w:t>
            </w:r>
          </w:p>
        </w:tc>
        <w:tc>
          <w:tcPr>
            <w:tcW w:w="6803" w:type="dxa"/>
            <w:shd w:val="clear" w:color="auto" w:fill="EEF3F8"/>
            <w:vAlign w:val="center"/>
          </w:tcPr>
          <w:p w14:paraId="084E89D2" w14:textId="77777777" w:rsidR="00A36EEE" w:rsidRDefault="00000000">
            <w:pPr>
              <w:spacing w:before="40" w:after="40" w:line="252" w:lineRule="auto"/>
            </w:pPr>
            <w:r>
              <w:rPr>
                <w:sz w:val="20"/>
              </w:rPr>
              <w:t>31 March 2026</w:t>
            </w:r>
          </w:p>
        </w:tc>
      </w:tr>
      <w:tr w:rsidR="00A36EEE" w14:paraId="28BC081D" w14:textId="77777777">
        <w:tc>
          <w:tcPr>
            <w:tcW w:w="2608" w:type="dxa"/>
            <w:shd w:val="clear" w:color="auto" w:fill="DCE6F1"/>
            <w:vAlign w:val="center"/>
          </w:tcPr>
          <w:p w14:paraId="3F1BCFBF" w14:textId="77777777" w:rsidR="00A36EEE" w:rsidRDefault="00000000">
            <w:pPr>
              <w:spacing w:before="40" w:after="40" w:line="252" w:lineRule="auto"/>
            </w:pPr>
            <w:r>
              <w:rPr>
                <w:b/>
                <w:sz w:val="20"/>
              </w:rPr>
              <w:t>Repository</w:t>
            </w:r>
          </w:p>
        </w:tc>
        <w:tc>
          <w:tcPr>
            <w:tcW w:w="6803" w:type="dxa"/>
            <w:vAlign w:val="center"/>
          </w:tcPr>
          <w:p w14:paraId="28FDB957" w14:textId="77777777" w:rsidR="00A36EEE" w:rsidRDefault="00000000">
            <w:pPr>
              <w:spacing w:before="40" w:after="40" w:line="252" w:lineRule="auto"/>
            </w:pPr>
            <w:r>
              <w:rPr>
                <w:sz w:val="20"/>
              </w:rPr>
              <w:t>Git (branch master) · CI/CD via GitHub Actions</w:t>
            </w:r>
          </w:p>
        </w:tc>
      </w:tr>
    </w:tbl>
    <w:p w14:paraId="508FFB47" w14:textId="77777777" w:rsidR="00A36EEE" w:rsidRDefault="00A36EEE">
      <w:pPr>
        <w:spacing w:after="0"/>
      </w:pPr>
    </w:p>
    <w:tbl>
      <w:tblPr>
        <w:tblW w:w="9411" w:type="dxa"/>
        <w:tblLayout w:type="fixed"/>
        <w:tblCellMar>
          <w:top w:w="120" w:type="dxa"/>
          <w:left w:w="160" w:type="dxa"/>
          <w:bottom w:w="120" w:type="dxa"/>
          <w:right w:w="140" w:type="dxa"/>
        </w:tblCellMar>
        <w:tblLook w:val="04A0" w:firstRow="1" w:lastRow="0" w:firstColumn="1" w:lastColumn="0" w:noHBand="0" w:noVBand="1"/>
      </w:tblPr>
      <w:tblGrid>
        <w:gridCol w:w="9411"/>
      </w:tblGrid>
      <w:tr w:rsidR="00A36EEE" w14:paraId="6202BB53" w14:textId="77777777">
        <w:tc>
          <w:tcPr>
            <w:tcW w:w="9411" w:type="dxa"/>
            <w:tcBorders>
              <w:left w:val="single" w:sz="30" w:space="0" w:color="2E86AB"/>
            </w:tcBorders>
            <w:shd w:val="clear" w:color="auto" w:fill="F4F6F9"/>
          </w:tcPr>
          <w:p w14:paraId="3EA7BC38" w14:textId="77777777" w:rsidR="00A36EEE" w:rsidRDefault="00000000">
            <w:pPr>
              <w:spacing w:after="60"/>
            </w:pPr>
            <w:r>
              <w:rPr>
                <w:b/>
                <w:color w:val="1B2A4A"/>
                <w:sz w:val="22"/>
              </w:rPr>
              <w:t>Summary</w:t>
            </w:r>
          </w:p>
          <w:p w14:paraId="43EC79A0" w14:textId="77777777" w:rsidR="00A36EEE" w:rsidRDefault="00000000">
            <w:pPr>
              <w:spacing w:after="0"/>
            </w:pPr>
            <w:r>
              <w:rPr>
                <w:sz w:val="20"/>
              </w:rPr>
              <w:t>Grief Tracker replaces a legacy Excel workflow with a secure, multi-user web application and REST API for logging and analysing shipment incidents. Stage 1 (foundation) and the bulk of Stage 2 (visibility) are implemented and deployable; predictive Stage 3 features are designed as follow-up work.</w:t>
            </w:r>
          </w:p>
        </w:tc>
      </w:tr>
    </w:tbl>
    <w:p w14:paraId="1DD954F1" w14:textId="77777777" w:rsidR="00A36EEE" w:rsidRDefault="00000000">
      <w:pPr>
        <w:pageBreakBefore/>
        <w:pBdr>
          <w:bottom w:val="single" w:sz="16" w:space="6" w:color="2E86AB"/>
        </w:pBdr>
        <w:spacing w:after="200"/>
      </w:pPr>
      <w:r>
        <w:rPr>
          <w:b/>
          <w:color w:val="1B2A4A"/>
          <w:sz w:val="40"/>
        </w:rPr>
        <w:lastRenderedPageBreak/>
        <w:t>Contents</w:t>
      </w:r>
    </w:p>
    <w:p w14:paraId="359C69B5" w14:textId="77777777" w:rsidR="00EF3F74" w:rsidRDefault="00000000">
      <w:pPr>
        <w:pStyle w:val="Inhopg1"/>
        <w:tabs>
          <w:tab w:val="right" w:leader="dot" w:pos="9402"/>
        </w:tabs>
        <w:rPr>
          <w:noProof/>
        </w:rPr>
      </w:pPr>
      <w:r>
        <w:rPr>
          <w:color w:val="6B7280"/>
          <w:sz w:val="20"/>
        </w:rPr>
        <w:fldChar w:fldCharType="begin"/>
      </w:r>
      <w:r>
        <w:rPr>
          <w:color w:val="6B7280"/>
          <w:sz w:val="20"/>
        </w:rPr>
        <w:instrText>TOC \o "1-3" \h \z \u</w:instrText>
      </w:r>
      <w:r>
        <w:rPr>
          <w:color w:val="6B7280"/>
          <w:sz w:val="20"/>
        </w:rPr>
        <w:fldChar w:fldCharType="separate"/>
      </w:r>
      <w:hyperlink w:anchor="_Toc231492023" w:history="1">
        <w:r w:rsidR="00EF3F74" w:rsidRPr="00543484">
          <w:rPr>
            <w:rStyle w:val="Hyperlink"/>
            <w:noProof/>
          </w:rPr>
          <w:t>1. Introduction</w:t>
        </w:r>
        <w:r w:rsidR="00EF3F74">
          <w:rPr>
            <w:noProof/>
            <w:webHidden/>
          </w:rPr>
          <w:tab/>
        </w:r>
        <w:r w:rsidR="00EF3F74">
          <w:rPr>
            <w:noProof/>
            <w:webHidden/>
          </w:rPr>
          <w:fldChar w:fldCharType="begin"/>
        </w:r>
        <w:r w:rsidR="00EF3F74">
          <w:rPr>
            <w:noProof/>
            <w:webHidden/>
          </w:rPr>
          <w:instrText xml:space="preserve"> PAGEREF _Toc231492023 \h </w:instrText>
        </w:r>
        <w:r w:rsidR="00EF3F74">
          <w:rPr>
            <w:noProof/>
            <w:webHidden/>
          </w:rPr>
        </w:r>
        <w:r w:rsidR="00EF3F74">
          <w:rPr>
            <w:noProof/>
            <w:webHidden/>
          </w:rPr>
          <w:fldChar w:fldCharType="separate"/>
        </w:r>
        <w:r w:rsidR="00EF3F74">
          <w:rPr>
            <w:noProof/>
            <w:webHidden/>
          </w:rPr>
          <w:t>3</w:t>
        </w:r>
        <w:r w:rsidR="00EF3F74">
          <w:rPr>
            <w:noProof/>
            <w:webHidden/>
          </w:rPr>
          <w:fldChar w:fldCharType="end"/>
        </w:r>
      </w:hyperlink>
    </w:p>
    <w:p w14:paraId="4C901B85" w14:textId="77777777" w:rsidR="00EF3F74" w:rsidRDefault="00EF3F74">
      <w:pPr>
        <w:pStyle w:val="Inhopg2"/>
        <w:tabs>
          <w:tab w:val="right" w:leader="dot" w:pos="9402"/>
        </w:tabs>
        <w:rPr>
          <w:noProof/>
        </w:rPr>
      </w:pPr>
      <w:hyperlink w:anchor="_Toc231492024" w:history="1">
        <w:r w:rsidRPr="00543484">
          <w:rPr>
            <w:rStyle w:val="Hyperlink"/>
            <w:noProof/>
          </w:rPr>
          <w:t>Target 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_Toc231492024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7CA431" w14:textId="77777777" w:rsidR="00EF3F74" w:rsidRDefault="00EF3F74">
      <w:pPr>
        <w:pStyle w:val="Inhopg1"/>
        <w:tabs>
          <w:tab w:val="right" w:leader="dot" w:pos="9402"/>
        </w:tabs>
        <w:rPr>
          <w:noProof/>
        </w:rPr>
      </w:pPr>
      <w:hyperlink w:anchor="_Toc231492025" w:history="1">
        <w:r w:rsidRPr="00543484">
          <w:rPr>
            <w:rStyle w:val="Hyperlink"/>
            <w:noProof/>
          </w:rPr>
          <w:t>2. Project Objective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_Toc231492025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B3D4B2" w14:textId="77777777" w:rsidR="00EF3F74" w:rsidRDefault="00EF3F74">
      <w:pPr>
        <w:pStyle w:val="Inhopg2"/>
        <w:tabs>
          <w:tab w:val="right" w:leader="dot" w:pos="9402"/>
        </w:tabs>
        <w:rPr>
          <w:noProof/>
        </w:rPr>
      </w:pPr>
      <w:hyperlink w:anchor="_Toc231492026" w:history="1">
        <w:r w:rsidRPr="00543484">
          <w:rPr>
            <w:rStyle w:val="Hyperlink"/>
            <w:noProof/>
          </w:rPr>
          <w:t>2.1 Functional requirements (MoSCoW)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_Toc231492026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F3BC42" w14:textId="77777777" w:rsidR="00EF3F74" w:rsidRDefault="00EF3F74">
      <w:pPr>
        <w:pStyle w:val="Inhopg2"/>
        <w:tabs>
          <w:tab w:val="right" w:leader="dot" w:pos="9402"/>
        </w:tabs>
        <w:rPr>
          <w:noProof/>
        </w:rPr>
      </w:pPr>
      <w:hyperlink w:anchor="_Toc231492027" w:history="1">
        <w:r w:rsidRPr="00543484">
          <w:rPr>
            <w:rStyle w:val="Hyperlink"/>
            <w:noProof/>
          </w:rPr>
          <w:t>2.2 Non-functional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_Toc231492027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89F2BC" w14:textId="77777777" w:rsidR="00EF3F74" w:rsidRDefault="00EF3F74">
      <w:pPr>
        <w:pStyle w:val="Inhopg1"/>
        <w:tabs>
          <w:tab w:val="right" w:leader="dot" w:pos="9402"/>
        </w:tabs>
        <w:rPr>
          <w:noProof/>
        </w:rPr>
      </w:pPr>
      <w:hyperlink w:anchor="_Toc231492028" w:history="1">
        <w:r w:rsidRPr="00543484">
          <w:rPr>
            <w:rStyle w:val="Hyperlink"/>
            <w:noProof/>
          </w:rPr>
          <w:t>3. System Architecture &amp; Data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_Toc231492028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32106E" w14:textId="77777777" w:rsidR="00EF3F74" w:rsidRDefault="00EF3F74">
      <w:pPr>
        <w:pStyle w:val="Inhopg2"/>
        <w:tabs>
          <w:tab w:val="right" w:leader="dot" w:pos="9402"/>
        </w:tabs>
        <w:rPr>
          <w:noProof/>
        </w:rPr>
      </w:pPr>
      <w:hyperlink w:anchor="_Toc231492029" w:history="1">
        <w:r w:rsidRPr="00543484">
          <w:rPr>
            <w:rStyle w:val="Hyperlink"/>
            <w:noProof/>
          </w:rPr>
          <w:t>3.1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_Toc231492029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AD28CB" w14:textId="77777777" w:rsidR="00EF3F74" w:rsidRDefault="00EF3F74">
      <w:pPr>
        <w:pStyle w:val="Inhopg2"/>
        <w:tabs>
          <w:tab w:val="right" w:leader="dot" w:pos="9402"/>
        </w:tabs>
        <w:rPr>
          <w:noProof/>
        </w:rPr>
      </w:pPr>
      <w:hyperlink w:anchor="_Toc231492030" w:history="1">
        <w:r w:rsidRPr="00543484">
          <w:rPr>
            <w:rStyle w:val="Hyperlink"/>
            <w:noProof/>
          </w:rPr>
          <w:t>3.2 Data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_Toc231492030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02F5F9" w14:textId="77777777" w:rsidR="00EF3F74" w:rsidRDefault="00EF3F74">
      <w:pPr>
        <w:pStyle w:val="Inhopg1"/>
        <w:tabs>
          <w:tab w:val="right" w:leader="dot" w:pos="9402"/>
        </w:tabs>
        <w:rPr>
          <w:noProof/>
        </w:rPr>
      </w:pPr>
      <w:hyperlink w:anchor="_Toc231492031" w:history="1">
        <w:r w:rsidRPr="00543484">
          <w:rPr>
            <w:rStyle w:val="Hyperlink"/>
            <w:noProof/>
          </w:rPr>
          <w:t>4. Development Stage 1 — Foundation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_Toc231492031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A31F9C" w14:textId="77777777" w:rsidR="00EF3F74" w:rsidRDefault="00EF3F74">
      <w:pPr>
        <w:pStyle w:val="Inhopg1"/>
        <w:tabs>
          <w:tab w:val="right" w:leader="dot" w:pos="9402"/>
        </w:tabs>
        <w:rPr>
          <w:noProof/>
        </w:rPr>
      </w:pPr>
      <w:hyperlink w:anchor="_Toc231492032" w:history="1">
        <w:r w:rsidRPr="00543484">
          <w:rPr>
            <w:rStyle w:val="Hyperlink"/>
            <w:noProof/>
          </w:rPr>
          <w:t>5. Development Stage 2 — Visibility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_Toc231492032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E006875" w14:textId="77777777" w:rsidR="00EF3F74" w:rsidRDefault="00EF3F74">
      <w:pPr>
        <w:pStyle w:val="Inhopg1"/>
        <w:tabs>
          <w:tab w:val="right" w:leader="dot" w:pos="9402"/>
        </w:tabs>
        <w:rPr>
          <w:noProof/>
        </w:rPr>
      </w:pPr>
      <w:hyperlink w:anchor="_Toc231492033" w:history="1">
        <w:r w:rsidRPr="00543484">
          <w:rPr>
            <w:rStyle w:val="Hyperlink"/>
            <w:noProof/>
          </w:rPr>
          <w:t>6. Development Stage 3 — Smart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_Toc231492033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0B4209B" w14:textId="77777777" w:rsidR="00EF3F74" w:rsidRDefault="00EF3F74">
      <w:pPr>
        <w:pStyle w:val="Inhopg1"/>
        <w:tabs>
          <w:tab w:val="right" w:leader="dot" w:pos="9402"/>
        </w:tabs>
        <w:rPr>
          <w:noProof/>
        </w:rPr>
      </w:pPr>
      <w:hyperlink w:anchor="_Toc231492034" w:history="1">
        <w:r w:rsidRPr="00543484">
          <w:rPr>
            <w:rStyle w:val="Hyperlink"/>
            <w:noProof/>
          </w:rPr>
          <w:t>7. Security (OWASP Top 10, 2021)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_Toc231492034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539475" w14:textId="77777777" w:rsidR="00EF3F74" w:rsidRDefault="00EF3F74">
      <w:pPr>
        <w:pStyle w:val="Inhopg1"/>
        <w:tabs>
          <w:tab w:val="right" w:leader="dot" w:pos="9402"/>
        </w:tabs>
        <w:rPr>
          <w:noProof/>
        </w:rPr>
      </w:pPr>
      <w:hyperlink w:anchor="_Toc231492035" w:history="1">
        <w:r w:rsidRPr="00543484">
          <w:rPr>
            <w:rStyle w:val="Hyperlink"/>
            <w:noProof/>
          </w:rPr>
          <w:t>8. Testing &amp; Quality Assurance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_Toc231492035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72FE2F" w14:textId="77777777" w:rsidR="00EF3F74" w:rsidRDefault="00EF3F74">
      <w:pPr>
        <w:pStyle w:val="Inhopg1"/>
        <w:tabs>
          <w:tab w:val="right" w:leader="dot" w:pos="9402"/>
        </w:tabs>
        <w:rPr>
          <w:noProof/>
        </w:rPr>
      </w:pPr>
      <w:hyperlink w:anchor="_Toc231492036" w:history="1">
        <w:r w:rsidRPr="00543484">
          <w:rPr>
            <w:rStyle w:val="Hyperlink"/>
            <w:noProof/>
          </w:rPr>
          <w:t>9. Deployment &amp; DevOps (CI/CD)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_Toc231492036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48E2075" w14:textId="77777777" w:rsidR="00EF3F74" w:rsidRDefault="00EF3F74">
      <w:pPr>
        <w:pStyle w:val="Inhopg1"/>
        <w:tabs>
          <w:tab w:val="right" w:leader="dot" w:pos="9402"/>
        </w:tabs>
        <w:rPr>
          <w:noProof/>
        </w:rPr>
      </w:pPr>
      <w:hyperlink w:anchor="_Toc231492037" w:history="1">
        <w:r w:rsidRPr="00543484">
          <w:rPr>
            <w:rStyle w:val="Hyperlink"/>
            <w:noProof/>
          </w:rPr>
          <w:t>10. Technical Roadmap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_Toc231492037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B8026B0" w14:textId="77777777" w:rsidR="00EF3F74" w:rsidRDefault="00EF3F74">
      <w:pPr>
        <w:pStyle w:val="Inhopg1"/>
        <w:tabs>
          <w:tab w:val="right" w:leader="dot" w:pos="9402"/>
        </w:tabs>
        <w:rPr>
          <w:noProof/>
        </w:rPr>
      </w:pPr>
      <w:hyperlink w:anchor="_Toc231492038" w:history="1">
        <w:r w:rsidRPr="00543484">
          <w:rPr>
            <w:rStyle w:val="Hyperlink"/>
            <w:noProof/>
          </w:rPr>
          <w:t>11. Planning and Deadline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_Toc231492038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E58DCEB" w14:textId="77777777" w:rsidR="00EF3F74" w:rsidRDefault="00EF3F74">
      <w:pPr>
        <w:pStyle w:val="Inhopg1"/>
        <w:tabs>
          <w:tab w:val="right" w:leader="dot" w:pos="9402"/>
        </w:tabs>
        <w:rPr>
          <w:noProof/>
        </w:rPr>
      </w:pPr>
      <w:hyperlink w:anchor="_Toc231492039" w:history="1">
        <w:r w:rsidRPr="00543484">
          <w:rPr>
            <w:rStyle w:val="Hyperlink"/>
            <w:noProof/>
          </w:rPr>
          <w:t>12. Risk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_Toc231492039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21FF8F0" w14:textId="77777777" w:rsidR="00EF3F74" w:rsidRDefault="00EF3F74">
      <w:pPr>
        <w:pStyle w:val="Inhopg1"/>
        <w:tabs>
          <w:tab w:val="right" w:leader="dot" w:pos="9402"/>
        </w:tabs>
        <w:rPr>
          <w:noProof/>
        </w:rPr>
      </w:pPr>
      <w:hyperlink w:anchor="_Toc231492040" w:history="1">
        <w:r w:rsidRPr="00543484">
          <w:rPr>
            <w:rStyle w:val="Hyperlink"/>
            <w:noProof/>
          </w:rPr>
          <w:t>13. 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_Toc231492040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F9DF9A9" w14:textId="77777777" w:rsidR="00EF3F74" w:rsidRDefault="00EF3F74">
      <w:pPr>
        <w:pStyle w:val="Inhopg1"/>
        <w:tabs>
          <w:tab w:val="right" w:leader="dot" w:pos="9402"/>
        </w:tabs>
        <w:rPr>
          <w:noProof/>
        </w:rPr>
      </w:pPr>
      <w:hyperlink w:anchor="_Toc231492041" w:history="1">
        <w:r w:rsidRPr="00543484">
          <w:rPr>
            <w:rStyle w:val="Hyperlink"/>
            <w:noProof/>
          </w:rPr>
          <w:t>14. 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_Toc231492041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A7FA681" w14:textId="77777777" w:rsidR="00EF3F74" w:rsidRDefault="00EF3F74">
      <w:pPr>
        <w:pStyle w:val="Inhopg1"/>
        <w:tabs>
          <w:tab w:val="right" w:leader="dot" w:pos="9402"/>
        </w:tabs>
        <w:rPr>
          <w:noProof/>
        </w:rPr>
      </w:pPr>
      <w:hyperlink w:anchor="_Toc231492042" w:history="1">
        <w:r w:rsidRPr="00543484">
          <w:rPr>
            <w:rStyle w:val="Hyperlink"/>
            <w:noProof/>
          </w:rPr>
          <w:t>15.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_Toc231492042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E238219" w14:textId="77777777" w:rsidR="00A36EEE" w:rsidRDefault="00000000">
      <w:r>
        <w:rPr>
          <w:color w:val="6B7280"/>
          <w:sz w:val="20"/>
        </w:rPr>
        <w:fldChar w:fldCharType="end"/>
      </w:r>
    </w:p>
    <w:p w14:paraId="5342CDC0" w14:textId="77777777" w:rsidR="00A36EEE" w:rsidRDefault="00000000">
      <w:pPr>
        <w:pStyle w:val="Kop1"/>
        <w:pageBreakBefore/>
        <w:pBdr>
          <w:bottom w:val="single" w:sz="16" w:space="6" w:color="2E86AB"/>
        </w:pBdr>
      </w:pPr>
      <w:bookmarkStart w:id="0" w:name="_Toc231492023"/>
      <w:r>
        <w:lastRenderedPageBreak/>
        <w:t>1. Introduction</w:t>
      </w:r>
      <w:bookmarkEnd w:id="0"/>
    </w:p>
    <w:p w14:paraId="44DC2254" w14:textId="77777777" w:rsidR="00A36EEE" w:rsidRDefault="00000000">
      <w:r>
        <w:t>The Grief Tracker application was developed to replace an Excel-based workflow with a structured, multi-user, and scalable system. In logistics operations, shipment incidents (“grief”) — damage, missing or wrong labels, mis-routed deliveries, supplier or carrier faults — were historically logged in a shared spreadsheet (the legacy Kuehne+Nagel “Grief” workbook). That approach did not scale: it offered no access control, no audit trail, no validation, poor concurrent editing, and no reliable way to analyse or integrate the data.</w:t>
      </w:r>
    </w:p>
    <w:p w14:paraId="4C1DD9B7" w14:textId="77777777" w:rsidR="00A36EEE" w:rsidRDefault="00000000">
      <w:r>
        <w:t>The goal is to centralise logistics-incident data and make it accessible through both a server-rendered web application and a REST API, while preserving a smooth migration path: the importer still accepts the legacy spreadsheet column headers, so existing data flows in unchanged.</w:t>
      </w:r>
    </w:p>
    <w:p w14:paraId="30361C38" w14:textId="77777777" w:rsidR="00A36EEE" w:rsidRDefault="00000000">
      <w:r>
        <w:rPr>
          <w:b/>
          <w:color w:val="1B2A4A"/>
        </w:rPr>
        <w:t xml:space="preserve">On the name. </w:t>
      </w:r>
      <w:r>
        <w:t>“Grief Tracker” is the project title; the application and codebase are named ShipTrack. The word “grief” is inherited from the legacy K&amp;N workbook, where it is the in-house term for shipment claims/incidents. Both names refer to the same system throughout this report.</w:t>
      </w:r>
    </w:p>
    <w:p w14:paraId="26E568E9" w14:textId="77777777" w:rsidR="00A36EEE" w:rsidRDefault="00000000">
      <w:pPr>
        <w:pStyle w:val="Kop2"/>
      </w:pPr>
      <w:bookmarkStart w:id="1" w:name="_Toc231492024"/>
      <w:r>
        <w:t>Target users</w:t>
      </w:r>
      <w:bookmarkEnd w:id="1"/>
    </w:p>
    <w:p w14:paraId="49F680F2" w14:textId="77777777" w:rsidR="00A36EEE" w:rsidRDefault="00000000">
      <w:r>
        <w:t>Operational staff who log and resolve incidents (Editors), managers who review and analyse them (Viewers), and administrators who manage users and reference data (Admins).</w:t>
      </w:r>
    </w:p>
    <w:p w14:paraId="10BD96A3" w14:textId="77777777" w:rsidR="00A36EEE" w:rsidRDefault="00000000">
      <w:pPr>
        <w:pStyle w:val="Kop1"/>
        <w:pageBreakBefore/>
        <w:pBdr>
          <w:bottom w:val="single" w:sz="16" w:space="6" w:color="2E86AB"/>
        </w:pBdr>
      </w:pPr>
      <w:bookmarkStart w:id="2" w:name="_Toc231492025"/>
      <w:r>
        <w:lastRenderedPageBreak/>
        <w:t>2. Project Objective</w:t>
      </w:r>
      <w:bookmarkEnd w:id="2"/>
    </w:p>
    <w:p w14:paraId="5448B312" w14:textId="77777777" w:rsidR="00A36EEE" w:rsidRDefault="00000000">
      <w:r>
        <w:t>The objective is to build a Django-based backend that imports Excel data, stores it in a relational database, and exposes it via a REST API and a web UI. The system must be reliable, secure, and easy to extend toward analytics and, later, intelligent features.</w:t>
      </w:r>
    </w:p>
    <w:p w14:paraId="040A9ACD" w14:textId="77777777" w:rsidR="00A36EEE" w:rsidRDefault="00000000">
      <w:pPr>
        <w:pStyle w:val="Kop2"/>
      </w:pPr>
      <w:bookmarkStart w:id="3" w:name="_Toc231492026"/>
      <w:r>
        <w:t>2.1 Functional requirements (MoSCoW)</w:t>
      </w:r>
      <w:bookmarkEnd w:id="3"/>
    </w:p>
    <w:p w14:paraId="25E1551C" w14:textId="77777777" w:rsidR="00A36EEE" w:rsidRDefault="00000000">
      <w:pPr>
        <w:pStyle w:val="Lijstopsomteken"/>
        <w:spacing w:after="60"/>
      </w:pPr>
      <w:r>
        <w:rPr>
          <w:b/>
        </w:rPr>
        <w:t xml:space="preserve">Must have — </w:t>
      </w:r>
      <w:r>
        <w:t>incident CRUD; reference data (carrier, issue type, location); spreadsheet import (.xlsx/.xlsm/.csv) incl. legacy headers; REST API with filter/search/order; multi-user authentication with role-based access; admin interface.</w:t>
      </w:r>
    </w:p>
    <w:p w14:paraId="508AD435" w14:textId="77777777" w:rsidR="00A36EEE" w:rsidRDefault="00000000">
      <w:pPr>
        <w:pStyle w:val="Lijstopsomteken"/>
        <w:spacing w:after="60"/>
      </w:pPr>
      <w:r>
        <w:rPr>
          <w:b/>
        </w:rPr>
        <w:t xml:space="preserve">Should have — </w:t>
      </w:r>
      <w:r>
        <w:t>analytics/pivot views mirroring the old Excel “Analysis” sheet; file attachments per incident; idempotent re-import; dry-run validation.</w:t>
      </w:r>
    </w:p>
    <w:p w14:paraId="78FBE891" w14:textId="77777777" w:rsidR="00A36EEE" w:rsidRDefault="00000000">
      <w:pPr>
        <w:pStyle w:val="Lijstopsomteken"/>
        <w:spacing w:after="60"/>
      </w:pPr>
      <w:r>
        <w:rPr>
          <w:b/>
        </w:rPr>
        <w:t xml:space="preserve">Could have — </w:t>
      </w:r>
      <w:r>
        <w:t>KPI/statistics JSON endpoints; richer charting dashboard; alerts/notifications; single sign-on (Google/Microsoft).</w:t>
      </w:r>
    </w:p>
    <w:p w14:paraId="7315F16B" w14:textId="77777777" w:rsidR="00A36EEE" w:rsidRDefault="00000000">
      <w:pPr>
        <w:pStyle w:val="Lijstopsomteken"/>
        <w:spacing w:after="60"/>
      </w:pPr>
      <w:r>
        <w:rPr>
          <w:b/>
        </w:rPr>
        <w:t xml:space="preserve">Won’t have (this phase) — </w:t>
      </w:r>
      <w:r>
        <w:t>predictive/ML features (deferred to Stage 3).</w:t>
      </w:r>
    </w:p>
    <w:p w14:paraId="2BDB81B2" w14:textId="77777777" w:rsidR="00A36EEE" w:rsidRDefault="00000000">
      <w:pPr>
        <w:pStyle w:val="Kop2"/>
      </w:pPr>
      <w:bookmarkStart w:id="4" w:name="_Toc231492027"/>
      <w:r>
        <w:t>2.2 Non-functional requirements</w:t>
      </w:r>
      <w:bookmarkEnd w:id="4"/>
    </w:p>
    <w:p w14:paraId="1F0B4BD4" w14:textId="77777777" w:rsidR="00A36EEE" w:rsidRDefault="00000000">
      <w:r>
        <w:t>Reliability (idempotent import, atomic transactions), security (OWASP Top 10 hardening), maintainability (typed code, linting, automated tests, CI), portability (Docker, one-command launch), and performance adequate for the expected data volume (tens of thousands of rows; the importer is capped at 200,000 rows per run).</w:t>
      </w:r>
    </w:p>
    <w:p w14:paraId="0F68C668" w14:textId="77777777" w:rsidR="00A36EEE" w:rsidRDefault="00000000">
      <w:pPr>
        <w:pStyle w:val="Kop1"/>
        <w:pageBreakBefore/>
        <w:pBdr>
          <w:bottom w:val="single" w:sz="16" w:space="6" w:color="2E86AB"/>
        </w:pBdr>
      </w:pPr>
      <w:bookmarkStart w:id="5" w:name="_Toc231492028"/>
      <w:r>
        <w:lastRenderedPageBreak/>
        <w:t>3. System Architecture &amp; Data Model</w:t>
      </w:r>
      <w:bookmarkEnd w:id="5"/>
    </w:p>
    <w:p w14:paraId="419034B6" w14:textId="77777777" w:rsidR="00A36EEE" w:rsidRDefault="00000000">
      <w:pPr>
        <w:pStyle w:val="Kop2"/>
      </w:pPr>
      <w:bookmarkStart w:id="6" w:name="_Toc231492029"/>
      <w:r>
        <w:t>3.1 Architecture</w:t>
      </w:r>
      <w:bookmarkEnd w:id="6"/>
    </w:p>
    <w:p w14:paraId="5442F50B" w14:textId="77777777" w:rsidR="00A36EEE" w:rsidRDefault="00000000">
      <w:r>
        <w:t>The system is a server-rendered Django application with a REST API layer, built from two domain apps inside one project:</w:t>
      </w:r>
    </w:p>
    <w:tbl>
      <w:tblPr>
        <w:tblW w:w="9411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411"/>
      </w:tblGrid>
      <w:tr w:rsidR="00A36EEE" w14:paraId="36020B9B" w14:textId="77777777">
        <w:tc>
          <w:tcPr>
            <w:tcW w:w="9411" w:type="dxa"/>
            <w:shd w:val="clear" w:color="auto" w:fill="F4F6F9"/>
          </w:tcPr>
          <w:p w14:paraId="27BF996A" w14:textId="77777777" w:rsidR="00A36EEE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shiptrack/     Django project (settings, URLs, WSGI/ASGI)</w:t>
            </w:r>
          </w:p>
          <w:p w14:paraId="7C6D38FE" w14:textId="77777777" w:rsidR="00A36EEE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accounts/      Custom user model, roles, permission helpers, auth views</w:t>
            </w:r>
          </w:p>
          <w:p w14:paraId="05305F0A" w14:textId="77777777" w:rsidR="00A36EEE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incidents/     Domain models, HTML views, forms, REST API, importer, pivot</w:t>
            </w:r>
          </w:p>
          <w:p w14:paraId="2BBAB25D" w14:textId="77777777" w:rsidR="00A36EEE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templates/     Server-rendered HTML (Bootstrap 5, no CDN dependency)</w:t>
            </w:r>
          </w:p>
          <w:p w14:paraId="34596850" w14:textId="77777777" w:rsidR="00A36EEE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static/        Vendored Bootstrap + small custom CSS / JS</w:t>
            </w:r>
          </w:p>
          <w:p w14:paraId="65038653" w14:textId="77777777" w:rsidR="00A36EEE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tests/         pytest suite</w:t>
            </w:r>
          </w:p>
          <w:p w14:paraId="53450002" w14:textId="77777777" w:rsidR="00A36EEE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nginx/         Reverse-proxy config</w:t>
            </w:r>
          </w:p>
          <w:p w14:paraId="191E2F1C" w14:textId="77777777" w:rsidR="00A36EEE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scripts/       Operator helpers and launchers</w:t>
            </w:r>
          </w:p>
        </w:tc>
      </w:tr>
    </w:tbl>
    <w:p w14:paraId="07840943" w14:textId="77777777" w:rsidR="00A36EEE" w:rsidRDefault="00A36EEE">
      <w:pPr>
        <w:spacing w:after="0"/>
      </w:pPr>
    </w:p>
    <w:p w14:paraId="6F63FB8C" w14:textId="77777777" w:rsidR="00A36EEE" w:rsidRDefault="00000000">
      <w:r>
        <w:t>Runtime components: Django 6.0 and Django REST Framework 3.17, PostgreSQL (16 in the reference deployment; SQLite for tests/dev), Redis (cache; future Celery broker), gunicorn behind nginx, WhiteNoise for static files — all containerised with Docker. Dependencies are managed with uv (pyproject.toml + uv.lock).</w:t>
      </w:r>
    </w:p>
    <w:p w14:paraId="69B60A24" w14:textId="77777777" w:rsidR="00A36EEE" w:rsidRDefault="00000000">
      <w:pPr>
        <w:pStyle w:val="Kop2"/>
      </w:pPr>
      <w:bookmarkStart w:id="7" w:name="_Toc231492030"/>
      <w:r>
        <w:t>3.2 Data model</w:t>
      </w:r>
      <w:bookmarkEnd w:id="7"/>
    </w:p>
    <w:p w14:paraId="07AFF0A8" w14:textId="77777777" w:rsidR="00A36EEE" w:rsidRDefault="00000000">
      <w:pPr>
        <w:pStyle w:val="Lijstopsomteken"/>
        <w:spacing w:after="60"/>
      </w:pPr>
      <w:r>
        <w:rPr>
          <w:b/>
        </w:rPr>
        <w:t xml:space="preserve">Incident — </w:t>
      </w:r>
      <w:r>
        <w:t>primary reference, shipment ID, transport-order ref, supplier, ISO-2 country, FK to location/carrier/issue type, issue date, image-available flag, causing party (Supplier/Carrier/Mixed/Unknown), resolve date, status (Ongoing/Resolved), free-text note, plus audit fields. A unique constraint on (primary_ref, issue_type) keeps re-imports idempotent; DB indexes support status/carrier/issue-date queries.</w:t>
      </w:r>
    </w:p>
    <w:p w14:paraId="03B00DE3" w14:textId="77777777" w:rsidR="00A36EEE" w:rsidRDefault="00000000">
      <w:pPr>
        <w:pStyle w:val="Lijstopsomteken"/>
        <w:spacing w:after="60"/>
      </w:pPr>
      <w:r>
        <w:rPr>
          <w:b/>
        </w:rPr>
        <w:t xml:space="preserve">Reference data — </w:t>
      </w:r>
      <w:r>
        <w:t>Carrier, IssueType, Location (each with active flags), created on demand during import.</w:t>
      </w:r>
    </w:p>
    <w:p w14:paraId="1411816E" w14:textId="77777777" w:rsidR="00A36EEE" w:rsidRDefault="00000000">
      <w:pPr>
        <w:pStyle w:val="Lijstopsomteken"/>
        <w:spacing w:after="60"/>
      </w:pPr>
      <w:r>
        <w:rPr>
          <w:b/>
        </w:rPr>
        <w:t xml:space="preserve">IncidentAttachment — </w:t>
      </w:r>
      <w:r>
        <w:t>files (photos, PDFs, supplier emails) stored under a per-incident, UUID-prefixed path with original name, content type, and size captured.</w:t>
      </w:r>
    </w:p>
    <w:p w14:paraId="7E9F02C4" w14:textId="77777777" w:rsidR="00A36EEE" w:rsidRDefault="00000000">
      <w:pPr>
        <w:pStyle w:val="Lijstopsomteken"/>
        <w:spacing w:after="60"/>
      </w:pPr>
      <w:r>
        <w:rPr>
          <w:b/>
        </w:rPr>
        <w:t xml:space="preserve">User — </w:t>
      </w:r>
      <w:r>
        <w:t>custom AbstractUser with a role field (Admin/Editor/Viewer) and a unique, required email (for SSO).</w:t>
      </w:r>
    </w:p>
    <w:p w14:paraId="353A270B" w14:textId="77777777" w:rsidR="00A36EEE" w:rsidRDefault="00000000">
      <w:pPr>
        <w:pStyle w:val="Kop1"/>
        <w:pageBreakBefore/>
        <w:pBdr>
          <w:bottom w:val="single" w:sz="16" w:space="6" w:color="2E86AB"/>
        </w:pBdr>
      </w:pPr>
      <w:bookmarkStart w:id="8" w:name="_Toc231492031"/>
      <w:r>
        <w:lastRenderedPageBreak/>
        <w:t>4. Development Stage 1 — Foundation</w:t>
      </w:r>
      <w:bookmarkEnd w:id="8"/>
    </w:p>
    <w:p w14:paraId="12F8A4FE" w14:textId="77777777" w:rsidR="00A36EEE" w:rsidRDefault="00000000">
      <w:pPr>
        <w:spacing w:after="160"/>
      </w:pPr>
      <w:r>
        <w:rPr>
          <w:b/>
          <w:color w:val="6B7280"/>
          <w:sz w:val="17"/>
        </w:rPr>
        <w:t xml:space="preserve">STATUS  </w:t>
      </w:r>
      <w:r>
        <w:rPr>
          <w:b/>
          <w:color w:val="2E7D32"/>
          <w:sz w:val="20"/>
        </w:rPr>
        <w:t>Implemented</w:t>
      </w:r>
    </w:p>
    <w:p w14:paraId="67DE6F80" w14:textId="77777777" w:rsidR="00A36EEE" w:rsidRDefault="00000000">
      <w:r>
        <w:t>Stage 1 replaces Excel with a functional system. All five deliverables are complete, plus two additions (custom user roles and file attachments).</w:t>
      </w:r>
    </w:p>
    <w:tbl>
      <w:tblPr>
        <w:tblW w:w="9411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567"/>
        <w:gridCol w:w="6916"/>
        <w:gridCol w:w="1928"/>
      </w:tblGrid>
      <w:tr w:rsidR="00A36EEE" w14:paraId="6F52E26B" w14:textId="77777777">
        <w:tc>
          <w:tcPr>
            <w:tcW w:w="567" w:type="dxa"/>
            <w:shd w:val="clear" w:color="auto" w:fill="1B2A4A"/>
            <w:vAlign w:val="center"/>
          </w:tcPr>
          <w:p w14:paraId="5B68696D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6917" w:type="dxa"/>
            <w:shd w:val="clear" w:color="auto" w:fill="1B2A4A"/>
            <w:vAlign w:val="center"/>
          </w:tcPr>
          <w:p w14:paraId="4FA151F7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Deliverable</w:t>
            </w:r>
          </w:p>
        </w:tc>
        <w:tc>
          <w:tcPr>
            <w:tcW w:w="1928" w:type="dxa"/>
            <w:shd w:val="clear" w:color="auto" w:fill="1B2A4A"/>
            <w:vAlign w:val="center"/>
          </w:tcPr>
          <w:p w14:paraId="7AD242A0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A36EEE" w14:paraId="35F8EC21" w14:textId="77777777">
        <w:tc>
          <w:tcPr>
            <w:tcW w:w="567" w:type="dxa"/>
            <w:vAlign w:val="center"/>
          </w:tcPr>
          <w:p w14:paraId="59C50B18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1</w:t>
            </w:r>
          </w:p>
        </w:tc>
        <w:tc>
          <w:tcPr>
            <w:tcW w:w="6917" w:type="dxa"/>
            <w:vAlign w:val="center"/>
          </w:tcPr>
          <w:p w14:paraId="77478B08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Django backend and database models (audit fields, indexes, idempotency constraint)</w:t>
            </w:r>
          </w:p>
        </w:tc>
        <w:tc>
          <w:tcPr>
            <w:tcW w:w="1928" w:type="dxa"/>
            <w:vAlign w:val="center"/>
          </w:tcPr>
          <w:p w14:paraId="0EADA0A7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2E7D32"/>
                <w:sz w:val="19"/>
              </w:rPr>
              <w:t>Done</w:t>
            </w:r>
          </w:p>
        </w:tc>
      </w:tr>
      <w:tr w:rsidR="00A36EEE" w14:paraId="562D3276" w14:textId="77777777">
        <w:tc>
          <w:tcPr>
            <w:tcW w:w="567" w:type="dxa"/>
            <w:shd w:val="clear" w:color="auto" w:fill="EEF3F8"/>
            <w:vAlign w:val="center"/>
          </w:tcPr>
          <w:p w14:paraId="29877014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2</w:t>
            </w:r>
          </w:p>
        </w:tc>
        <w:tc>
          <w:tcPr>
            <w:tcW w:w="6917" w:type="dxa"/>
            <w:shd w:val="clear" w:color="auto" w:fill="EEF3F8"/>
            <w:vAlign w:val="center"/>
          </w:tcPr>
          <w:p w14:paraId="4BE36AAF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Spreadsheet import — .xlsx/.xlsm/.csv, CLI + UI, forgiving headers (incl. legacy K&amp;N), atomic, idempotent update_or_create, dry-run, per-row errors, row cap</w:t>
            </w:r>
          </w:p>
        </w:tc>
        <w:tc>
          <w:tcPr>
            <w:tcW w:w="1928" w:type="dxa"/>
            <w:shd w:val="clear" w:color="auto" w:fill="EEF3F8"/>
            <w:vAlign w:val="center"/>
          </w:tcPr>
          <w:p w14:paraId="6E8096FC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2E7D32"/>
                <w:sz w:val="19"/>
              </w:rPr>
              <w:t>Done</w:t>
            </w:r>
          </w:p>
        </w:tc>
      </w:tr>
      <w:tr w:rsidR="00A36EEE" w14:paraId="03DBED61" w14:textId="77777777">
        <w:tc>
          <w:tcPr>
            <w:tcW w:w="567" w:type="dxa"/>
            <w:vAlign w:val="center"/>
          </w:tcPr>
          <w:p w14:paraId="1EF5CEE2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3</w:t>
            </w:r>
          </w:p>
        </w:tc>
        <w:tc>
          <w:tcPr>
            <w:tcW w:w="6917" w:type="dxa"/>
            <w:vAlign w:val="center"/>
          </w:tcPr>
          <w:p w14:paraId="570E6ACC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REST API — /api/v1/, filter/search/order, pagination, throttling, role enforcement, session + token auth</w:t>
            </w:r>
          </w:p>
        </w:tc>
        <w:tc>
          <w:tcPr>
            <w:tcW w:w="1928" w:type="dxa"/>
            <w:vAlign w:val="center"/>
          </w:tcPr>
          <w:p w14:paraId="5F2404E0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2E7D32"/>
                <w:sz w:val="19"/>
              </w:rPr>
              <w:t>Done</w:t>
            </w:r>
          </w:p>
        </w:tc>
      </w:tr>
      <w:tr w:rsidR="00A36EEE" w14:paraId="4CC3AC57" w14:textId="77777777">
        <w:tc>
          <w:tcPr>
            <w:tcW w:w="567" w:type="dxa"/>
            <w:shd w:val="clear" w:color="auto" w:fill="EEF3F8"/>
            <w:vAlign w:val="center"/>
          </w:tcPr>
          <w:p w14:paraId="272E5A36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4</w:t>
            </w:r>
          </w:p>
        </w:tc>
        <w:tc>
          <w:tcPr>
            <w:tcW w:w="6917" w:type="dxa"/>
            <w:shd w:val="clear" w:color="auto" w:fill="EEF3F8"/>
            <w:vAlign w:val="center"/>
          </w:tcPr>
          <w:p w14:paraId="38479765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Admin interface (incidents + accounts registered)</w:t>
            </w:r>
          </w:p>
        </w:tc>
        <w:tc>
          <w:tcPr>
            <w:tcW w:w="1928" w:type="dxa"/>
            <w:shd w:val="clear" w:color="auto" w:fill="EEF3F8"/>
            <w:vAlign w:val="center"/>
          </w:tcPr>
          <w:p w14:paraId="2D87C600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2E7D32"/>
                <w:sz w:val="19"/>
              </w:rPr>
              <w:t>Done</w:t>
            </w:r>
          </w:p>
        </w:tc>
      </w:tr>
      <w:tr w:rsidR="00A36EEE" w14:paraId="1F5D35CE" w14:textId="77777777">
        <w:tc>
          <w:tcPr>
            <w:tcW w:w="567" w:type="dxa"/>
            <w:vAlign w:val="center"/>
          </w:tcPr>
          <w:p w14:paraId="09B7643E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5</w:t>
            </w:r>
          </w:p>
        </w:tc>
        <w:tc>
          <w:tcPr>
            <w:tcW w:w="6917" w:type="dxa"/>
            <w:vAlign w:val="center"/>
          </w:tcPr>
          <w:p w14:paraId="5B8D61CF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Code-quality tooling — ruff, mypy (django/drf stubs), bandit, pytest + coverage</w:t>
            </w:r>
          </w:p>
        </w:tc>
        <w:tc>
          <w:tcPr>
            <w:tcW w:w="1928" w:type="dxa"/>
            <w:vAlign w:val="center"/>
          </w:tcPr>
          <w:p w14:paraId="59EE2062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2E7D32"/>
                <w:sz w:val="19"/>
              </w:rPr>
              <w:t>Done</w:t>
            </w:r>
          </w:p>
        </w:tc>
      </w:tr>
    </w:tbl>
    <w:p w14:paraId="55E5F062" w14:textId="77777777" w:rsidR="00A36EEE" w:rsidRDefault="00000000">
      <w:pPr>
        <w:pStyle w:val="Kop1"/>
        <w:pageBreakBefore/>
        <w:pBdr>
          <w:bottom w:val="single" w:sz="16" w:space="6" w:color="2E86AB"/>
        </w:pBdr>
      </w:pPr>
      <w:bookmarkStart w:id="9" w:name="_Toc231492032"/>
      <w:r>
        <w:lastRenderedPageBreak/>
        <w:t>5. Development Stage 2 — Visibility</w:t>
      </w:r>
      <w:bookmarkEnd w:id="9"/>
    </w:p>
    <w:p w14:paraId="7143C38E" w14:textId="77777777" w:rsidR="00A36EEE" w:rsidRDefault="00000000">
      <w:pPr>
        <w:spacing w:after="160"/>
      </w:pPr>
      <w:r>
        <w:rPr>
          <w:b/>
          <w:color w:val="6B7280"/>
          <w:sz w:val="17"/>
        </w:rPr>
        <w:t xml:space="preserve">STATUS  </w:t>
      </w:r>
      <w:r>
        <w:rPr>
          <w:b/>
          <w:color w:val="B7791F"/>
          <w:sz w:val="20"/>
        </w:rPr>
        <w:t>Partially implemented</w:t>
      </w:r>
    </w:p>
    <w:p w14:paraId="4FB20443" w14:textId="77777777" w:rsidR="00A36EEE" w:rsidRDefault="00000000">
      <w:r>
        <w:t>Stage 2 introduces dashboards and operational insight. Authentication and the analytics pivot are implemented; dedicated KPI endpoints and alerts remain planned.</w:t>
      </w:r>
    </w:p>
    <w:tbl>
      <w:tblPr>
        <w:tblW w:w="9411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567"/>
        <w:gridCol w:w="6916"/>
        <w:gridCol w:w="1928"/>
      </w:tblGrid>
      <w:tr w:rsidR="00A36EEE" w14:paraId="62453730" w14:textId="77777777">
        <w:tc>
          <w:tcPr>
            <w:tcW w:w="567" w:type="dxa"/>
            <w:shd w:val="clear" w:color="auto" w:fill="1B2A4A"/>
            <w:vAlign w:val="center"/>
          </w:tcPr>
          <w:p w14:paraId="7B5A6AE8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6917" w:type="dxa"/>
            <w:shd w:val="clear" w:color="auto" w:fill="1B2A4A"/>
            <w:vAlign w:val="center"/>
          </w:tcPr>
          <w:p w14:paraId="56C44E0D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Deliverable</w:t>
            </w:r>
          </w:p>
        </w:tc>
        <w:tc>
          <w:tcPr>
            <w:tcW w:w="1928" w:type="dxa"/>
            <w:shd w:val="clear" w:color="auto" w:fill="1B2A4A"/>
            <w:vAlign w:val="center"/>
          </w:tcPr>
          <w:p w14:paraId="43F327A8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A36EEE" w14:paraId="1BDE79F5" w14:textId="77777777">
        <w:tc>
          <w:tcPr>
            <w:tcW w:w="567" w:type="dxa"/>
            <w:vAlign w:val="center"/>
          </w:tcPr>
          <w:p w14:paraId="14632081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1</w:t>
            </w:r>
          </w:p>
        </w:tc>
        <w:tc>
          <w:tcPr>
            <w:tcW w:w="6917" w:type="dxa"/>
            <w:vAlign w:val="center"/>
          </w:tcPr>
          <w:p w14:paraId="39E2B634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KPI and statistics endpoints — breakdowns computed on the analytics page; machine-readable JSON KPI endpoints still to do</w:t>
            </w:r>
          </w:p>
        </w:tc>
        <w:tc>
          <w:tcPr>
            <w:tcW w:w="1928" w:type="dxa"/>
            <w:vAlign w:val="center"/>
          </w:tcPr>
          <w:p w14:paraId="4974AB5A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B7791F"/>
                <w:sz w:val="19"/>
              </w:rPr>
              <w:t>Partial</w:t>
            </w:r>
          </w:p>
        </w:tc>
      </w:tr>
      <w:tr w:rsidR="00A36EEE" w14:paraId="36EE0551" w14:textId="77777777">
        <w:tc>
          <w:tcPr>
            <w:tcW w:w="567" w:type="dxa"/>
            <w:shd w:val="clear" w:color="auto" w:fill="EEF3F8"/>
            <w:vAlign w:val="center"/>
          </w:tcPr>
          <w:p w14:paraId="40F972D0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2</w:t>
            </w:r>
          </w:p>
        </w:tc>
        <w:tc>
          <w:tcPr>
            <w:tcW w:w="6917" w:type="dxa"/>
            <w:shd w:val="clear" w:color="auto" w:fill="EEF3F8"/>
            <w:vAlign w:val="center"/>
          </w:tcPr>
          <w:p w14:paraId="3CB661FD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Dashboard / analytics — interactive pivot (8 dimensions, totals, heatmap shading) mirroring the Excel “Analysis” sheet; richer charting to follow</w:t>
            </w:r>
          </w:p>
        </w:tc>
        <w:tc>
          <w:tcPr>
            <w:tcW w:w="1928" w:type="dxa"/>
            <w:shd w:val="clear" w:color="auto" w:fill="EEF3F8"/>
            <w:vAlign w:val="center"/>
          </w:tcPr>
          <w:p w14:paraId="3BDA0B3D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2E7D32"/>
                <w:sz w:val="19"/>
              </w:rPr>
              <w:t>Implemented</w:t>
            </w:r>
          </w:p>
        </w:tc>
      </w:tr>
      <w:tr w:rsidR="00A36EEE" w14:paraId="39283DA8" w14:textId="77777777">
        <w:tc>
          <w:tcPr>
            <w:tcW w:w="567" w:type="dxa"/>
            <w:vAlign w:val="center"/>
          </w:tcPr>
          <w:p w14:paraId="644ECC51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3</w:t>
            </w:r>
          </w:p>
        </w:tc>
        <w:tc>
          <w:tcPr>
            <w:tcW w:w="6917" w:type="dxa"/>
            <w:vAlign w:val="center"/>
          </w:tcPr>
          <w:p w14:paraId="3E011BBD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Alerts and notifications</w:t>
            </w:r>
          </w:p>
        </w:tc>
        <w:tc>
          <w:tcPr>
            <w:tcW w:w="1928" w:type="dxa"/>
            <w:vAlign w:val="center"/>
          </w:tcPr>
          <w:p w14:paraId="4B91F31B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5B6675"/>
                <w:sz w:val="19"/>
              </w:rPr>
              <w:t>Planned</w:t>
            </w:r>
          </w:p>
        </w:tc>
      </w:tr>
      <w:tr w:rsidR="00A36EEE" w14:paraId="4C7684FC" w14:textId="77777777">
        <w:tc>
          <w:tcPr>
            <w:tcW w:w="567" w:type="dxa"/>
            <w:shd w:val="clear" w:color="auto" w:fill="EEF3F8"/>
            <w:vAlign w:val="center"/>
          </w:tcPr>
          <w:p w14:paraId="57D2309E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4</w:t>
            </w:r>
          </w:p>
        </w:tc>
        <w:tc>
          <w:tcPr>
            <w:tcW w:w="6917" w:type="dxa"/>
            <w:shd w:val="clear" w:color="auto" w:fill="EEF3F8"/>
            <w:vAlign w:val="center"/>
          </w:tcPr>
          <w:p w14:paraId="35A00E64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Authentication — allauth login, RBAC (Admin/Editor/Viewer), axes lockout, Argon2, 12-char policy, optional Google/Microsoft SSO</w:t>
            </w:r>
          </w:p>
        </w:tc>
        <w:tc>
          <w:tcPr>
            <w:tcW w:w="1928" w:type="dxa"/>
            <w:shd w:val="clear" w:color="auto" w:fill="EEF3F8"/>
            <w:vAlign w:val="center"/>
          </w:tcPr>
          <w:p w14:paraId="5854E8DF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2E7D32"/>
                <w:sz w:val="19"/>
              </w:rPr>
              <w:t>Implemented</w:t>
            </w:r>
          </w:p>
        </w:tc>
      </w:tr>
    </w:tbl>
    <w:p w14:paraId="79D88671" w14:textId="77777777" w:rsidR="00A36EEE" w:rsidRDefault="00000000">
      <w:pPr>
        <w:pStyle w:val="Kop1"/>
        <w:pageBreakBefore/>
        <w:pBdr>
          <w:bottom w:val="single" w:sz="16" w:space="6" w:color="2E86AB"/>
        </w:pBdr>
      </w:pPr>
      <w:bookmarkStart w:id="10" w:name="_Toc231492033"/>
      <w:r>
        <w:lastRenderedPageBreak/>
        <w:t>6. Development Stage 3 — Smart System</w:t>
      </w:r>
      <w:bookmarkEnd w:id="10"/>
    </w:p>
    <w:p w14:paraId="02AAA786" w14:textId="77777777" w:rsidR="00A36EEE" w:rsidRDefault="00000000">
      <w:pPr>
        <w:spacing w:after="160"/>
      </w:pPr>
      <w:r>
        <w:rPr>
          <w:b/>
          <w:color w:val="6B7280"/>
          <w:sz w:val="17"/>
        </w:rPr>
        <w:t xml:space="preserve">STATUS  </w:t>
      </w:r>
      <w:r>
        <w:rPr>
          <w:b/>
          <w:color w:val="5B6675"/>
          <w:sz w:val="20"/>
        </w:rPr>
        <w:t>Planned (design only)</w:t>
      </w:r>
    </w:p>
    <w:p w14:paraId="67E96691" w14:textId="77777777" w:rsidR="00A36EEE" w:rsidRDefault="00000000">
      <w:r>
        <w:t>Stage 3 focuses on predictive and intelligent features. The data already captured supports these directly.</w:t>
      </w:r>
    </w:p>
    <w:tbl>
      <w:tblPr>
        <w:tblW w:w="9411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567"/>
        <w:gridCol w:w="2835"/>
        <w:gridCol w:w="6009"/>
      </w:tblGrid>
      <w:tr w:rsidR="00A36EEE" w14:paraId="01241E70" w14:textId="77777777">
        <w:tc>
          <w:tcPr>
            <w:tcW w:w="567" w:type="dxa"/>
            <w:shd w:val="clear" w:color="auto" w:fill="1B2A4A"/>
            <w:vAlign w:val="center"/>
          </w:tcPr>
          <w:p w14:paraId="0010ACF0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835" w:type="dxa"/>
            <w:shd w:val="clear" w:color="auto" w:fill="1B2A4A"/>
            <w:vAlign w:val="center"/>
          </w:tcPr>
          <w:p w14:paraId="1AC718A7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6009" w:type="dxa"/>
            <w:shd w:val="clear" w:color="auto" w:fill="1B2A4A"/>
            <w:vAlign w:val="center"/>
          </w:tcPr>
          <w:p w14:paraId="6309919D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Basis in existing data</w:t>
            </w:r>
          </w:p>
        </w:tc>
      </w:tr>
      <w:tr w:rsidR="00A36EEE" w14:paraId="76EA7B55" w14:textId="77777777">
        <w:tc>
          <w:tcPr>
            <w:tcW w:w="567" w:type="dxa"/>
            <w:vAlign w:val="center"/>
          </w:tcPr>
          <w:p w14:paraId="61B05F77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1</w:t>
            </w:r>
          </w:p>
        </w:tc>
        <w:tc>
          <w:tcPr>
            <w:tcW w:w="2835" w:type="dxa"/>
            <w:vAlign w:val="center"/>
          </w:tcPr>
          <w:p w14:paraId="464B3B96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Delay prediction</w:t>
            </w:r>
          </w:p>
        </w:tc>
        <w:tc>
          <w:tcPr>
            <w:tcW w:w="6009" w:type="dxa"/>
            <w:vAlign w:val="center"/>
          </w:tcPr>
          <w:p w14:paraId="4F39C940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issue_date → resolve_date duration; carrier/issue/location features</w:t>
            </w:r>
          </w:p>
        </w:tc>
      </w:tr>
      <w:tr w:rsidR="00A36EEE" w14:paraId="519CDC4E" w14:textId="77777777">
        <w:tc>
          <w:tcPr>
            <w:tcW w:w="567" w:type="dxa"/>
            <w:shd w:val="clear" w:color="auto" w:fill="EEF3F8"/>
            <w:vAlign w:val="center"/>
          </w:tcPr>
          <w:p w14:paraId="1C8A58FA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2</w:t>
            </w:r>
          </w:p>
        </w:tc>
        <w:tc>
          <w:tcPr>
            <w:tcW w:w="2835" w:type="dxa"/>
            <w:shd w:val="clear" w:color="auto" w:fill="EEF3F8"/>
            <w:vAlign w:val="center"/>
          </w:tcPr>
          <w:p w14:paraId="02843448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Anomaly detection</w:t>
            </w:r>
          </w:p>
        </w:tc>
        <w:tc>
          <w:tcPr>
            <w:tcW w:w="6009" w:type="dxa"/>
            <w:shd w:val="clear" w:color="auto" w:fill="EEF3F8"/>
            <w:vAlign w:val="center"/>
          </w:tcPr>
          <w:p w14:paraId="24D6703F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spikes per carrier / issue type / location over time</w:t>
            </w:r>
          </w:p>
        </w:tc>
      </w:tr>
      <w:tr w:rsidR="00A36EEE" w14:paraId="000C74FE" w14:textId="77777777">
        <w:tc>
          <w:tcPr>
            <w:tcW w:w="567" w:type="dxa"/>
            <w:vAlign w:val="center"/>
          </w:tcPr>
          <w:p w14:paraId="09BC8EC1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3</w:t>
            </w:r>
          </w:p>
        </w:tc>
        <w:tc>
          <w:tcPr>
            <w:tcW w:w="2835" w:type="dxa"/>
            <w:vAlign w:val="center"/>
          </w:tcPr>
          <w:p w14:paraId="21BD439A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AI-based classification</w:t>
            </w:r>
          </w:p>
        </w:tc>
        <w:tc>
          <w:tcPr>
            <w:tcW w:w="6009" w:type="dxa"/>
            <w:vAlign w:val="center"/>
          </w:tcPr>
          <w:p w14:paraId="74D73B57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auto-suggest issue_type / causing_party from the free-text note</w:t>
            </w:r>
          </w:p>
        </w:tc>
      </w:tr>
      <w:tr w:rsidR="00A36EEE" w14:paraId="48843914" w14:textId="77777777">
        <w:tc>
          <w:tcPr>
            <w:tcW w:w="567" w:type="dxa"/>
            <w:shd w:val="clear" w:color="auto" w:fill="EEF3F8"/>
            <w:vAlign w:val="center"/>
          </w:tcPr>
          <w:p w14:paraId="78F0D577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4</w:t>
            </w:r>
          </w:p>
        </w:tc>
        <w:tc>
          <w:tcPr>
            <w:tcW w:w="2835" w:type="dxa"/>
            <w:shd w:val="clear" w:color="auto" w:fill="EEF3F8"/>
            <w:vAlign w:val="center"/>
          </w:tcPr>
          <w:p w14:paraId="4A3A21FA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Recommendations</w:t>
            </w:r>
          </w:p>
        </w:tc>
        <w:tc>
          <w:tcPr>
            <w:tcW w:w="6009" w:type="dxa"/>
            <w:shd w:val="clear" w:color="auto" w:fill="EEF3F8"/>
            <w:vAlign w:val="center"/>
          </w:tcPr>
          <w:p w14:paraId="33366317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suggested resolution actions from historical resolutions</w:t>
            </w:r>
          </w:p>
        </w:tc>
      </w:tr>
    </w:tbl>
    <w:p w14:paraId="138E984C" w14:textId="77777777" w:rsidR="00A36EEE" w:rsidRDefault="00A36EEE">
      <w:pPr>
        <w:spacing w:after="0"/>
      </w:pPr>
    </w:p>
    <w:p w14:paraId="607561E4" w14:textId="77777777" w:rsidR="00A36EEE" w:rsidRDefault="00000000">
      <w:r>
        <w:t>Intended stack: Celery + Redis for asynchronous jobs and scikit-learn for the initial models. Redis is already wired in as the cache backend, so adding a broker is incremental.</w:t>
      </w:r>
    </w:p>
    <w:p w14:paraId="12395035" w14:textId="77777777" w:rsidR="00A36EEE" w:rsidRDefault="00000000">
      <w:pPr>
        <w:pStyle w:val="Kop1"/>
        <w:pageBreakBefore/>
        <w:pBdr>
          <w:bottom w:val="single" w:sz="16" w:space="6" w:color="2E86AB"/>
        </w:pBdr>
      </w:pPr>
      <w:bookmarkStart w:id="11" w:name="_Toc231492034"/>
      <w:r>
        <w:lastRenderedPageBreak/>
        <w:t>7. Security (OWASP Top 10, 2021)</w:t>
      </w:r>
      <w:bookmarkEnd w:id="11"/>
    </w:p>
    <w:p w14:paraId="3BC6B5B4" w14:textId="77777777" w:rsidR="00A36EEE" w:rsidRDefault="00000000">
      <w:r>
        <w:t>Security is treated as a first-class requirement. Coverage of the OWASP Top 10:</w:t>
      </w:r>
    </w:p>
    <w:tbl>
      <w:tblPr>
        <w:tblW w:w="9411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3061"/>
        <w:gridCol w:w="6350"/>
      </w:tblGrid>
      <w:tr w:rsidR="00A36EEE" w14:paraId="2341EDE4" w14:textId="77777777">
        <w:tc>
          <w:tcPr>
            <w:tcW w:w="3061" w:type="dxa"/>
            <w:shd w:val="clear" w:color="auto" w:fill="1B2A4A"/>
            <w:vAlign w:val="center"/>
          </w:tcPr>
          <w:p w14:paraId="513599EC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6350" w:type="dxa"/>
            <w:shd w:val="clear" w:color="auto" w:fill="1B2A4A"/>
            <w:vAlign w:val="center"/>
          </w:tcPr>
          <w:p w14:paraId="105EE348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Mitigation in Grief Tracker</w:t>
            </w:r>
          </w:p>
        </w:tc>
      </w:tr>
      <w:tr w:rsidR="00A36EEE" w14:paraId="1E476085" w14:textId="77777777">
        <w:tc>
          <w:tcPr>
            <w:tcW w:w="3061" w:type="dxa"/>
            <w:vAlign w:val="center"/>
          </w:tcPr>
          <w:p w14:paraId="3350082A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A01 Broken Access Control</w:t>
            </w:r>
          </w:p>
        </w:tc>
        <w:tc>
          <w:tcPr>
            <w:tcW w:w="6350" w:type="dxa"/>
            <w:vAlign w:val="center"/>
          </w:tcPr>
          <w:p w14:paraId="2055FFE9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@role_required, DRF permission classes, login required everywhere except /healthz/</w:t>
            </w:r>
          </w:p>
        </w:tc>
      </w:tr>
      <w:tr w:rsidR="00A36EEE" w14:paraId="1EE5FE2B" w14:textId="77777777">
        <w:tc>
          <w:tcPr>
            <w:tcW w:w="3061" w:type="dxa"/>
            <w:shd w:val="clear" w:color="auto" w:fill="EEF3F8"/>
            <w:vAlign w:val="center"/>
          </w:tcPr>
          <w:p w14:paraId="334E7DBF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A02 Cryptographic Failures</w:t>
            </w:r>
          </w:p>
        </w:tc>
        <w:tc>
          <w:tcPr>
            <w:tcW w:w="6350" w:type="dxa"/>
            <w:shd w:val="clear" w:color="auto" w:fill="EEF3F8"/>
            <w:vAlign w:val="center"/>
          </w:tcPr>
          <w:p w14:paraId="653AE166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Argon2 hashing, HSTS, secure/HttpOnly cookies, secrets via environment</w:t>
            </w:r>
          </w:p>
        </w:tc>
      </w:tr>
      <w:tr w:rsidR="00A36EEE" w14:paraId="01C31512" w14:textId="77777777">
        <w:tc>
          <w:tcPr>
            <w:tcW w:w="3061" w:type="dxa"/>
            <w:vAlign w:val="center"/>
          </w:tcPr>
          <w:p w14:paraId="7854719D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A03 Injection</w:t>
            </w:r>
          </w:p>
        </w:tc>
        <w:tc>
          <w:tcPr>
            <w:tcW w:w="6350" w:type="dxa"/>
            <w:vAlign w:val="center"/>
          </w:tcPr>
          <w:p w14:paraId="5A978480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ORM-only queries, parameterised search, Django auto-escaping</w:t>
            </w:r>
          </w:p>
        </w:tc>
      </w:tr>
      <w:tr w:rsidR="00A36EEE" w14:paraId="04349B38" w14:textId="77777777">
        <w:tc>
          <w:tcPr>
            <w:tcW w:w="3061" w:type="dxa"/>
            <w:shd w:val="clear" w:color="auto" w:fill="EEF3F8"/>
            <w:vAlign w:val="center"/>
          </w:tcPr>
          <w:p w14:paraId="340BFC9A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A04 Insecure Design</w:t>
            </w:r>
          </w:p>
        </w:tc>
        <w:tc>
          <w:tcPr>
            <w:tcW w:w="6350" w:type="dxa"/>
            <w:shd w:val="clear" w:color="auto" w:fill="EEF3F8"/>
            <w:vAlign w:val="center"/>
          </w:tcPr>
          <w:p w14:paraId="4AE6681A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deny-by-default permissions, atomic + dry-run importer</w:t>
            </w:r>
          </w:p>
        </w:tc>
      </w:tr>
      <w:tr w:rsidR="00A36EEE" w14:paraId="4F5B3E09" w14:textId="77777777">
        <w:tc>
          <w:tcPr>
            <w:tcW w:w="3061" w:type="dxa"/>
            <w:vAlign w:val="center"/>
          </w:tcPr>
          <w:p w14:paraId="71336ACA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A05 Security Misconfiguration</w:t>
            </w:r>
          </w:p>
        </w:tc>
        <w:tc>
          <w:tcPr>
            <w:tcW w:w="6350" w:type="dxa"/>
            <w:vAlign w:val="center"/>
          </w:tcPr>
          <w:p w14:paraId="5C94B11B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DEBUG off by default, no default secret in prod, CSP, Permissions-Policy, X-Frame-Options DENY, non-root container, internal-only DB network</w:t>
            </w:r>
          </w:p>
        </w:tc>
      </w:tr>
      <w:tr w:rsidR="00A36EEE" w14:paraId="1EA887BD" w14:textId="77777777">
        <w:tc>
          <w:tcPr>
            <w:tcW w:w="3061" w:type="dxa"/>
            <w:shd w:val="clear" w:color="auto" w:fill="EEF3F8"/>
            <w:vAlign w:val="center"/>
          </w:tcPr>
          <w:p w14:paraId="7A67C851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A06 Vulnerable Components</w:t>
            </w:r>
          </w:p>
        </w:tc>
        <w:tc>
          <w:tcPr>
            <w:tcW w:w="6350" w:type="dxa"/>
            <w:shd w:val="clear" w:color="auto" w:fill="EEF3F8"/>
            <w:vAlign w:val="center"/>
          </w:tcPr>
          <w:p w14:paraId="7A7CBE96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pinned pyproject.toml / uv.lock, Dependabot, slim base image</w:t>
            </w:r>
          </w:p>
        </w:tc>
      </w:tr>
      <w:tr w:rsidR="00A36EEE" w14:paraId="2304AC08" w14:textId="77777777">
        <w:tc>
          <w:tcPr>
            <w:tcW w:w="3061" w:type="dxa"/>
            <w:vAlign w:val="center"/>
          </w:tcPr>
          <w:p w14:paraId="426C3241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A07 Identification &amp; Auth Failures</w:t>
            </w:r>
          </w:p>
        </w:tc>
        <w:tc>
          <w:tcPr>
            <w:tcW w:w="6350" w:type="dxa"/>
            <w:vAlign w:val="center"/>
          </w:tcPr>
          <w:p w14:paraId="4BD0C439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django-axes lockout, 12-char password policy, allauth rate limits</w:t>
            </w:r>
          </w:p>
        </w:tc>
      </w:tr>
      <w:tr w:rsidR="00A36EEE" w14:paraId="41570B0E" w14:textId="77777777">
        <w:tc>
          <w:tcPr>
            <w:tcW w:w="3061" w:type="dxa"/>
            <w:shd w:val="clear" w:color="auto" w:fill="EEF3F8"/>
            <w:vAlign w:val="center"/>
          </w:tcPr>
          <w:p w14:paraId="054862E9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A08 Data Integrity Failures</w:t>
            </w:r>
          </w:p>
        </w:tc>
        <w:tc>
          <w:tcPr>
            <w:tcW w:w="6350" w:type="dxa"/>
            <w:shd w:val="clear" w:color="auto" w:fill="EEF3F8"/>
            <w:vAlign w:val="center"/>
          </w:tcPr>
          <w:p w14:paraId="45073A5E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CSRF middleware, signed sessions, idempotent importer</w:t>
            </w:r>
          </w:p>
        </w:tc>
      </w:tr>
      <w:tr w:rsidR="00A36EEE" w14:paraId="2506D614" w14:textId="77777777">
        <w:tc>
          <w:tcPr>
            <w:tcW w:w="3061" w:type="dxa"/>
            <w:vAlign w:val="center"/>
          </w:tcPr>
          <w:p w14:paraId="434FE8EF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A09 Logging &amp; Monitoring</w:t>
            </w:r>
          </w:p>
        </w:tc>
        <w:tc>
          <w:tcPr>
            <w:tcW w:w="6350" w:type="dxa"/>
            <w:vAlign w:val="center"/>
          </w:tcPr>
          <w:p w14:paraId="6BA7F249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structured stdout logging; axes records lockouts</w:t>
            </w:r>
          </w:p>
        </w:tc>
      </w:tr>
      <w:tr w:rsidR="00A36EEE" w14:paraId="7E760687" w14:textId="77777777">
        <w:tc>
          <w:tcPr>
            <w:tcW w:w="3061" w:type="dxa"/>
            <w:shd w:val="clear" w:color="auto" w:fill="EEF3F8"/>
            <w:vAlign w:val="center"/>
          </w:tcPr>
          <w:p w14:paraId="124F84FA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A10 SSRF</w:t>
            </w:r>
          </w:p>
        </w:tc>
        <w:tc>
          <w:tcPr>
            <w:tcW w:w="6350" w:type="dxa"/>
            <w:shd w:val="clear" w:color="auto" w:fill="EEF3F8"/>
            <w:vAlign w:val="center"/>
          </w:tcPr>
          <w:p w14:paraId="0FAD17C8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no user-supplied outbound URLs</w:t>
            </w:r>
          </w:p>
        </w:tc>
      </w:tr>
    </w:tbl>
    <w:p w14:paraId="10E57610" w14:textId="77777777" w:rsidR="00A36EEE" w:rsidRDefault="00A36EEE">
      <w:pPr>
        <w:spacing w:after="0"/>
      </w:pPr>
    </w:p>
    <w:p w14:paraId="4DEEF198" w14:textId="77777777" w:rsidR="00A36EEE" w:rsidRDefault="00000000">
      <w:r>
        <w:t>Uploads (attachments and import files) are constrained by extension, content-type, and a 25 MB size limit, and the relevant views are rate-limited.</w:t>
      </w:r>
    </w:p>
    <w:p w14:paraId="62B72D62" w14:textId="77777777" w:rsidR="00A36EEE" w:rsidRDefault="00000000">
      <w:pPr>
        <w:pStyle w:val="Kop1"/>
        <w:pageBreakBefore/>
        <w:pBdr>
          <w:bottom w:val="single" w:sz="16" w:space="6" w:color="2E86AB"/>
        </w:pBdr>
      </w:pPr>
      <w:bookmarkStart w:id="12" w:name="_Toc231492035"/>
      <w:r>
        <w:lastRenderedPageBreak/>
        <w:t>8. Testing &amp; Quality Assurance</w:t>
      </w:r>
      <w:bookmarkEnd w:id="12"/>
    </w:p>
    <w:p w14:paraId="2854E849" w14:textId="77777777" w:rsidR="00A36EEE" w:rsidRDefault="00000000">
      <w:r>
        <w:t>A pytest suite covers models, HTML views, RBAC, the REST API, the importer, the pivot/analytics logic, attachments, user creation, and security behaviour (security headers, CSRF, password validators). Tests run against an in-memory SQLite database, so no Postgres is required locally. Static quality is enforced by ruff, mypy (typed with django/drf stubs), and bandit — all run in CI on every push and pull request.</w:t>
      </w:r>
    </w:p>
    <w:p w14:paraId="5C6010A2" w14:textId="77777777" w:rsidR="00A36EEE" w:rsidRDefault="00000000">
      <w:pPr>
        <w:pStyle w:val="Kop1"/>
        <w:pageBreakBefore/>
        <w:pBdr>
          <w:bottom w:val="single" w:sz="16" w:space="6" w:color="2E86AB"/>
        </w:pBdr>
      </w:pPr>
      <w:bookmarkStart w:id="13" w:name="_Toc231492036"/>
      <w:r>
        <w:lastRenderedPageBreak/>
        <w:t>9. Deployment &amp; DevOps (CI/CD)</w:t>
      </w:r>
      <w:bookmarkEnd w:id="13"/>
    </w:p>
    <w:p w14:paraId="6C6B0811" w14:textId="77777777" w:rsidR="00A36EEE" w:rsidRDefault="00000000">
      <w:pPr>
        <w:pStyle w:val="Lijstopsomteken"/>
        <w:spacing w:after="60"/>
      </w:pPr>
      <w:r>
        <w:rPr>
          <w:b/>
        </w:rPr>
        <w:t xml:space="preserve">ci.yml </w:t>
      </w:r>
      <w:r>
        <w:t>(every push/PR): ruff check + format check, bandit, mypy, pytest --cov, manage.py check --deploy against a prod-like environment, and a Docker build that verifies /healthz/ returns 200.</w:t>
      </w:r>
    </w:p>
    <w:p w14:paraId="61215F9F" w14:textId="77777777" w:rsidR="00A36EEE" w:rsidRDefault="00000000">
      <w:pPr>
        <w:pStyle w:val="Lijstopsomteken"/>
        <w:spacing w:after="60"/>
      </w:pPr>
      <w:r>
        <w:rPr>
          <w:b/>
        </w:rPr>
        <w:t xml:space="preserve">release.yml </w:t>
      </w:r>
      <w:r>
        <w:t>(push to main and v*.*.* tags): builds multi-arch images (amd64 + arm64), pushes to GHCR, and generates SBOM + provenance attestations.</w:t>
      </w:r>
    </w:p>
    <w:p w14:paraId="585E42E2" w14:textId="77777777" w:rsidR="00A36EEE" w:rsidRDefault="00000000">
      <w:pPr>
        <w:pStyle w:val="Lijstopsomteken"/>
        <w:spacing w:after="60"/>
      </w:pPr>
      <w:r>
        <w:rPr>
          <w:b/>
        </w:rPr>
        <w:t xml:space="preserve">Dependabot — </w:t>
      </w:r>
      <w:r>
        <w:t>weekly dependency, GitHub Actions, and Docker base-image updates (grouped to reduce PR noise).</w:t>
      </w:r>
    </w:p>
    <w:p w14:paraId="3338B610" w14:textId="77777777" w:rsidR="00A36EEE" w:rsidRDefault="00000000">
      <w:pPr>
        <w:pStyle w:val="Lijstopsomteken"/>
        <w:spacing w:after="60"/>
      </w:pPr>
      <w:r>
        <w:rPr>
          <w:b/>
        </w:rPr>
        <w:t xml:space="preserve">Deployment options — </w:t>
      </w:r>
      <w:r>
        <w:t>one-click Render (render.yaml), Fly.io (fly.toml), a prebuilt GHCR image, or self-hosted docker compose up (Postgres + Redis + Django + nginx). A Windows start.bat / make up gives a one-command local launch.</w:t>
      </w:r>
    </w:p>
    <w:p w14:paraId="21AD551D" w14:textId="77777777" w:rsidR="00A36EEE" w:rsidRDefault="00000000">
      <w:pPr>
        <w:pStyle w:val="Kop1"/>
        <w:pageBreakBefore/>
        <w:pBdr>
          <w:bottom w:val="single" w:sz="16" w:space="6" w:color="2E86AB"/>
        </w:pBdr>
      </w:pPr>
      <w:bookmarkStart w:id="14" w:name="_Toc231492037"/>
      <w:r>
        <w:lastRenderedPageBreak/>
        <w:t>10. Technical Roadmap</w:t>
      </w:r>
      <w:bookmarkEnd w:id="14"/>
    </w:p>
    <w:p w14:paraId="11A6F016" w14:textId="77777777" w:rsidR="00A36EEE" w:rsidRDefault="00000000">
      <w:r>
        <w:t>The system is built on Django, Django REST Framework, PostgreSQL, and Redis. Planned improvements: dedicated KPI/statistics JSON endpoints and a richer charting dashboard (Stage 2 completion); alerts/notifications; Celery workers (Redis broker) for asynchronous import and scheduled jobs; and machine-learning integration for the Stage 3 features. A production checklist (TLS termination, DEBUG=False, HSTS, restricted hosts, regular pg_dump backups) governs public exposure.</w:t>
      </w:r>
    </w:p>
    <w:p w14:paraId="4C553875" w14:textId="77777777" w:rsidR="00A36EEE" w:rsidRDefault="00000000">
      <w:pPr>
        <w:pStyle w:val="Kop1"/>
        <w:pageBreakBefore/>
        <w:pBdr>
          <w:bottom w:val="single" w:sz="16" w:space="6" w:color="2E86AB"/>
        </w:pBdr>
      </w:pPr>
      <w:bookmarkStart w:id="15" w:name="_Toc231492038"/>
      <w:r>
        <w:lastRenderedPageBreak/>
        <w:t>11. Planning and Deadline</w:t>
      </w:r>
      <w:bookmarkEnd w:id="15"/>
    </w:p>
    <w:p w14:paraId="7C63D0BE" w14:textId="77777777" w:rsidR="00A36EEE" w:rsidRDefault="00000000">
      <w:r>
        <w:t>Development followed a structured, stage-based weekly plan toward the 31 March 2026 deadline.</w:t>
      </w:r>
    </w:p>
    <w:tbl>
      <w:tblPr>
        <w:tblW w:w="9411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1701"/>
        <w:gridCol w:w="5782"/>
        <w:gridCol w:w="1928"/>
      </w:tblGrid>
      <w:tr w:rsidR="00A36EEE" w14:paraId="30DACDC3" w14:textId="77777777">
        <w:tc>
          <w:tcPr>
            <w:tcW w:w="1701" w:type="dxa"/>
            <w:shd w:val="clear" w:color="auto" w:fill="1B2A4A"/>
            <w:vAlign w:val="center"/>
          </w:tcPr>
          <w:p w14:paraId="1C4C0CFA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w="5783" w:type="dxa"/>
            <w:shd w:val="clear" w:color="auto" w:fill="1B2A4A"/>
            <w:vAlign w:val="center"/>
          </w:tcPr>
          <w:p w14:paraId="2C9A815A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w="1928" w:type="dxa"/>
            <w:shd w:val="clear" w:color="auto" w:fill="1B2A4A"/>
            <w:vAlign w:val="center"/>
          </w:tcPr>
          <w:p w14:paraId="3E612BD1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A36EEE" w14:paraId="2E2A5B7A" w14:textId="77777777">
        <w:tc>
          <w:tcPr>
            <w:tcW w:w="1701" w:type="dxa"/>
            <w:vAlign w:val="center"/>
          </w:tcPr>
          <w:p w14:paraId="55148DB3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Weeks 1–4</w:t>
            </w:r>
          </w:p>
        </w:tc>
        <w:tc>
          <w:tcPr>
            <w:tcW w:w="5783" w:type="dxa"/>
            <w:vAlign w:val="center"/>
          </w:tcPr>
          <w:p w14:paraId="108D0065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Stage 1 — models, importer, REST API, admin, tooling</w:t>
            </w:r>
          </w:p>
        </w:tc>
        <w:tc>
          <w:tcPr>
            <w:tcW w:w="1928" w:type="dxa"/>
            <w:vAlign w:val="center"/>
          </w:tcPr>
          <w:p w14:paraId="0C54D98B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2E7D32"/>
                <w:sz w:val="19"/>
              </w:rPr>
              <w:t>Done</w:t>
            </w:r>
          </w:p>
        </w:tc>
      </w:tr>
      <w:tr w:rsidR="00A36EEE" w14:paraId="4B61919A" w14:textId="77777777">
        <w:tc>
          <w:tcPr>
            <w:tcW w:w="1701" w:type="dxa"/>
            <w:shd w:val="clear" w:color="auto" w:fill="EEF3F8"/>
            <w:vAlign w:val="center"/>
          </w:tcPr>
          <w:p w14:paraId="2A0410B8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Weeks 5–8</w:t>
            </w:r>
          </w:p>
        </w:tc>
        <w:tc>
          <w:tcPr>
            <w:tcW w:w="5783" w:type="dxa"/>
            <w:shd w:val="clear" w:color="auto" w:fill="EEF3F8"/>
            <w:vAlign w:val="center"/>
          </w:tcPr>
          <w:p w14:paraId="79021B90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Stage 2 — authentication, RBAC, analytics/pivot, attachments</w:t>
            </w:r>
          </w:p>
        </w:tc>
        <w:tc>
          <w:tcPr>
            <w:tcW w:w="1928" w:type="dxa"/>
            <w:shd w:val="clear" w:color="auto" w:fill="EEF3F8"/>
            <w:vAlign w:val="center"/>
          </w:tcPr>
          <w:p w14:paraId="60E85068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2E7D32"/>
                <w:sz w:val="19"/>
              </w:rPr>
              <w:t>Largely done</w:t>
            </w:r>
          </w:p>
        </w:tc>
      </w:tr>
      <w:tr w:rsidR="00A36EEE" w14:paraId="477340F0" w14:textId="77777777">
        <w:tc>
          <w:tcPr>
            <w:tcW w:w="1701" w:type="dxa"/>
            <w:vAlign w:val="center"/>
          </w:tcPr>
          <w:p w14:paraId="791BA964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Weeks 9–10</w:t>
            </w:r>
          </w:p>
        </w:tc>
        <w:tc>
          <w:tcPr>
            <w:tcW w:w="5783" w:type="dxa"/>
            <w:vAlign w:val="center"/>
          </w:tcPr>
          <w:p w14:paraId="353E6979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Security hardening, testing, CI/CD, deployment</w:t>
            </w:r>
          </w:p>
        </w:tc>
        <w:tc>
          <w:tcPr>
            <w:tcW w:w="1928" w:type="dxa"/>
            <w:vAlign w:val="center"/>
          </w:tcPr>
          <w:p w14:paraId="36612272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2E7D32"/>
                <w:sz w:val="19"/>
              </w:rPr>
              <w:t>Done</w:t>
            </w:r>
          </w:p>
        </w:tc>
      </w:tr>
      <w:tr w:rsidR="00A36EEE" w14:paraId="58CEE1CE" w14:textId="77777777">
        <w:tc>
          <w:tcPr>
            <w:tcW w:w="1701" w:type="dxa"/>
            <w:shd w:val="clear" w:color="auto" w:fill="EEF3F8"/>
            <w:vAlign w:val="center"/>
          </w:tcPr>
          <w:p w14:paraId="2B8F02A4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Post-deadline</w:t>
            </w:r>
          </w:p>
        </w:tc>
        <w:tc>
          <w:tcPr>
            <w:tcW w:w="5783" w:type="dxa"/>
            <w:shd w:val="clear" w:color="auto" w:fill="EEF3F8"/>
            <w:vAlign w:val="center"/>
          </w:tcPr>
          <w:p w14:paraId="2865240C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Remaining Stage 2 (KPI endpoints, alerts) and Stage 3 (ML)</w:t>
            </w:r>
          </w:p>
        </w:tc>
        <w:tc>
          <w:tcPr>
            <w:tcW w:w="1928" w:type="dxa"/>
            <w:shd w:val="clear" w:color="auto" w:fill="EEF3F8"/>
            <w:vAlign w:val="center"/>
          </w:tcPr>
          <w:p w14:paraId="4B24AB5D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5B6675"/>
                <w:sz w:val="19"/>
              </w:rPr>
              <w:t>Planned</w:t>
            </w:r>
          </w:p>
        </w:tc>
      </w:tr>
    </w:tbl>
    <w:p w14:paraId="13B97F92" w14:textId="77777777" w:rsidR="00A36EEE" w:rsidRDefault="00A36EEE">
      <w:pPr>
        <w:spacing w:after="0"/>
      </w:pPr>
    </w:p>
    <w:p w14:paraId="4E5FAE73" w14:textId="77777777" w:rsidR="00A36EEE" w:rsidRDefault="00000000">
      <w:r>
        <w:t>The core (Stage 1 and the bulk of Stage 2) was prioritised to guarantee a working, deployable system by the deadline; intelligent features were deliberately scheduled as follow-up work.</w:t>
      </w:r>
    </w:p>
    <w:p w14:paraId="47B44446" w14:textId="77777777" w:rsidR="00A36EEE" w:rsidRDefault="00000000">
      <w:pPr>
        <w:pStyle w:val="Kop1"/>
        <w:pageBreakBefore/>
        <w:pBdr>
          <w:bottom w:val="single" w:sz="16" w:space="6" w:color="2E86AB"/>
        </w:pBdr>
      </w:pPr>
      <w:bookmarkStart w:id="16" w:name="_Toc231492039"/>
      <w:r>
        <w:lastRenderedPageBreak/>
        <w:t>12. Risk Analysis</w:t>
      </w:r>
      <w:bookmarkEnd w:id="16"/>
    </w:p>
    <w:tbl>
      <w:tblPr>
        <w:tblW w:w="9411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834"/>
        <w:gridCol w:w="1361"/>
        <w:gridCol w:w="1247"/>
        <w:gridCol w:w="3969"/>
      </w:tblGrid>
      <w:tr w:rsidR="00A36EEE" w14:paraId="730C6172" w14:textId="77777777">
        <w:tc>
          <w:tcPr>
            <w:tcW w:w="2835" w:type="dxa"/>
            <w:shd w:val="clear" w:color="auto" w:fill="1B2A4A"/>
            <w:vAlign w:val="center"/>
          </w:tcPr>
          <w:p w14:paraId="69AC0ABE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w="1361" w:type="dxa"/>
            <w:shd w:val="clear" w:color="auto" w:fill="1B2A4A"/>
            <w:vAlign w:val="center"/>
          </w:tcPr>
          <w:p w14:paraId="082508A6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Likelihood</w:t>
            </w:r>
          </w:p>
        </w:tc>
        <w:tc>
          <w:tcPr>
            <w:tcW w:w="1247" w:type="dxa"/>
            <w:shd w:val="clear" w:color="auto" w:fill="1B2A4A"/>
            <w:vAlign w:val="center"/>
          </w:tcPr>
          <w:p w14:paraId="0FC971D1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w="3969" w:type="dxa"/>
            <w:shd w:val="clear" w:color="auto" w:fill="1B2A4A"/>
            <w:vAlign w:val="center"/>
          </w:tcPr>
          <w:p w14:paraId="3E202A87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 w:rsidR="00A36EEE" w14:paraId="42D1863E" w14:textId="77777777">
        <w:tc>
          <w:tcPr>
            <w:tcW w:w="2835" w:type="dxa"/>
            <w:vAlign w:val="center"/>
          </w:tcPr>
          <w:p w14:paraId="3D033B8A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Data-import issues (messy/legacy spreadsheets)</w:t>
            </w:r>
          </w:p>
        </w:tc>
        <w:tc>
          <w:tcPr>
            <w:tcW w:w="1361" w:type="dxa"/>
            <w:vAlign w:val="center"/>
          </w:tcPr>
          <w:p w14:paraId="400FF0FA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High</w:t>
            </w:r>
          </w:p>
        </w:tc>
        <w:tc>
          <w:tcPr>
            <w:tcW w:w="1247" w:type="dxa"/>
            <w:vAlign w:val="center"/>
          </w:tcPr>
          <w:p w14:paraId="3E9C8A7A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Medium</w:t>
            </w:r>
          </w:p>
        </w:tc>
        <w:tc>
          <w:tcPr>
            <w:tcW w:w="3969" w:type="dxa"/>
            <w:vAlign w:val="center"/>
          </w:tcPr>
          <w:p w14:paraId="16793421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Forgiving header aliases, dry-run, per-row error reporting, idempotent update_or_create, atomic transaction</w:t>
            </w:r>
          </w:p>
        </w:tc>
      </w:tr>
      <w:tr w:rsidR="00A36EEE" w14:paraId="738D32F9" w14:textId="77777777">
        <w:tc>
          <w:tcPr>
            <w:tcW w:w="2835" w:type="dxa"/>
            <w:shd w:val="clear" w:color="auto" w:fill="EEF3F8"/>
            <w:vAlign w:val="center"/>
          </w:tcPr>
          <w:p w14:paraId="7B17D176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Time constraints / scope creep</w:t>
            </w:r>
          </w:p>
        </w:tc>
        <w:tc>
          <w:tcPr>
            <w:tcW w:w="1361" w:type="dxa"/>
            <w:shd w:val="clear" w:color="auto" w:fill="EEF3F8"/>
            <w:vAlign w:val="center"/>
          </w:tcPr>
          <w:p w14:paraId="5BCB8D02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Medium</w:t>
            </w:r>
          </w:p>
        </w:tc>
        <w:tc>
          <w:tcPr>
            <w:tcW w:w="1247" w:type="dxa"/>
            <w:shd w:val="clear" w:color="auto" w:fill="EEF3F8"/>
            <w:vAlign w:val="center"/>
          </w:tcPr>
          <w:p w14:paraId="2AED6A5B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High</w:t>
            </w:r>
          </w:p>
        </w:tc>
        <w:tc>
          <w:tcPr>
            <w:tcW w:w="3969" w:type="dxa"/>
            <w:shd w:val="clear" w:color="auto" w:fill="EEF3F8"/>
            <w:vAlign w:val="center"/>
          </w:tcPr>
          <w:p w14:paraId="7115FCB9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Stage-based plan, MoSCoW prioritisation, core before “smart” features</w:t>
            </w:r>
          </w:p>
        </w:tc>
      </w:tr>
      <w:tr w:rsidR="00A36EEE" w14:paraId="64252FCC" w14:textId="77777777">
        <w:tc>
          <w:tcPr>
            <w:tcW w:w="2835" w:type="dxa"/>
            <w:vAlign w:val="center"/>
          </w:tcPr>
          <w:p w14:paraId="0AE97EB6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Security vulnerabilities</w:t>
            </w:r>
          </w:p>
        </w:tc>
        <w:tc>
          <w:tcPr>
            <w:tcW w:w="1361" w:type="dxa"/>
            <w:vAlign w:val="center"/>
          </w:tcPr>
          <w:p w14:paraId="3AAEB029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Medium</w:t>
            </w:r>
          </w:p>
        </w:tc>
        <w:tc>
          <w:tcPr>
            <w:tcW w:w="1247" w:type="dxa"/>
            <w:vAlign w:val="center"/>
          </w:tcPr>
          <w:p w14:paraId="5AA8D688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High</w:t>
            </w:r>
          </w:p>
        </w:tc>
        <w:tc>
          <w:tcPr>
            <w:tcW w:w="3969" w:type="dxa"/>
            <w:vAlign w:val="center"/>
          </w:tcPr>
          <w:p w14:paraId="1A3AFDBE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OWASP Top 10 hardening, bandit + check --deploy in CI, pinned deps + Dependabot</w:t>
            </w:r>
          </w:p>
        </w:tc>
      </w:tr>
      <w:tr w:rsidR="00A36EEE" w14:paraId="3269D4D1" w14:textId="77777777">
        <w:tc>
          <w:tcPr>
            <w:tcW w:w="2835" w:type="dxa"/>
            <w:shd w:val="clear" w:color="auto" w:fill="EEF3F8"/>
            <w:vAlign w:val="center"/>
          </w:tcPr>
          <w:p w14:paraId="01A793C8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Single-developer bus factor</w:t>
            </w:r>
          </w:p>
        </w:tc>
        <w:tc>
          <w:tcPr>
            <w:tcW w:w="1361" w:type="dxa"/>
            <w:shd w:val="clear" w:color="auto" w:fill="EEF3F8"/>
            <w:vAlign w:val="center"/>
          </w:tcPr>
          <w:p w14:paraId="14DD1E00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Medium</w:t>
            </w:r>
          </w:p>
        </w:tc>
        <w:tc>
          <w:tcPr>
            <w:tcW w:w="1247" w:type="dxa"/>
            <w:shd w:val="clear" w:color="auto" w:fill="EEF3F8"/>
            <w:vAlign w:val="center"/>
          </w:tcPr>
          <w:p w14:paraId="01D49E47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Medium</w:t>
            </w:r>
          </w:p>
        </w:tc>
        <w:tc>
          <w:tcPr>
            <w:tcW w:w="3969" w:type="dxa"/>
            <w:shd w:val="clear" w:color="auto" w:fill="EEF3F8"/>
            <w:vAlign w:val="center"/>
          </w:tcPr>
          <w:p w14:paraId="54C8B237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Documented README, tests, reproducible Docker setup, CI gates</w:t>
            </w:r>
          </w:p>
        </w:tc>
      </w:tr>
      <w:tr w:rsidR="00A36EEE" w14:paraId="6331778A" w14:textId="77777777">
        <w:tc>
          <w:tcPr>
            <w:tcW w:w="2835" w:type="dxa"/>
            <w:vAlign w:val="center"/>
          </w:tcPr>
          <w:p w14:paraId="21162D25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Deployment / config errors</w:t>
            </w:r>
          </w:p>
        </w:tc>
        <w:tc>
          <w:tcPr>
            <w:tcW w:w="1361" w:type="dxa"/>
            <w:vAlign w:val="center"/>
          </w:tcPr>
          <w:p w14:paraId="6ACEA866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Medium</w:t>
            </w:r>
          </w:p>
        </w:tc>
        <w:tc>
          <w:tcPr>
            <w:tcW w:w="1247" w:type="dxa"/>
            <w:vAlign w:val="center"/>
          </w:tcPr>
          <w:p w14:paraId="151F4798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Medium</w:t>
            </w:r>
          </w:p>
        </w:tc>
        <w:tc>
          <w:tcPr>
            <w:tcW w:w="3969" w:type="dxa"/>
            <w:vAlign w:val="center"/>
          </w:tcPr>
          <w:p w14:paraId="6C0A537B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check --deploy, healthcheck, production checklist, one-click platform configs</w:t>
            </w:r>
          </w:p>
        </w:tc>
      </w:tr>
      <w:tr w:rsidR="00A36EEE" w14:paraId="7FA71590" w14:textId="77777777">
        <w:tc>
          <w:tcPr>
            <w:tcW w:w="2835" w:type="dxa"/>
            <w:shd w:val="clear" w:color="auto" w:fill="EEF3F8"/>
            <w:vAlign w:val="center"/>
          </w:tcPr>
          <w:p w14:paraId="7BC3CBA9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Insufficient data for ML (Stage 3)</w:t>
            </w:r>
          </w:p>
        </w:tc>
        <w:tc>
          <w:tcPr>
            <w:tcW w:w="1361" w:type="dxa"/>
            <w:shd w:val="clear" w:color="auto" w:fill="EEF3F8"/>
            <w:vAlign w:val="center"/>
          </w:tcPr>
          <w:p w14:paraId="21690D21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Medium</w:t>
            </w:r>
          </w:p>
        </w:tc>
        <w:tc>
          <w:tcPr>
            <w:tcW w:w="1247" w:type="dxa"/>
            <w:shd w:val="clear" w:color="auto" w:fill="EEF3F8"/>
            <w:vAlign w:val="center"/>
          </w:tcPr>
          <w:p w14:paraId="562972D8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Medium</w:t>
            </w:r>
          </w:p>
        </w:tc>
        <w:tc>
          <w:tcPr>
            <w:tcW w:w="3969" w:type="dxa"/>
            <w:shd w:val="clear" w:color="auto" w:fill="EEF3F8"/>
            <w:vAlign w:val="center"/>
          </w:tcPr>
          <w:p w14:paraId="0F27A9BB" w14:textId="77777777" w:rsidR="00A36EEE" w:rsidRDefault="00000000">
            <w:pPr>
              <w:spacing w:before="40" w:after="40" w:line="252" w:lineRule="auto"/>
            </w:pPr>
            <w:r>
              <w:rPr>
                <w:sz w:val="18"/>
              </w:rPr>
              <w:t>Defer ML until enough labelled history exists; start with simple, explainable models</w:t>
            </w:r>
          </w:p>
        </w:tc>
      </w:tr>
    </w:tbl>
    <w:p w14:paraId="47F34314" w14:textId="77777777" w:rsidR="00A36EEE" w:rsidRDefault="00000000">
      <w:pPr>
        <w:pStyle w:val="Kop1"/>
        <w:pageBreakBefore/>
        <w:pBdr>
          <w:bottom w:val="single" w:sz="16" w:space="6" w:color="2E86AB"/>
        </w:pBdr>
      </w:pPr>
      <w:bookmarkStart w:id="17" w:name="_Toc231492040"/>
      <w:r>
        <w:lastRenderedPageBreak/>
        <w:t>13. Conclusion</w:t>
      </w:r>
      <w:bookmarkEnd w:id="17"/>
    </w:p>
    <w:p w14:paraId="5A612337" w14:textId="77777777" w:rsidR="00A36EEE" w:rsidRDefault="00000000">
      <w:r>
        <w:t>The Grief Tracker (ShipTrack) application provides a solid, secure, and deployable foundation for modern logistics-incident management. It replaces the legacy Excel workflow with a structured multi-user system, ingests the existing data unchanged, improves visibility through an interactive analytics/pivot view, and is hardened against the OWASP Top 10 with automated testing and CI/CD. Stage 1 and the majority of Stage 2 are implemented and running; the remaining Stage 2 items (KPI endpoints, alerts) and the Stage 3 intelligent features are designed and scheduled as follow-up work on top of the architecture already in place.</w:t>
      </w:r>
    </w:p>
    <w:p w14:paraId="5B90E3B9" w14:textId="77777777" w:rsidR="00A36EEE" w:rsidRDefault="00000000">
      <w:pPr>
        <w:pStyle w:val="Kop1"/>
        <w:pageBreakBefore/>
        <w:pBdr>
          <w:bottom w:val="single" w:sz="16" w:space="6" w:color="2E86AB"/>
        </w:pBdr>
      </w:pPr>
      <w:bookmarkStart w:id="18" w:name="_Toc231492041"/>
      <w:r>
        <w:lastRenderedPageBreak/>
        <w:t>14. Glossary</w:t>
      </w:r>
      <w:bookmarkEnd w:id="18"/>
    </w:p>
    <w:tbl>
      <w:tblPr>
        <w:tblW w:w="9411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608"/>
        <w:gridCol w:w="6803"/>
      </w:tblGrid>
      <w:tr w:rsidR="00A36EEE" w14:paraId="28D6BE46" w14:textId="77777777">
        <w:tc>
          <w:tcPr>
            <w:tcW w:w="2608" w:type="dxa"/>
            <w:shd w:val="clear" w:color="auto" w:fill="1B2A4A"/>
            <w:vAlign w:val="center"/>
          </w:tcPr>
          <w:p w14:paraId="607D1BE1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w="6803" w:type="dxa"/>
            <w:shd w:val="clear" w:color="auto" w:fill="1B2A4A"/>
            <w:vAlign w:val="center"/>
          </w:tcPr>
          <w:p w14:paraId="3AA36141" w14:textId="77777777" w:rsidR="00A36EEE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 w:rsidR="00A36EEE" w14:paraId="33B945D9" w14:textId="77777777">
        <w:tc>
          <w:tcPr>
            <w:tcW w:w="2608" w:type="dxa"/>
            <w:vAlign w:val="center"/>
          </w:tcPr>
          <w:p w14:paraId="514E5E18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Grief</w:t>
            </w:r>
          </w:p>
        </w:tc>
        <w:tc>
          <w:tcPr>
            <w:tcW w:w="6803" w:type="dxa"/>
            <w:vAlign w:val="center"/>
          </w:tcPr>
          <w:p w14:paraId="467C9051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In-house term (from the legacy K&amp;N workbook) for a shipment incident / claim.</w:t>
            </w:r>
          </w:p>
        </w:tc>
      </w:tr>
      <w:tr w:rsidR="00A36EEE" w14:paraId="35B1D9DB" w14:textId="77777777">
        <w:tc>
          <w:tcPr>
            <w:tcW w:w="2608" w:type="dxa"/>
            <w:shd w:val="clear" w:color="auto" w:fill="EEF3F8"/>
            <w:vAlign w:val="center"/>
          </w:tcPr>
          <w:p w14:paraId="65B9682D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K&amp;N / Kuehne+Nagel</w:t>
            </w:r>
          </w:p>
        </w:tc>
        <w:tc>
          <w:tcPr>
            <w:tcW w:w="6803" w:type="dxa"/>
            <w:shd w:val="clear" w:color="auto" w:fill="EEF3F8"/>
            <w:vAlign w:val="center"/>
          </w:tcPr>
          <w:p w14:paraId="14DE7817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Origin of the legacy Grief spreadsheet; its column names are still accepted by the importer.</w:t>
            </w:r>
          </w:p>
        </w:tc>
      </w:tr>
      <w:tr w:rsidR="00A36EEE" w14:paraId="0300849A" w14:textId="77777777">
        <w:tc>
          <w:tcPr>
            <w:tcW w:w="2608" w:type="dxa"/>
            <w:vAlign w:val="center"/>
          </w:tcPr>
          <w:p w14:paraId="02FF75B0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RBAC</w:t>
            </w:r>
          </w:p>
        </w:tc>
        <w:tc>
          <w:tcPr>
            <w:tcW w:w="6803" w:type="dxa"/>
            <w:vAlign w:val="center"/>
          </w:tcPr>
          <w:p w14:paraId="1D528D39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Role-Based Access Control (Admin / Editor / Viewer).</w:t>
            </w:r>
          </w:p>
        </w:tc>
      </w:tr>
      <w:tr w:rsidR="00A36EEE" w14:paraId="3ED66F40" w14:textId="77777777">
        <w:tc>
          <w:tcPr>
            <w:tcW w:w="2608" w:type="dxa"/>
            <w:shd w:val="clear" w:color="auto" w:fill="EEF3F8"/>
            <w:vAlign w:val="center"/>
          </w:tcPr>
          <w:p w14:paraId="45EBB79A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DRF</w:t>
            </w:r>
          </w:p>
        </w:tc>
        <w:tc>
          <w:tcPr>
            <w:tcW w:w="6803" w:type="dxa"/>
            <w:shd w:val="clear" w:color="auto" w:fill="EEF3F8"/>
            <w:vAlign w:val="center"/>
          </w:tcPr>
          <w:p w14:paraId="7EEF5680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Django REST Framework.</w:t>
            </w:r>
          </w:p>
        </w:tc>
      </w:tr>
      <w:tr w:rsidR="00A36EEE" w14:paraId="7C0F0BE6" w14:textId="77777777">
        <w:tc>
          <w:tcPr>
            <w:tcW w:w="2608" w:type="dxa"/>
            <w:vAlign w:val="center"/>
          </w:tcPr>
          <w:p w14:paraId="4376C2BE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Idempotent</w:t>
            </w:r>
          </w:p>
        </w:tc>
        <w:tc>
          <w:tcPr>
            <w:tcW w:w="6803" w:type="dxa"/>
            <w:vAlign w:val="center"/>
          </w:tcPr>
          <w:p w14:paraId="3E19BA5B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Re-running the import produces the same result instead of duplicating rows.</w:t>
            </w:r>
          </w:p>
        </w:tc>
      </w:tr>
      <w:tr w:rsidR="00A36EEE" w14:paraId="11C76DBA" w14:textId="77777777">
        <w:tc>
          <w:tcPr>
            <w:tcW w:w="2608" w:type="dxa"/>
            <w:shd w:val="clear" w:color="auto" w:fill="EEF3F8"/>
            <w:vAlign w:val="center"/>
          </w:tcPr>
          <w:p w14:paraId="68486466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SSO</w:t>
            </w:r>
          </w:p>
        </w:tc>
        <w:tc>
          <w:tcPr>
            <w:tcW w:w="6803" w:type="dxa"/>
            <w:shd w:val="clear" w:color="auto" w:fill="EEF3F8"/>
            <w:vAlign w:val="center"/>
          </w:tcPr>
          <w:p w14:paraId="3C4081FC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Single Sign-On (Google / Microsoft).</w:t>
            </w:r>
          </w:p>
        </w:tc>
      </w:tr>
      <w:tr w:rsidR="00A36EEE" w14:paraId="5CE80544" w14:textId="77777777">
        <w:tc>
          <w:tcPr>
            <w:tcW w:w="2608" w:type="dxa"/>
            <w:vAlign w:val="center"/>
          </w:tcPr>
          <w:p w14:paraId="2AC92F7F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OWASP / CSP / HSTS / SBOM</w:t>
            </w:r>
          </w:p>
        </w:tc>
        <w:tc>
          <w:tcPr>
            <w:tcW w:w="6803" w:type="dxa"/>
            <w:vAlign w:val="center"/>
          </w:tcPr>
          <w:p w14:paraId="032FD416" w14:textId="77777777" w:rsidR="00A36EEE" w:rsidRDefault="00000000">
            <w:pPr>
              <w:spacing w:before="40" w:after="40" w:line="252" w:lineRule="auto"/>
            </w:pPr>
            <w:r>
              <w:rPr>
                <w:sz w:val="19"/>
              </w:rPr>
              <w:t>Web-security standards and artefacts referenced in sections 7 and 9.</w:t>
            </w:r>
          </w:p>
        </w:tc>
      </w:tr>
    </w:tbl>
    <w:p w14:paraId="4C1EE12A" w14:textId="77777777" w:rsidR="00A36EEE" w:rsidRDefault="00000000">
      <w:pPr>
        <w:pStyle w:val="Kop1"/>
        <w:pageBreakBefore/>
        <w:pBdr>
          <w:bottom w:val="single" w:sz="16" w:space="6" w:color="2E86AB"/>
        </w:pBdr>
      </w:pPr>
      <w:bookmarkStart w:id="19" w:name="_Toc231492042"/>
      <w:r>
        <w:lastRenderedPageBreak/>
        <w:t>15. References</w:t>
      </w:r>
      <w:bookmarkEnd w:id="19"/>
    </w:p>
    <w:p w14:paraId="57B0E278" w14:textId="77777777" w:rsidR="00A36EEE" w:rsidRDefault="00000000">
      <w:pPr>
        <w:pStyle w:val="Lijstopsomteken"/>
        <w:spacing w:after="60"/>
      </w:pPr>
      <w:r>
        <w:t>Django 6.0 documentation — djangoproject.com</w:t>
      </w:r>
    </w:p>
    <w:p w14:paraId="37ED0A1C" w14:textId="77777777" w:rsidR="00A36EEE" w:rsidRDefault="00000000">
      <w:pPr>
        <w:pStyle w:val="Lijstopsomteken"/>
        <w:spacing w:after="60"/>
      </w:pPr>
      <w:r>
        <w:t>Django REST Framework — django-rest-framework.org</w:t>
      </w:r>
    </w:p>
    <w:p w14:paraId="1BA998F5" w14:textId="77777777" w:rsidR="00A36EEE" w:rsidRDefault="00000000">
      <w:pPr>
        <w:pStyle w:val="Lijstopsomteken"/>
        <w:spacing w:after="60"/>
      </w:pPr>
      <w:r>
        <w:t>OWASP Top 10 (2021) — owasp.org/Top10</w:t>
      </w:r>
    </w:p>
    <w:p w14:paraId="545DBF1A" w14:textId="77777777" w:rsidR="00A36EEE" w:rsidRDefault="00000000">
      <w:pPr>
        <w:pStyle w:val="Lijstopsomteken"/>
        <w:spacing w:after="60"/>
      </w:pPr>
      <w:r>
        <w:t>django-allauth, django-axes, django-csp documentation</w:t>
      </w:r>
    </w:p>
    <w:p w14:paraId="2B7928F4" w14:textId="77777777" w:rsidR="00A36EEE" w:rsidRDefault="00000000">
      <w:pPr>
        <w:pStyle w:val="Lijstopsomteken"/>
        <w:spacing w:after="60"/>
      </w:pPr>
      <w:r>
        <w:t>Internal README.md (deployment, OWASP cheat-sheet, architecture)</w:t>
      </w:r>
    </w:p>
    <w:p w14:paraId="37E728BB" w14:textId="77777777" w:rsidR="008412A2" w:rsidRDefault="008412A2" w:rsidP="008412A2">
      <w:pPr>
        <w:pStyle w:val="Lijstopsomteken"/>
        <w:numPr>
          <w:ilvl w:val="0"/>
          <w:numId w:val="0"/>
        </w:numPr>
        <w:spacing w:after="60"/>
      </w:pPr>
    </w:p>
    <w:p w14:paraId="6D107C89" w14:textId="77777777" w:rsidR="008412A2" w:rsidRDefault="008412A2" w:rsidP="008412A2">
      <w:pPr>
        <w:pStyle w:val="Lijstopsomteken"/>
        <w:numPr>
          <w:ilvl w:val="0"/>
          <w:numId w:val="0"/>
        </w:numPr>
        <w:spacing w:after="60"/>
      </w:pPr>
    </w:p>
    <w:p w14:paraId="416BEEB1" w14:textId="05E108E7" w:rsidR="008412A2" w:rsidRDefault="008412A2" w:rsidP="008412A2">
      <w:pPr>
        <w:pStyle w:val="Lijstopsomteken"/>
        <w:numPr>
          <w:ilvl w:val="0"/>
          <w:numId w:val="0"/>
        </w:numPr>
        <w:spacing w:after="60"/>
      </w:pPr>
      <w:r w:rsidRPr="008412A2">
        <w:drawing>
          <wp:inline distT="0" distB="0" distL="0" distR="0" wp14:anchorId="251F40BD" wp14:editId="0835E058">
            <wp:extent cx="5976620" cy="3877310"/>
            <wp:effectExtent l="0" t="0" r="5080" b="8890"/>
            <wp:docPr id="134893200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32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2A2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4890A" w14:textId="77777777" w:rsidR="00E76BB3" w:rsidRDefault="00E76BB3">
      <w:pPr>
        <w:spacing w:after="0" w:line="240" w:lineRule="auto"/>
      </w:pPr>
      <w:r>
        <w:separator/>
      </w:r>
    </w:p>
  </w:endnote>
  <w:endnote w:type="continuationSeparator" w:id="0">
    <w:p w14:paraId="70CDCB54" w14:textId="77777777" w:rsidR="00E76BB3" w:rsidRDefault="00E76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E70AA" w14:textId="77777777" w:rsidR="00A36EEE" w:rsidRDefault="00000000">
    <w:pPr>
      <w:pStyle w:val="Voettekst"/>
      <w:pBdr>
        <w:top w:val="single" w:sz="6" w:space="6" w:color="D6DCE5"/>
      </w:pBdr>
      <w:tabs>
        <w:tab w:val="right" w:pos="9411"/>
      </w:tabs>
    </w:pPr>
    <w:r>
      <w:rPr>
        <w:color w:val="6B7280"/>
        <w:sz w:val="17"/>
      </w:rPr>
      <w:t>Grief Tracker  ·  Final Report</w:t>
    </w:r>
    <w:r>
      <w:rPr>
        <w:sz w:val="17"/>
      </w:rPr>
      <w:tab/>
    </w:r>
    <w:r>
      <w:rPr>
        <w:color w:val="6B7280"/>
        <w:sz w:val="18"/>
      </w:rPr>
      <w:fldChar w:fldCharType="begin"/>
    </w:r>
    <w:r>
      <w:rPr>
        <w:color w:val="6B7280"/>
        <w:sz w:val="18"/>
      </w:rPr>
      <w:instrText>PAGE</w:instrText>
    </w:r>
    <w:r>
      <w:rPr>
        <w:color w:val="6B7280"/>
        <w:sz w:val="18"/>
      </w:rPr>
      <w:fldChar w:fldCharType="separate"/>
    </w:r>
    <w:r>
      <w:rPr>
        <w:color w:val="6B7280"/>
        <w:sz w:val="18"/>
      </w:rPr>
      <w:t>1</w:t>
    </w:r>
    <w:r>
      <w:rPr>
        <w:color w:val="6B7280"/>
        <w:sz w:val="18"/>
      </w:rPr>
      <w:fldChar w:fldCharType="end"/>
    </w:r>
    <w:r>
      <w:rPr>
        <w:color w:val="6B7280"/>
        <w:sz w:val="17"/>
      </w:rPr>
      <w:t xml:space="preserve"> / </w:t>
    </w:r>
    <w:r>
      <w:rPr>
        <w:color w:val="6B7280"/>
        <w:sz w:val="18"/>
      </w:rPr>
      <w:fldChar w:fldCharType="begin"/>
    </w:r>
    <w:r>
      <w:rPr>
        <w:color w:val="6B7280"/>
        <w:sz w:val="18"/>
      </w:rPr>
      <w:instrText>NUMPAGES</w:instrText>
    </w:r>
    <w:r>
      <w:rPr>
        <w:color w:val="6B7280"/>
        <w:sz w:val="18"/>
      </w:rPr>
      <w:fldChar w:fldCharType="separate"/>
    </w:r>
    <w:r>
      <w:rPr>
        <w:color w:val="6B7280"/>
        <w:sz w:val="18"/>
      </w:rPr>
      <w:t>1</w:t>
    </w:r>
    <w:r>
      <w:rPr>
        <w:color w:val="6B72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65197" w14:textId="77777777" w:rsidR="00E76BB3" w:rsidRDefault="00E76BB3">
      <w:pPr>
        <w:spacing w:after="0" w:line="240" w:lineRule="auto"/>
      </w:pPr>
      <w:r>
        <w:separator/>
      </w:r>
    </w:p>
  </w:footnote>
  <w:footnote w:type="continuationSeparator" w:id="0">
    <w:p w14:paraId="09186C55" w14:textId="77777777" w:rsidR="00E76BB3" w:rsidRDefault="00E76B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06EB1" w14:textId="77777777" w:rsidR="00A36EEE" w:rsidRDefault="00000000">
    <w:pPr>
      <w:pStyle w:val="Koptekst"/>
      <w:pBdr>
        <w:bottom w:val="single" w:sz="6" w:space="6" w:color="D6DCE5"/>
      </w:pBdr>
      <w:jc w:val="right"/>
    </w:pPr>
    <w:r>
      <w:rPr>
        <w:color w:val="6B7280"/>
        <w:sz w:val="17"/>
      </w:rPr>
      <w:t>ShipTrack  ·  Shipment Incident Tracker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086598">
    <w:abstractNumId w:val="8"/>
  </w:num>
  <w:num w:numId="2" w16cid:durableId="1898738186">
    <w:abstractNumId w:val="6"/>
  </w:num>
  <w:num w:numId="3" w16cid:durableId="1808471113">
    <w:abstractNumId w:val="5"/>
  </w:num>
  <w:num w:numId="4" w16cid:durableId="2065713355">
    <w:abstractNumId w:val="4"/>
  </w:num>
  <w:num w:numId="5" w16cid:durableId="1507397670">
    <w:abstractNumId w:val="7"/>
  </w:num>
  <w:num w:numId="6" w16cid:durableId="1798185467">
    <w:abstractNumId w:val="3"/>
  </w:num>
  <w:num w:numId="7" w16cid:durableId="1948848034">
    <w:abstractNumId w:val="2"/>
  </w:num>
  <w:num w:numId="8" w16cid:durableId="570311348">
    <w:abstractNumId w:val="1"/>
  </w:num>
  <w:num w:numId="9" w16cid:durableId="1666712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6E5A"/>
    <w:rsid w:val="008412A2"/>
    <w:rsid w:val="00A36EEE"/>
    <w:rsid w:val="00AA1D8D"/>
    <w:rsid w:val="00B47730"/>
    <w:rsid w:val="00CB0664"/>
    <w:rsid w:val="00E76BB3"/>
    <w:rsid w:val="00EF3F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F00F3C"/>
  <w14:defaultImageDpi w14:val="300"/>
  <w15:docId w15:val="{EA70B8BF-23C2-420F-9B25-E34339296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pPr>
      <w:spacing w:after="120" w:line="283" w:lineRule="auto"/>
    </w:pPr>
    <w:rPr>
      <w:rFonts w:ascii="Arial" w:hAnsi="Arial" w:cs="Arial"/>
      <w:color w:val="23262B"/>
      <w:sz w:val="21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80"/>
      <w:outlineLvl w:val="0"/>
    </w:pPr>
    <w:rPr>
      <w:rFonts w:asciiTheme="majorHAnsi" w:eastAsiaTheme="majorEastAsia" w:hAnsiTheme="majorHAnsi" w:cstheme="majorBidi"/>
      <w:b/>
      <w:bCs/>
      <w:color w:val="1B2A4A"/>
      <w:sz w:val="36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2E86AB"/>
      <w:sz w:val="27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/>
      <w:b/>
      <w:bCs/>
      <w:color w:val="1B2A4A"/>
      <w:sz w:val="23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Inhopg1">
    <w:name w:val="toc 1"/>
    <w:basedOn w:val="Standaard"/>
    <w:next w:val="Standaard"/>
    <w:autoRedefine/>
    <w:uiPriority w:val="39"/>
    <w:unhideWhenUsed/>
    <w:rsid w:val="00EF3F74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EF3F74"/>
    <w:pPr>
      <w:spacing w:after="100"/>
      <w:ind w:left="210"/>
    </w:pPr>
  </w:style>
  <w:style w:type="character" w:styleId="Hyperlink">
    <w:name w:val="Hyperlink"/>
    <w:basedOn w:val="Standaardalinea-lettertype"/>
    <w:uiPriority w:val="99"/>
    <w:unhideWhenUsed/>
    <w:rsid w:val="00EF3F7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2283</Words>
  <Characters>12557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Koen Janssens</cp:lastModifiedBy>
  <cp:revision>3</cp:revision>
  <cp:lastPrinted>2026-06-04T17:02:00Z</cp:lastPrinted>
  <dcterms:created xsi:type="dcterms:W3CDTF">2013-12-23T23:15:00Z</dcterms:created>
  <dcterms:modified xsi:type="dcterms:W3CDTF">2026-06-04T17:08:00Z</dcterms:modified>
  <cp:category/>
</cp:coreProperties>
</file>