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D0" w:rsidRDefault="00BE79D0" w:rsidP="00BE79D0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BE79D0" w:rsidRDefault="00BE79D0" w:rsidP="00FC7355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BE79D0" w:rsidRDefault="00BE79D0" w:rsidP="00FC7355">
      <w:pPr>
        <w:jc w:val="center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BE79D0" w:rsidRDefault="00BE79D0" w:rsidP="00FC7355">
      <w:pPr>
        <w:jc w:val="center"/>
        <w:rPr>
          <w:rFonts w:ascii="Times New Roman" w:eastAsia="楷体" w:hAnsi="Times New Roman" w:cs="Times New Roman"/>
          <w:b/>
          <w:sz w:val="60"/>
          <w:szCs w:val="60"/>
        </w:rPr>
      </w:pPr>
    </w:p>
    <w:p w:rsidR="00BE79D0" w:rsidRDefault="00BE79D0" w:rsidP="00FC7355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BE79D0" w:rsidRPr="00887992" w:rsidRDefault="00BE79D0" w:rsidP="00FC7355">
      <w:pPr>
        <w:ind w:firstLineChars="950" w:firstLine="2670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BE79D0" w:rsidRDefault="00BE79D0" w:rsidP="00FC7355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BE79D0" w:rsidRDefault="00BE79D0" w:rsidP="00BE79D0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BE79D0" w:rsidRDefault="00BE79D0" w:rsidP="00BE79D0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72791C" w:rsidRDefault="00BE79D0" w:rsidP="007A045C">
      <w:pPr>
        <w:ind w:firstLineChars="200" w:firstLine="56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一般路径损耗模型路径损耗与距离的关系</w:t>
      </w:r>
      <w:r w:rsidRPr="00AC3410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</w:p>
    <w:p w:rsidR="00BE79D0" w:rsidRPr="0069050B" w:rsidRDefault="00BE79D0" w:rsidP="007A045C">
      <w:pPr>
        <w:ind w:firstLineChars="300" w:firstLine="843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季雅惠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&amp;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邓雨薇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</w:p>
    <w:p w:rsidR="00BE79D0" w:rsidRPr="001B344B" w:rsidRDefault="00BE79D0" w:rsidP="007A045C">
      <w:pPr>
        <w:ind w:firstLineChars="300" w:firstLine="843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>61516216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&amp;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>61516405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</w:p>
    <w:p w:rsidR="00BE79D0" w:rsidRPr="001B344B" w:rsidRDefault="00BE79D0" w:rsidP="007A045C">
      <w:pPr>
        <w:ind w:firstLineChars="200" w:firstLine="56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131D3B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131D3B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>615162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&amp;</w:t>
      </w:r>
      <w:r w:rsidR="00711459">
        <w:rPr>
          <w:rFonts w:ascii="Times New Roman" w:eastAsia="楷体" w:hAnsi="Times New Roman" w:cs="Times New Roman"/>
          <w:b/>
          <w:sz w:val="28"/>
          <w:szCs w:val="28"/>
          <w:u w:val="thick"/>
        </w:rPr>
        <w:t>615164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="00131D3B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</w:p>
    <w:p w:rsidR="00BE79D0" w:rsidRPr="001B344B" w:rsidRDefault="00BE79D0" w:rsidP="007A045C">
      <w:pPr>
        <w:ind w:firstLineChars="200" w:firstLine="56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1A3FC0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71145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吴健雄学院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1A3FC0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</w:p>
    <w:p w:rsidR="00BE79D0" w:rsidRDefault="00BE79D0" w:rsidP="00BE79D0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BE79D0" w:rsidRDefault="00BE79D0" w:rsidP="00BE79D0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BE79D0" w:rsidRDefault="00BE79D0" w:rsidP="00BE79D0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BE79D0" w:rsidRDefault="00BE79D0" w:rsidP="00FC7355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10</w:t>
      </w:r>
      <w:r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BE79D0" w:rsidRDefault="00BE79D0" w:rsidP="00BE79D0">
      <w:pPr>
        <w:rPr>
          <w:rFonts w:ascii="Times New Roman" w:hAnsi="Times New Roman" w:cs="Times New Roman"/>
          <w:b/>
          <w:sz w:val="32"/>
          <w:szCs w:val="32"/>
        </w:rPr>
      </w:pPr>
    </w:p>
    <w:p w:rsidR="00966EE7" w:rsidRPr="004E591C" w:rsidRDefault="00966EE7" w:rsidP="00BE79D0">
      <w:pPr>
        <w:rPr>
          <w:rFonts w:ascii="Times New Roman" w:hAnsi="Times New Roman" w:cs="Times New Roman"/>
          <w:b/>
          <w:sz w:val="32"/>
          <w:szCs w:val="32"/>
        </w:rPr>
      </w:pPr>
    </w:p>
    <w:p w:rsidR="00B74B14" w:rsidRPr="009A7B01" w:rsidRDefault="00E55689" w:rsidP="00E95504">
      <w:pPr>
        <w:spacing w:line="360" w:lineRule="auto"/>
        <w:rPr>
          <w:rFonts w:ascii="黑体" w:eastAsia="黑体" w:hAnsi="黑体" w:cs="Times New Roman"/>
          <w:sz w:val="32"/>
          <w:szCs w:val="32"/>
        </w:rPr>
      </w:pPr>
      <w:r w:rsidRPr="009A7B01">
        <w:rPr>
          <w:rFonts w:ascii="黑体" w:eastAsia="黑体" w:hAnsi="黑体" w:cs="Times New Roman"/>
          <w:sz w:val="32"/>
          <w:szCs w:val="32"/>
        </w:rPr>
        <w:lastRenderedPageBreak/>
        <w:t>一、实验目的</w:t>
      </w:r>
    </w:p>
    <w:p w:rsidR="00317B2F" w:rsidRPr="00D942FA" w:rsidRDefault="00E95504" w:rsidP="00E95504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实验工具：</w:t>
      </w:r>
      <w:r w:rsidR="003240A6"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MATLAB R2015</w: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b</w:t>
      </w:r>
    </w:p>
    <w:p w:rsidR="00E95504" w:rsidRPr="00D942FA" w:rsidRDefault="00317B2F" w:rsidP="00317B2F">
      <w:pPr>
        <w:spacing w:line="360" w:lineRule="auto"/>
        <w:ind w:firstLineChars="600" w:firstLine="1260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D942FA">
        <w:rPr>
          <w:rFonts w:ascii="Times New Roman" w:eastAsia="楷体" w:hAnsi="Times New Roman" w:cs="Times New Roman"/>
          <w:noProof/>
        </w:rPr>
        <w:t xml:space="preserve"> </w:t>
      </w:r>
      <w:r w:rsidRPr="00D942FA">
        <w:rPr>
          <w:rFonts w:ascii="Times New Roman" w:eastAsia="楷体" w:hAnsi="Times New Roman" w:cs="Times New Roman"/>
          <w:noProof/>
        </w:rPr>
        <w:drawing>
          <wp:inline distT="0" distB="0" distL="0" distR="0" wp14:anchorId="54032D3E" wp14:editId="074F7B15">
            <wp:extent cx="742857" cy="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2F" w:rsidRPr="00D942FA" w:rsidRDefault="00317B2F" w:rsidP="003240A6">
      <w:pPr>
        <w:spacing w:line="360" w:lineRule="auto"/>
        <w:ind w:left="1200" w:hangingChars="500" w:hanging="1200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实验目的：</w: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begin"/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instrText xml:space="preserve"> = 1 \* GB3 </w:instrTex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separate"/>
      </w:r>
      <w:r w:rsidRPr="00D942FA">
        <w:rPr>
          <w:rFonts w:ascii="宋体" w:eastAsia="宋体" w:hAnsi="宋体" w:cs="宋体" w:hint="eastAsia"/>
          <w:noProof/>
          <w:color w:val="000000" w:themeColor="text1"/>
          <w:sz w:val="24"/>
          <w:szCs w:val="24"/>
        </w:rPr>
        <w:t>①</w: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end"/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了解一般路径损耗模型中路径损耗与距离的关系</w:t>
      </w:r>
    </w:p>
    <w:p w:rsidR="00E95504" w:rsidRPr="00D942FA" w:rsidRDefault="00317B2F" w:rsidP="00317B2F">
      <w:pPr>
        <w:spacing w:line="360" w:lineRule="auto"/>
        <w:ind w:firstLineChars="500" w:firstLine="1200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begin"/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instrText xml:space="preserve"> = 2 \* GB3 </w:instrTex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separate"/>
      </w:r>
      <w:r w:rsidRPr="00D942FA">
        <w:rPr>
          <w:rFonts w:ascii="宋体" w:eastAsia="宋体" w:hAnsi="宋体" w:cs="宋体" w:hint="eastAsia"/>
          <w:noProof/>
          <w:color w:val="000000" w:themeColor="text1"/>
          <w:sz w:val="24"/>
          <w:szCs w:val="24"/>
        </w:rPr>
        <w:t>②</w:t>
      </w:r>
      <w:r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fldChar w:fldCharType="end"/>
      </w:r>
      <w:r w:rsidR="00E95504"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熟练操作</w:t>
      </w:r>
      <w:r w:rsidR="003240A6"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MATLAB</w:t>
      </w:r>
      <w:r w:rsidR="00E95504" w:rsidRPr="00D942F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软件</w:t>
      </w:r>
    </w:p>
    <w:p w:rsidR="00E55689" w:rsidRPr="00D942FA" w:rsidRDefault="00E55689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1C5D2F" w:rsidRPr="003F4936" w:rsidRDefault="001C5D2F" w:rsidP="003F4936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9A7B01">
        <w:rPr>
          <w:rFonts w:ascii="黑体" w:eastAsia="黑体" w:hAnsi="黑体" w:cs="Times New Roman"/>
          <w:sz w:val="32"/>
          <w:szCs w:val="32"/>
        </w:rPr>
        <w:t>二、实验要求</w:t>
      </w:r>
      <w:r w:rsidRPr="003F4936">
        <w:rPr>
          <w:rFonts w:ascii="Times New Roman" w:eastAsia="楷体" w:hAnsi="Times New Roman" w:cs="Times New Roman"/>
          <w:sz w:val="24"/>
          <w:szCs w:val="24"/>
        </w:rPr>
        <w:br/>
      </w:r>
      <w:r w:rsidR="004E7F15" w:rsidRPr="003F4936">
        <w:rPr>
          <w:rFonts w:ascii="Times New Roman" w:eastAsia="楷体" w:hAnsi="Times New Roman" w:cs="Times New Roman"/>
          <w:sz w:val="24"/>
          <w:szCs w:val="24"/>
        </w:rPr>
        <w:t>1.</w:t>
      </w:r>
      <w:r w:rsidR="003F4936" w:rsidRPr="003F493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3F4936" w:rsidRPr="003F4936">
        <w:rPr>
          <w:rFonts w:ascii="Times New Roman" w:eastAsia="楷体" w:hAnsi="Times New Roman" w:cs="Times New Roman"/>
          <w:sz w:val="24"/>
          <w:szCs w:val="24"/>
        </w:rPr>
        <w:t>根据公式</w:t>
      </w:r>
      <w:r w:rsidR="003F4936" w:rsidRPr="003F4936">
        <w:rPr>
          <w:rFonts w:ascii="Times New Roman" w:eastAsia="楷体" w:hAnsi="Times New Roman" w:cs="Times New Roman"/>
          <w:sz w:val="24"/>
          <w:szCs w:val="24"/>
        </w:rPr>
        <w:t>(1)(3)(4)</w:t>
      </w:r>
      <w:r w:rsidR="003F4936" w:rsidRPr="003F4936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</w:t>
      </w:r>
      <w:r w:rsidR="003F4936" w:rsidRPr="003F4936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给出的数学表达式编写程序，并上机调试程序，得到需要的关系曲线。</w:t>
      </w:r>
    </w:p>
    <w:p w:rsidR="004E7F15" w:rsidRPr="003F4936" w:rsidRDefault="004E7F15" w:rsidP="003F493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3F4936">
        <w:rPr>
          <w:rFonts w:ascii="Times New Roman" w:eastAsia="楷体" w:hAnsi="Times New Roman" w:cs="Times New Roman"/>
          <w:sz w:val="24"/>
          <w:szCs w:val="24"/>
        </w:rPr>
        <w:t>2.</w:t>
      </w:r>
      <w:r w:rsidR="003F4936" w:rsidRPr="003F493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3F4936" w:rsidRPr="003F4936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进行实验结果的分析和讨论。</w:t>
      </w:r>
    </w:p>
    <w:p w:rsidR="004E7F15" w:rsidRDefault="004E7F15" w:rsidP="003F4936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3F4936">
        <w:rPr>
          <w:rFonts w:ascii="Times New Roman" w:eastAsia="楷体" w:hAnsi="Times New Roman" w:cs="Times New Roman"/>
          <w:sz w:val="24"/>
          <w:szCs w:val="24"/>
        </w:rPr>
        <w:t>3.</w:t>
      </w:r>
      <w:r w:rsidR="003F4936" w:rsidRPr="003F4936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</w:t>
      </w:r>
      <w:r w:rsidR="003F4936" w:rsidRPr="003F4936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简述实验心得体会及其他。</w:t>
      </w:r>
    </w:p>
    <w:p w:rsidR="00A72038" w:rsidRPr="003F4936" w:rsidRDefault="00A72038" w:rsidP="003F493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1C5D2F" w:rsidRPr="009A7B01" w:rsidRDefault="001C5D2F" w:rsidP="003F4936">
      <w:pPr>
        <w:spacing w:line="360" w:lineRule="auto"/>
        <w:rPr>
          <w:rFonts w:ascii="黑体" w:eastAsia="黑体" w:hAnsi="黑体" w:cs="Times New Roman"/>
          <w:sz w:val="32"/>
          <w:szCs w:val="32"/>
        </w:rPr>
      </w:pPr>
      <w:r w:rsidRPr="009A7B01">
        <w:rPr>
          <w:rFonts w:ascii="黑体" w:eastAsia="黑体" w:hAnsi="黑体" w:cs="Times New Roman"/>
          <w:sz w:val="32"/>
          <w:szCs w:val="32"/>
        </w:rPr>
        <w:t>三、实验内容</w:t>
      </w:r>
    </w:p>
    <w:p w:rsidR="001C5D2F" w:rsidRPr="009A7B01" w:rsidRDefault="001C5D2F" w:rsidP="00E95504">
      <w:pPr>
        <w:spacing w:line="360" w:lineRule="auto"/>
        <w:rPr>
          <w:rFonts w:ascii="Times New Roman" w:eastAsia="楷体" w:hAnsi="Times New Roman" w:cs="Times New Roman"/>
          <w:sz w:val="30"/>
          <w:szCs w:val="30"/>
        </w:rPr>
      </w:pPr>
      <w:r w:rsidRPr="009A7B01">
        <w:rPr>
          <w:rFonts w:ascii="Times New Roman" w:eastAsia="楷体" w:hAnsi="Times New Roman" w:cs="Times New Roman"/>
          <w:sz w:val="30"/>
          <w:szCs w:val="30"/>
        </w:rPr>
        <w:t xml:space="preserve">1. </w:t>
      </w:r>
      <w:r w:rsidRPr="009A7B01">
        <w:rPr>
          <w:rFonts w:ascii="Times New Roman" w:eastAsia="楷体" w:hAnsi="Times New Roman" w:cs="Times New Roman"/>
          <w:sz w:val="30"/>
          <w:szCs w:val="30"/>
        </w:rPr>
        <w:t>实验原理</w:t>
      </w:r>
    </w:p>
    <w:p w:rsidR="001C5D2F" w:rsidRPr="004B6AFF" w:rsidRDefault="001C5D2F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4B6AFF">
        <w:rPr>
          <w:rFonts w:ascii="Times New Roman" w:eastAsia="楷体" w:hAnsi="Times New Roman" w:cs="Times New Roman"/>
          <w:b/>
          <w:sz w:val="24"/>
          <w:szCs w:val="24"/>
        </w:rPr>
        <w:t>路径损耗模型</w:t>
      </w:r>
      <w:r w:rsidRPr="004B6AFF">
        <w:rPr>
          <w:rFonts w:ascii="Times New Roman" w:eastAsia="楷体" w:hAnsi="Times New Roman" w:cs="Times New Roman"/>
          <w:b/>
          <w:sz w:val="24"/>
          <w:szCs w:val="24"/>
        </w:rPr>
        <w:t>Ⅰ</w:t>
      </w:r>
      <w:r w:rsidR="00D9628A" w:rsidRPr="004B6AFF">
        <w:rPr>
          <w:rFonts w:ascii="Times New Roman" w:eastAsia="楷体" w:hAnsi="Times New Roman" w:cs="Times New Roman"/>
          <w:sz w:val="24"/>
          <w:szCs w:val="24"/>
        </w:rPr>
        <w:t>——</w:t>
      </w:r>
      <w:r w:rsidR="004275ED" w:rsidRPr="004B6AFF">
        <w:rPr>
          <w:rFonts w:ascii="Times New Roman" w:eastAsia="楷体" w:hAnsi="Times New Roman" w:cs="Times New Roman" w:hint="eastAsia"/>
          <w:sz w:val="24"/>
          <w:szCs w:val="24"/>
        </w:rPr>
        <w:t>自由空间路径损耗模型</w:t>
      </w:r>
    </w:p>
    <w:p w:rsidR="00B51C20" w:rsidRPr="00F91B4F" w:rsidRDefault="00F41370" w:rsidP="00E95504">
      <w:pPr>
        <w:spacing w:line="360" w:lineRule="auto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(4π)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 w:hint="eastAsia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              (1)</m:t>
          </m:r>
        </m:oMath>
      </m:oMathPara>
    </w:p>
    <w:p w:rsidR="00062DEF" w:rsidRDefault="00787A6B" w:rsidP="00D942FA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787A6B">
        <w:rPr>
          <w:rFonts w:ascii="Times New Roman" w:eastAsia="楷体" w:hAnsi="Times New Roman" w:cs="Times New Roman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PL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sub>
        </m:sSub>
      </m:oMath>
      <w:r w:rsidR="008A13EF">
        <w:rPr>
          <w:rFonts w:ascii="Times New Roman" w:eastAsia="楷体" w:hAnsi="Times New Roman" w:cs="Times New Roman" w:hint="eastAsia"/>
          <w:sz w:val="24"/>
          <w:szCs w:val="24"/>
        </w:rPr>
        <w:t>表示自由空间路径损耗</w:t>
      </w:r>
      <w:r w:rsidR="008A13EF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8A13EF">
        <w:rPr>
          <w:rFonts w:ascii="Times New Roman" w:eastAsia="楷体" w:hAnsi="Times New Roman" w:cs="Times New Roman" w:hint="eastAsia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d</m:t>
        </m:r>
        <m:r>
          <w:rPr>
            <w:rFonts w:ascii="Cambria Math" w:eastAsia="楷体" w:hAnsi="Cambria Math" w:cs="Times New Roman"/>
            <w:sz w:val="24"/>
            <w:szCs w:val="24"/>
          </w:rPr>
          <m:t>B</m:t>
        </m:r>
      </m:oMath>
      <w:r w:rsidR="008A13EF">
        <w:rPr>
          <w:rFonts w:ascii="Times New Roman" w:eastAsia="楷体" w:hAnsi="Times New Roman" w:cs="Times New Roman"/>
          <w:sz w:val="24"/>
          <w:szCs w:val="24"/>
        </w:rPr>
        <w:t>)</w:t>
      </w:r>
      <w:r w:rsidR="008A13EF">
        <w:rPr>
          <w:rFonts w:ascii="Times New Roman" w:eastAsia="楷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d</m:t>
        </m:r>
      </m:oMath>
      <w:r w:rsidR="00C63CFD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为</w:t>
      </w:r>
      <w:r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发射机和接收机之间的距离</w:t>
      </w:r>
      <w:r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(</w:t>
      </w:r>
      <w:r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m</m:t>
        </m:r>
      </m:oMath>
      <w:r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λ</m:t>
        </m:r>
      </m:oMath>
      <w:r w:rsidR="0048768D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为发射波长</w:t>
      </w:r>
      <w:r w:rsidR="0048768D"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(</w:t>
      </w:r>
      <w:r w:rsidR="0048768D"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m</m:t>
        </m:r>
      </m:oMath>
      <w:r w:rsidR="0048768D" w:rsidRPr="00787A6B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)</w:t>
      </w:r>
      <w:r w:rsidR="0044523E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sub>
        </m:sSub>
      </m:oMath>
      <w:r w:rsidR="00D602AA">
        <w:rPr>
          <w:rFonts w:ascii="Times New Roman" w:eastAsia="楷体" w:hAnsi="Times New Roman" w:cs="Times New Roman" w:hint="eastAsia"/>
          <w:sz w:val="24"/>
          <w:szCs w:val="24"/>
        </w:rPr>
        <w:t>为发射天线增益，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sub>
        </m:sSub>
      </m:oMath>
      <w:r w:rsidR="00D602AA">
        <w:rPr>
          <w:rFonts w:ascii="Times New Roman" w:eastAsia="楷体" w:hAnsi="Times New Roman" w:cs="Times New Roman" w:hint="eastAsia"/>
          <w:sz w:val="24"/>
          <w:szCs w:val="24"/>
        </w:rPr>
        <w:t>为接受天线增益</w:t>
      </w:r>
      <w:r w:rsidR="0048768D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。</w:t>
      </w:r>
    </w:p>
    <w:p w:rsidR="001D2042" w:rsidRDefault="001D2042" w:rsidP="001D2042">
      <w:pPr>
        <w:spacing w:line="360" w:lineRule="auto"/>
        <w:ind w:firstLineChars="200" w:firstLine="480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当没有天线增益时，即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楷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r</m:t>
            </m:r>
          </m:sub>
        </m:sSub>
        <m:r>
          <w:rPr>
            <w:rFonts w:ascii="Cambria Math" w:eastAsia="楷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楷体" w:hAnsi="Cambria Math" w:cs="Times New Roman"/>
            <w:sz w:val="24"/>
            <w:szCs w:val="24"/>
          </w:rPr>
          <m:t>1</m:t>
        </m:r>
      </m:oMath>
      <w:r>
        <w:rPr>
          <w:rFonts w:ascii="Times New Roman" w:eastAsia="楷体" w:hAnsi="Times New Roman" w:cs="Times New Roman" w:hint="eastAsia"/>
          <w:sz w:val="24"/>
          <w:szCs w:val="24"/>
        </w:rPr>
        <w:t>，式</w:t>
      </w: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>1)</w:t>
      </w:r>
      <w:r>
        <w:rPr>
          <w:rFonts w:ascii="Times New Roman" w:eastAsia="楷体" w:hAnsi="Times New Roman" w:cs="Times New Roman" w:hint="eastAsia"/>
          <w:sz w:val="24"/>
          <w:szCs w:val="24"/>
        </w:rPr>
        <w:t>可简化为</w:t>
      </w:r>
    </w:p>
    <w:p w:rsidR="00857E4F" w:rsidRPr="0044523E" w:rsidRDefault="00F41370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                 (2)</m:t>
          </m:r>
        </m:oMath>
      </m:oMathPara>
    </w:p>
    <w:p w:rsidR="00A72038" w:rsidRDefault="00A72038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D942FA" w:rsidRPr="004B6AFF" w:rsidRDefault="00D942FA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4B6AFF">
        <w:rPr>
          <w:rFonts w:ascii="Times New Roman" w:eastAsia="楷体" w:hAnsi="Times New Roman" w:cs="Times New Roman"/>
          <w:b/>
          <w:sz w:val="24"/>
          <w:szCs w:val="24"/>
        </w:rPr>
        <w:t>路径损耗模型</w:t>
      </w:r>
      <w:r w:rsidRPr="004B6AFF">
        <w:rPr>
          <w:rFonts w:ascii="Times New Roman" w:eastAsia="楷体" w:hAnsi="Times New Roman" w:cs="Times New Roman"/>
          <w:b/>
          <w:sz w:val="24"/>
          <w:szCs w:val="24"/>
        </w:rPr>
        <w:t>Ⅱ</w:t>
      </w:r>
      <w:r w:rsidRPr="004B6AFF">
        <w:rPr>
          <w:rFonts w:ascii="Times New Roman" w:eastAsia="楷体" w:hAnsi="Times New Roman" w:cs="Times New Roman"/>
          <w:sz w:val="24"/>
          <w:szCs w:val="24"/>
        </w:rPr>
        <w:t>——</w:t>
      </w:r>
      <w:r w:rsidR="004275ED" w:rsidRPr="004B6AFF">
        <w:rPr>
          <w:rFonts w:ascii="Times New Roman" w:eastAsia="楷体" w:hAnsi="Times New Roman" w:cs="Times New Roman" w:hint="eastAsia"/>
          <w:sz w:val="24"/>
          <w:szCs w:val="24"/>
        </w:rPr>
        <w:t>对数距离路径损耗模型</w:t>
      </w:r>
    </w:p>
    <w:p w:rsidR="00F91B4F" w:rsidRPr="00F11B9A" w:rsidRDefault="00F41370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LD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楷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10n</m:t>
          </m:r>
          <m:func>
            <m:func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            (3)</m:t>
          </m:r>
        </m:oMath>
      </m:oMathPara>
    </w:p>
    <w:p w:rsidR="004E7F1A" w:rsidRDefault="00C63CFD" w:rsidP="004B606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4B606A">
        <w:rPr>
          <w:rFonts w:ascii="Times New Roman" w:eastAsia="楷体" w:hAnsi="Times New Roman" w:cs="Times New Roman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PL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LD</m:t>
            </m:r>
          </m:sub>
        </m:sSub>
      </m:oMath>
      <w:r w:rsidRPr="004B606A">
        <w:rPr>
          <w:rFonts w:ascii="Times New Roman" w:eastAsia="楷体" w:hAnsi="Times New Roman" w:cs="Times New Roman"/>
          <w:sz w:val="24"/>
          <w:szCs w:val="24"/>
        </w:rPr>
        <w:t>表示对数距离路径损耗</w:t>
      </w:r>
      <w:r w:rsidRPr="004B606A">
        <w:rPr>
          <w:rFonts w:ascii="Times New Roman" w:eastAsia="楷体" w:hAnsi="Times New Roman" w:cs="Times New Roman"/>
          <w:sz w:val="24"/>
          <w:szCs w:val="24"/>
        </w:rPr>
        <w:t>(</w:t>
      </w:r>
      <w:r w:rsidRPr="004B606A">
        <w:rPr>
          <w:rFonts w:ascii="Times New Roman" w:eastAsia="楷体" w:hAnsi="Times New Roman" w:cs="Times New Roman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dB</m:t>
        </m:r>
      </m:oMath>
      <w:r w:rsidRPr="004B606A">
        <w:rPr>
          <w:rFonts w:ascii="Times New Roman" w:eastAsia="楷体" w:hAnsi="Times New Roman" w:cs="Times New Roman"/>
          <w:sz w:val="24"/>
          <w:szCs w:val="24"/>
        </w:rPr>
        <w:t>)</w:t>
      </w:r>
      <w:r w:rsidRPr="004B606A">
        <w:rPr>
          <w:rFonts w:ascii="Times New Roman" w:eastAsia="楷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</m:oMath>
      <w:r w:rsidRPr="004B606A">
        <w:rPr>
          <w:rFonts w:ascii="Times New Roman" w:eastAsia="楷体" w:hAnsi="Times New Roman" w:cs="Times New Roman"/>
          <w:sz w:val="24"/>
          <w:szCs w:val="24"/>
        </w:rPr>
        <w:t>为一个参考距离</w:t>
      </w:r>
      <w:r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(</w:t>
      </w:r>
      <w:r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m</m:t>
        </m:r>
      </m:oMath>
      <w:r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)</w:t>
      </w:r>
      <w:r w:rsidRPr="004B606A">
        <w:rPr>
          <w:rFonts w:ascii="Times New Roman" w:eastAsia="楷体" w:hAnsi="Times New Roman" w:cs="Times New Roman"/>
          <w:sz w:val="24"/>
          <w:szCs w:val="24"/>
        </w:rPr>
        <w:t>，</w:t>
      </w:r>
      <w:r w:rsidRPr="004B606A">
        <w:rPr>
          <w:rFonts w:ascii="Times New Roman" w:eastAsia="楷体" w:hAnsi="Times New Roman" w:cs="Times New Roman"/>
          <w:sz w:val="24"/>
          <w:szCs w:val="24"/>
        </w:rPr>
        <w:lastRenderedPageBreak/>
        <w:t>表示</w:t>
      </w:r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在参考距离或者接近参考距离的位置，路径损耗具有式</w:t>
      </w:r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(1)</w:t>
      </w:r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中自由空间损耗的特点</w:t>
      </w:r>
      <w:r w:rsidR="00B8098A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。</w:t>
      </w:r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对不同传播环境必须确定合适的参考距离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</m:oMath>
      <w:r w:rsidR="004B606A" w:rsidRPr="004B606A">
        <w:rPr>
          <w:rFonts w:ascii="Times New Roman" w:eastAsia="楷体" w:hAnsi="Times New Roman" w:cs="Times New Roman"/>
          <w:sz w:val="24"/>
          <w:szCs w:val="24"/>
        </w:rPr>
        <w:t>，</w:t>
      </w:r>
      <w:r w:rsidR="00B8098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例如，在大覆盖范围的蜂窝系统</w:t>
      </w:r>
      <w:r w:rsidR="00B8098A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，</w:t>
      </w:r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即半径大于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10km</m:t>
        </m:r>
      </m:oMath>
      <w:r w:rsidR="00B8098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的蜂窝系统</w:t>
      </w:r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中，通常会设置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</m:oMath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为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1km</m:t>
        </m:r>
      </m:oMath>
      <w:r w:rsidR="00B8098A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；</w:t>
      </w:r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对于小区半径为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1km</m:t>
        </m:r>
      </m:oMath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的宏峰窝系统或者具有极小半径的微蜂窝系统，可以分别设置参考距离为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100m</m:t>
        </m:r>
      </m:oMath>
      <w:r w:rsidR="004B606A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或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1m</m:t>
        </m:r>
      </m:oMath>
      <w:r w:rsidR="0087607D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[</w:t>
      </w:r>
      <w:r w:rsidR="0087607D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1]</w:t>
      </w:r>
      <w:r w:rsidR="00B8098A">
        <w:rPr>
          <w:rFonts w:ascii="Times New Roman" w:eastAsia="楷体" w:hAnsi="Times New Roman" w:cs="Times New Roman" w:hint="eastAsia"/>
          <w:color w:val="000000" w:themeColor="text1"/>
          <w:sz w:val="24"/>
          <w:szCs w:val="24"/>
        </w:rPr>
        <w:t>。</w:t>
      </w:r>
      <m:oMath>
        <m:r>
          <w:rPr>
            <w:rFonts w:ascii="Cambria Math" w:eastAsia="楷体" w:hAnsi="Cambria Math" w:cs="Times New Roman"/>
            <w:sz w:val="24"/>
            <w:szCs w:val="24"/>
          </w:rPr>
          <m:t>n</m:t>
        </m:r>
      </m:oMath>
      <w:r w:rsidR="000E4537" w:rsidRPr="004B606A">
        <w:rPr>
          <w:rFonts w:ascii="Times New Roman" w:eastAsia="楷体" w:hAnsi="Times New Roman" w:cs="Times New Roman"/>
          <w:sz w:val="24"/>
          <w:szCs w:val="24"/>
        </w:rPr>
        <w:t>为路径损耗指数，主要由传播环境决定，</w:t>
      </w:r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变化范围为</w:t>
      </w:r>
      <m:oMath>
        <m:r>
          <m:rPr>
            <m:sty m:val="p"/>
          </m:rP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2~6</m:t>
        </m:r>
      </m:oMath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，其中</w:t>
      </w:r>
      <m:oMath>
        <m:r>
          <w:rPr>
            <w:rFonts w:ascii="Cambria Math" w:eastAsia="楷体" w:hAnsi="Cambria Math" w:cs="Times New Roman"/>
            <w:color w:val="000000" w:themeColor="text1"/>
            <w:sz w:val="24"/>
            <w:szCs w:val="24"/>
          </w:rPr>
          <m:t>n=2</m:t>
        </m:r>
      </m:oMath>
      <w:r w:rsidR="0088498C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对应于</w:t>
      </w:r>
      <w:r w:rsidR="000E4537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自由空间的情况</w:t>
      </w:r>
      <w:r w:rsidR="0088498C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，表</w:t>
      </w:r>
      <w:r w:rsidR="0088498C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1</w:t>
      </w:r>
      <w:r w:rsidR="0088498C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给出了不同传播环境中</w:t>
      </w:r>
      <m:oMath>
        <m:r>
          <w:rPr>
            <w:rFonts w:ascii="Cambria Math" w:eastAsia="楷体" w:hAnsi="Cambria Math" w:cs="Times New Roman"/>
            <w:sz w:val="24"/>
            <w:szCs w:val="24"/>
          </w:rPr>
          <m:t>n</m:t>
        </m:r>
      </m:oMath>
      <w:r w:rsidR="0088498C" w:rsidRPr="004B606A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的取值，且当障碍物增多时，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n</m:t>
        </m:r>
      </m:oMath>
      <w:r w:rsidR="0088498C" w:rsidRPr="004B606A">
        <w:rPr>
          <w:rFonts w:ascii="Times New Roman" w:eastAsia="楷体" w:hAnsi="Times New Roman" w:cs="Times New Roman"/>
          <w:sz w:val="24"/>
          <w:szCs w:val="24"/>
        </w:rPr>
        <w:t>的值会变大。</w:t>
      </w:r>
    </w:p>
    <w:p w:rsidR="004E7F1A" w:rsidRDefault="001429BA" w:rsidP="00BC6504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表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路径损耗指数取值</w:t>
      </w:r>
      <w:r w:rsidR="0087607D">
        <w:rPr>
          <w:rFonts w:ascii="Times New Roman" w:eastAsia="楷体" w:hAnsi="Times New Roman" w:cs="Times New Roman" w:hint="eastAsia"/>
          <w:sz w:val="24"/>
          <w:szCs w:val="24"/>
        </w:rPr>
        <w:t>[</w:t>
      </w:r>
      <w:r w:rsidR="0087607D">
        <w:rPr>
          <w:rFonts w:ascii="Times New Roman" w:eastAsia="楷体" w:hAnsi="Times New Roman" w:cs="Times New Roman"/>
          <w:sz w:val="24"/>
          <w:szCs w:val="24"/>
        </w:rPr>
        <w:t>2]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F1A" w:rsidTr="004E7F1A"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路径损耗指数</w:t>
            </w:r>
            <m:oMath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n</m:t>
              </m:r>
            </m:oMath>
          </w:p>
        </w:tc>
      </w:tr>
      <w:tr w:rsidR="004E7F1A" w:rsidTr="004E7F1A">
        <w:tc>
          <w:tcPr>
            <w:tcW w:w="4148" w:type="dxa"/>
            <w:tcBorders>
              <w:top w:val="single" w:sz="4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E7F1A" w:rsidTr="004E7F1A"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2.7~3.5</w:t>
            </w:r>
          </w:p>
        </w:tc>
      </w:tr>
      <w:tr w:rsidR="004E7F1A" w:rsidTr="004E7F1A"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3~5</w:t>
            </w:r>
          </w:p>
        </w:tc>
      </w:tr>
      <w:tr w:rsidR="004E7F1A" w:rsidTr="004E7F1A"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1.6~1.8</w:t>
            </w:r>
          </w:p>
        </w:tc>
      </w:tr>
      <w:tr w:rsidR="004E7F1A" w:rsidTr="004E7F1A"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148" w:type="dxa"/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4~6</w:t>
            </w:r>
          </w:p>
        </w:tc>
      </w:tr>
      <w:tr w:rsidR="004E7F1A" w:rsidTr="004E7F1A">
        <w:tc>
          <w:tcPr>
            <w:tcW w:w="4148" w:type="dxa"/>
            <w:tcBorders>
              <w:bottom w:val="single" w:sz="12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4E7F1A" w:rsidRPr="004E7F1A" w:rsidRDefault="004E7F1A" w:rsidP="004E7F1A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4E7F1A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2~3</w:t>
            </w:r>
          </w:p>
        </w:tc>
      </w:tr>
    </w:tbl>
    <w:p w:rsidR="00A72038" w:rsidRDefault="00A72038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D942FA" w:rsidRPr="004B6AFF" w:rsidRDefault="00D942FA" w:rsidP="00D942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4B6AFF">
        <w:rPr>
          <w:rFonts w:ascii="Times New Roman" w:eastAsia="楷体" w:hAnsi="Times New Roman" w:cs="Times New Roman"/>
          <w:b/>
          <w:sz w:val="24"/>
          <w:szCs w:val="24"/>
        </w:rPr>
        <w:t>路径损耗模型</w:t>
      </w:r>
      <w:r w:rsidRPr="004B6AFF">
        <w:rPr>
          <w:rFonts w:ascii="Times New Roman" w:eastAsia="楷体" w:hAnsi="Times New Roman" w:cs="Times New Roman"/>
          <w:b/>
          <w:sz w:val="24"/>
          <w:szCs w:val="24"/>
        </w:rPr>
        <w:t>Ⅲ</w:t>
      </w:r>
      <w:r w:rsidRPr="004B6AFF">
        <w:rPr>
          <w:rFonts w:ascii="Times New Roman" w:eastAsia="楷体" w:hAnsi="Times New Roman" w:cs="Times New Roman"/>
          <w:sz w:val="24"/>
          <w:szCs w:val="24"/>
        </w:rPr>
        <w:t>——</w:t>
      </w:r>
      <w:r w:rsidR="004275ED" w:rsidRPr="004B6AFF">
        <w:rPr>
          <w:rFonts w:ascii="Times New Roman" w:eastAsia="楷体" w:hAnsi="Times New Roman" w:cs="Times New Roman" w:hint="eastAsia"/>
          <w:sz w:val="24"/>
          <w:szCs w:val="24"/>
        </w:rPr>
        <w:t>对数正态阴影衰落路径损耗模型</w:t>
      </w:r>
    </w:p>
    <w:p w:rsidR="00D9628A" w:rsidRPr="00231A60" w:rsidRDefault="00F41370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LN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LD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="楷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楷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PL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楷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10n</m:t>
          </m:r>
          <m:func>
            <m:func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楷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4"/>
              <w:szCs w:val="24"/>
            </w:rPr>
            <m:t xml:space="preserve">   (4)</m:t>
          </m:r>
        </m:oMath>
      </m:oMathPara>
    </w:p>
    <w:p w:rsidR="00A72038" w:rsidRDefault="00440243" w:rsidP="00F0551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PL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LN</m:t>
            </m:r>
          </m:sub>
        </m:sSub>
      </m:oMath>
      <w:r w:rsidRPr="004B606A">
        <w:rPr>
          <w:rFonts w:ascii="Times New Roman" w:eastAsia="楷体" w:hAnsi="Times New Roman" w:cs="Times New Roman"/>
          <w:sz w:val="24"/>
          <w:szCs w:val="24"/>
        </w:rPr>
        <w:t>表示对数</w:t>
      </w:r>
      <w:r>
        <w:rPr>
          <w:rFonts w:ascii="Times New Roman" w:eastAsia="楷体" w:hAnsi="Times New Roman" w:cs="Times New Roman" w:hint="eastAsia"/>
          <w:sz w:val="24"/>
          <w:szCs w:val="24"/>
        </w:rPr>
        <w:t>正态阴影衰落</w:t>
      </w:r>
      <w:r w:rsidRPr="004B606A">
        <w:rPr>
          <w:rFonts w:ascii="Times New Roman" w:eastAsia="楷体" w:hAnsi="Times New Roman" w:cs="Times New Roman"/>
          <w:sz w:val="24"/>
          <w:szCs w:val="24"/>
        </w:rPr>
        <w:t>路径损耗</w:t>
      </w:r>
      <w:r w:rsidRPr="004B606A">
        <w:rPr>
          <w:rFonts w:ascii="Times New Roman" w:eastAsia="楷体" w:hAnsi="Times New Roman" w:cs="Times New Roman"/>
          <w:sz w:val="24"/>
          <w:szCs w:val="24"/>
        </w:rPr>
        <w:t>(</w:t>
      </w:r>
      <w:r w:rsidRPr="004B606A">
        <w:rPr>
          <w:rFonts w:ascii="Times New Roman" w:eastAsia="楷体" w:hAnsi="Times New Roman" w:cs="Times New Roman"/>
          <w:sz w:val="24"/>
          <w:szCs w:val="24"/>
        </w:rPr>
        <w:t>单位：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dB</m:t>
        </m:r>
      </m:oMath>
      <w:r w:rsidRPr="004B606A">
        <w:rPr>
          <w:rFonts w:ascii="Times New Roman" w:eastAsia="楷体" w:hAnsi="Times New Roman" w:cs="Times New Roman"/>
          <w:sz w:val="24"/>
          <w:szCs w:val="24"/>
        </w:rPr>
        <w:t>)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σ</m:t>
            </m:r>
          </m:sub>
        </m:sSub>
      </m:oMath>
      <w:r w:rsidR="00ED2B57">
        <w:rPr>
          <w:rFonts w:ascii="Times New Roman" w:eastAsia="楷体" w:hAnsi="Times New Roman" w:cs="Times New Roman" w:hint="eastAsia"/>
          <w:sz w:val="24"/>
          <w:szCs w:val="24"/>
        </w:rPr>
        <w:t>为阴影随机变量，服从均值为</w:t>
      </w:r>
      <w:r w:rsidR="00ED2B57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="00ED2B57">
        <w:rPr>
          <w:rFonts w:ascii="Times New Roman" w:eastAsia="楷体" w:hAnsi="Times New Roman" w:cs="Times New Roman" w:hint="eastAsia"/>
          <w:sz w:val="24"/>
          <w:szCs w:val="24"/>
        </w:rPr>
        <w:t>，标准差为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σ</m:t>
        </m:r>
      </m:oMath>
      <w:r w:rsidR="00ED2B57">
        <w:rPr>
          <w:rFonts w:ascii="Times New Roman" w:eastAsia="楷体" w:hAnsi="Times New Roman" w:cs="Times New Roman" w:hint="eastAsia"/>
          <w:sz w:val="24"/>
          <w:szCs w:val="24"/>
        </w:rPr>
        <w:t>的高斯分布</w:t>
      </w:r>
      <w:r w:rsidR="003530C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FA79F3" w:rsidRDefault="00FA79F3" w:rsidP="00F0551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87607D" w:rsidRPr="00F05514" w:rsidRDefault="0087607D" w:rsidP="00F0551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05514">
        <w:rPr>
          <w:rFonts w:ascii="Times New Roman" w:eastAsia="楷体" w:hAnsi="Times New Roman" w:cs="Times New Roman"/>
          <w:sz w:val="24"/>
          <w:szCs w:val="24"/>
        </w:rPr>
        <w:t>参考文献</w:t>
      </w:r>
    </w:p>
    <w:p w:rsidR="0087607D" w:rsidRPr="00F05514" w:rsidRDefault="0087607D" w:rsidP="00F0551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05514">
        <w:rPr>
          <w:rFonts w:ascii="Times New Roman" w:eastAsia="楷体" w:hAnsi="Times New Roman" w:cs="Times New Roman"/>
          <w:sz w:val="24"/>
          <w:szCs w:val="24"/>
        </w:rPr>
        <w:t>[1]</w:t>
      </w:r>
      <w:r w:rsidR="00290147" w:rsidRPr="00F05514">
        <w:rPr>
          <w:rFonts w:ascii="Times New Roman" w:eastAsia="楷体" w:hAnsi="Times New Roman" w:cs="Times New Roman"/>
          <w:color w:val="000000"/>
          <w:sz w:val="24"/>
          <w:szCs w:val="24"/>
          <w:shd w:val="clear" w:color="auto" w:fill="FFFFFF"/>
        </w:rPr>
        <w:t xml:space="preserve"> Lee, William C. Y. </w:t>
      </w:r>
      <w:r w:rsidR="00290147" w:rsidRPr="00F05514">
        <w:rPr>
          <w:rFonts w:ascii="Times New Roman" w:eastAsia="楷体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Mobile Communications Engineering: Theory and Applications</w:t>
      </w:r>
      <w:r w:rsidR="00290147" w:rsidRPr="00F05514">
        <w:rPr>
          <w:rFonts w:ascii="Times New Roman" w:eastAsia="楷体" w:hAnsi="Times New Roman" w:cs="Times New Roman"/>
          <w:color w:val="000000"/>
          <w:sz w:val="24"/>
          <w:szCs w:val="24"/>
          <w:shd w:val="clear" w:color="auto" w:fill="FFFFFF"/>
        </w:rPr>
        <w:t>. McGraw-Hill, 1982.</w:t>
      </w:r>
    </w:p>
    <w:p w:rsidR="00A72038" w:rsidRDefault="0087607D" w:rsidP="00E95504">
      <w:pPr>
        <w:spacing w:line="360" w:lineRule="auto"/>
        <w:rPr>
          <w:rFonts w:ascii="Times New Roman" w:eastAsia="楷体" w:hAnsi="Times New Roman" w:cs="Times New Roman"/>
          <w:color w:val="000000"/>
          <w:sz w:val="24"/>
          <w:szCs w:val="24"/>
          <w:shd w:val="clear" w:color="auto" w:fill="FFFFFF"/>
        </w:rPr>
      </w:pPr>
      <w:r w:rsidRPr="00F05514">
        <w:rPr>
          <w:rFonts w:ascii="Times New Roman" w:eastAsia="楷体" w:hAnsi="Times New Roman" w:cs="Times New Roman"/>
          <w:sz w:val="24"/>
          <w:szCs w:val="24"/>
        </w:rPr>
        <w:t>[2]</w:t>
      </w:r>
      <w:r w:rsidR="00F05514" w:rsidRPr="00F05514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F05514" w:rsidRPr="00F05514">
        <w:rPr>
          <w:rFonts w:ascii="Times New Roman" w:eastAsia="楷体" w:hAnsi="Times New Roman" w:cs="Times New Roman"/>
          <w:color w:val="000000"/>
          <w:sz w:val="24"/>
          <w:szCs w:val="24"/>
          <w:shd w:val="clear" w:color="auto" w:fill="FFFFFF"/>
        </w:rPr>
        <w:t>Rappaport, and Theodore. "Wireless Communications: Principles and Practice." 8.1(2002):33-8.</w:t>
      </w:r>
    </w:p>
    <w:p w:rsidR="00FA79F3" w:rsidRDefault="00FA79F3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290147" w:rsidRPr="004B6AFF" w:rsidRDefault="00290147" w:rsidP="00C62DB2">
      <w:pPr>
        <w:spacing w:line="360" w:lineRule="auto"/>
        <w:rPr>
          <w:rFonts w:ascii="Times New Roman" w:eastAsia="楷体" w:hAnsi="Times New Roman" w:cs="Times New Roman"/>
          <w:sz w:val="30"/>
          <w:szCs w:val="30"/>
        </w:rPr>
      </w:pPr>
      <w:r w:rsidRPr="004B6AFF">
        <w:rPr>
          <w:rFonts w:ascii="Times New Roman" w:eastAsia="楷体" w:hAnsi="Times New Roman" w:cs="Times New Roman"/>
          <w:sz w:val="30"/>
          <w:szCs w:val="30"/>
        </w:rPr>
        <w:lastRenderedPageBreak/>
        <w:t xml:space="preserve">2. </w:t>
      </w:r>
      <w:r w:rsidRPr="004B6AFF">
        <w:rPr>
          <w:rFonts w:ascii="Times New Roman" w:eastAsia="楷体" w:hAnsi="Times New Roman" w:cs="Times New Roman"/>
          <w:sz w:val="30"/>
          <w:szCs w:val="30"/>
        </w:rPr>
        <w:t>实验程序</w:t>
      </w:r>
    </w:p>
    <w:p w:rsidR="00C62DB2" w:rsidRDefault="00C62DB2" w:rsidP="00C62DB2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4B6AFF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程序</w:t>
      </w:r>
      <w:r w:rsidR="001803D7" w:rsidRPr="004B6AFF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1</w:t>
      </w:r>
      <w:r w:rsidR="001803D7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“plot_PL_general.m”,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绘制不同的路径损耗模型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%plot_PL_general.m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%coded via Yahui Ji, adapted from Dr. Wu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%Chien-Shiung Wu College, Southeast University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%2018.10.30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%***************************************************************%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clear </w:t>
      </w:r>
      <w:r>
        <w:rPr>
          <w:rFonts w:ascii="宋体" w:eastAsia="宋体" w:cs="宋体"/>
          <w:color w:val="A020F0"/>
          <w:kern w:val="0"/>
          <w:sz w:val="20"/>
          <w:szCs w:val="20"/>
        </w:rPr>
        <w:t>all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clf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clc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%***************************************************************%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%参数设定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fc=1.5e9;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%电磁波频率为1500MHz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d0=100;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%参考距离为100m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sigma=3;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%阴影随机变量标准差为3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distance=[1:2:31].^2;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%仿真距离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Gt=[1 1 0.5];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%发射天线增益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Gr=[1 0.5 0.5];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%接受天线增益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Exp=[2 3 6];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%路径损耗指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数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%***************************************************************%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%主程序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k=1:3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y_free(k,:)=PL_free(fc,distance,Gt(k),Gr(k));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%自由空间路径损耗 随 发射接收天线增益 的变化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y_logdist(k,:)=PL_logdist_or_norm(fc,distance,d0,Exp(k));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%对数距离路径损耗 随 路径损耗指数 的变化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y_lognorm(k,:)=PL_logdist_or_norm(fc,distance,d0,Exp(1),sigma);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%对数正态阴影衰落路径损耗 随 不同阴影随机变量取值 的变化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%***************************************************************%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%画图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figure(1)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semiplot = semilogx(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distance,y_free(1,:),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distance,y_free(2,:),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distance,y_free(3,:),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'LineWidth'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,1.0, </w:t>
      </w:r>
      <w:r>
        <w:rPr>
          <w:rFonts w:ascii="宋体" w:eastAsia="宋体" w:cs="宋体"/>
          <w:color w:val="A020F0"/>
          <w:kern w:val="0"/>
          <w:sz w:val="20"/>
          <w:szCs w:val="20"/>
        </w:rPr>
        <w:t>'MarkerSize'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,7);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set(semiplot(1),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,[61, 89, 171]/256);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%蓝色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set(semiplot(2),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,[0.850980401039124,0.325490206480026,0.0980392172932625]);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%橙色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set(semiplot(3),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,[0.929411768913269 ,0.694117665290833,0.125490203499794]);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%黄色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strLegend = {</w:t>
      </w:r>
      <w:r>
        <w:rPr>
          <w:rFonts w:ascii="宋体" w:eastAsia="宋体" w:cs="宋体"/>
          <w:color w:val="A020F0"/>
          <w:kern w:val="0"/>
          <w:sz w:val="20"/>
          <w:szCs w:val="20"/>
        </w:rPr>
        <w:t>'$G_t=1$,$G_r=1$'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'$G_t=1$,$G_r=0.5$'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'$G_t=0.5$,$G_r=0.5$'</w:t>
      </w:r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legend_handle = legend(strLegend);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set(legend_handle,</w:t>
      </w:r>
      <w:r>
        <w:rPr>
          <w:rFonts w:ascii="宋体" w:eastAsia="宋体" w:cs="宋体"/>
          <w:color w:val="A020F0"/>
          <w:kern w:val="0"/>
          <w:sz w:val="20"/>
          <w:szCs w:val="20"/>
        </w:rPr>
        <w:t>'Interpreter'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'latex'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title([</w:t>
      </w:r>
      <w:r>
        <w:rPr>
          <w:rFonts w:ascii="宋体" w:eastAsia="宋体" w:cs="宋体"/>
          <w:color w:val="A020F0"/>
          <w:kern w:val="0"/>
          <w:sz w:val="20"/>
          <w:szCs w:val="20"/>
        </w:rPr>
        <w:t>'Free Path-loss Model,{\itf_c}='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,num2str(fc/1e6),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'MHz'</w:t>
      </w:r>
      <w:r>
        <w:rPr>
          <w:rFonts w:ascii="宋体" w:eastAsia="宋体" w:cs="宋体"/>
          <w:color w:val="000000"/>
          <w:kern w:val="0"/>
          <w:sz w:val="20"/>
          <w:szCs w:val="20"/>
        </w:rPr>
        <w:t>])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'Distance [m]'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 ylabel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'Path-loss [dB]'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figure(2)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semiplot = semilogx(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distance,y_logdist(1,:),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distance,y_logdist(2,:),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distance,y_logdist(3,:),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'LineWidth'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,1.0, </w:t>
      </w:r>
      <w:r>
        <w:rPr>
          <w:rFonts w:ascii="宋体" w:eastAsia="宋体" w:cs="宋体"/>
          <w:color w:val="A020F0"/>
          <w:kern w:val="0"/>
          <w:sz w:val="20"/>
          <w:szCs w:val="20"/>
        </w:rPr>
        <w:t>'MarkerSize'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,7);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set(semiplot(1),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,[61, 89, 171]/256);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%蓝色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set(semiplot(2),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,[0.850980401039124,0.325490206480026,0.0980392172932625]);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%橙色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set(semiplot(3),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,[0.929411768913269 ,0.694117665290833,0.125490203499794]);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%黄色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strLegend = {</w:t>
      </w:r>
      <w:r>
        <w:rPr>
          <w:rFonts w:ascii="宋体" w:eastAsia="宋体" w:cs="宋体"/>
          <w:color w:val="A020F0"/>
          <w:kern w:val="0"/>
          <w:sz w:val="20"/>
          <w:szCs w:val="20"/>
        </w:rPr>
        <w:t>'$n=2$'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'$n=3$'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'$n=6$'</w:t>
      </w:r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legend_handle = legend(strLegend);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set(legend_handle,</w:t>
      </w:r>
      <w:r>
        <w:rPr>
          <w:rFonts w:ascii="宋体" w:eastAsia="宋体" w:cs="宋体"/>
          <w:color w:val="A020F0"/>
          <w:kern w:val="0"/>
          <w:sz w:val="20"/>
          <w:szCs w:val="20"/>
        </w:rPr>
        <w:t>'Interpreter'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'latex'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title([</w:t>
      </w:r>
      <w:r>
        <w:rPr>
          <w:rFonts w:ascii="宋体" w:eastAsia="宋体" w:cs="宋体"/>
          <w:color w:val="A020F0"/>
          <w:kern w:val="0"/>
          <w:sz w:val="20"/>
          <w:szCs w:val="20"/>
        </w:rPr>
        <w:t>'Log-distance Path-loss Model,{\itf_c}='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,num2str(fc/1e6),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'MHz'</w:t>
      </w:r>
      <w:r>
        <w:rPr>
          <w:rFonts w:ascii="宋体" w:eastAsia="宋体" w:cs="宋体"/>
          <w:color w:val="000000"/>
          <w:kern w:val="0"/>
          <w:sz w:val="20"/>
          <w:szCs w:val="20"/>
        </w:rPr>
        <w:t>])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'Distance [m]'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 ylabel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'Path-loss [dB]'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figure(3)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semiplot = semilogx(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distance,y_lognorm(1,:),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distance,y_lognorm(2,:),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distance,y_lognorm(3,:),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'.-'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distance,y_logdist(1,:),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'-'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'LineWidth'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,1.0, </w:t>
      </w:r>
      <w:r>
        <w:rPr>
          <w:rFonts w:ascii="宋体" w:eastAsia="宋体" w:cs="宋体"/>
          <w:color w:val="A020F0"/>
          <w:kern w:val="0"/>
          <w:sz w:val="20"/>
          <w:szCs w:val="20"/>
        </w:rPr>
        <w:t>'MarkerSize'</w:t>
      </w:r>
      <w:r>
        <w:rPr>
          <w:rFonts w:ascii="宋体" w:eastAsia="宋体" w:cs="宋体"/>
          <w:color w:val="000000"/>
          <w:kern w:val="0"/>
          <w:sz w:val="20"/>
          <w:szCs w:val="20"/>
        </w:rPr>
        <w:t>,7);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set(semiplot(1),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,[61, 89, 171]/256);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%蓝色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set(semiplot(2),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,[0.850980401039124,0.325490206480026,0.0980392172932625]);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%橙色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set(semiplot(3),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,[0.929411768913269 ,0.694117665290833,0.125490203499794]);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%黄色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set(semiplot(4),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'Color'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,[0 0 0]);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%黑色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grid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strLegend = {</w:t>
      </w:r>
      <w:r>
        <w:rPr>
          <w:rFonts w:ascii="宋体" w:eastAsia="宋体" w:cs="宋体"/>
          <w:color w:val="A020F0"/>
          <w:kern w:val="0"/>
          <w:sz w:val="20"/>
          <w:szCs w:val="20"/>
        </w:rPr>
        <w:t>'path$1$'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'path$2$'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'path$3$'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>'no shadow random variable'</w:t>
      </w:r>
      <w:r>
        <w:rPr>
          <w:rFonts w:ascii="宋体" w:eastAsia="宋体" w:cs="宋体"/>
          <w:color w:val="000000"/>
          <w:kern w:val="0"/>
          <w:sz w:val="20"/>
          <w:szCs w:val="20"/>
        </w:rPr>
        <w:t>};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legend_handle = legend(strLegend);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set(legend_handle,</w:t>
      </w:r>
      <w:r>
        <w:rPr>
          <w:rFonts w:ascii="宋体" w:eastAsia="宋体" w:cs="宋体"/>
          <w:color w:val="A020F0"/>
          <w:kern w:val="0"/>
          <w:sz w:val="20"/>
          <w:szCs w:val="20"/>
        </w:rPr>
        <w:t>'Interpreter'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'latex'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title([</w:t>
      </w:r>
      <w:r>
        <w:rPr>
          <w:rFonts w:ascii="宋体" w:eastAsia="宋体" w:cs="宋体"/>
          <w:color w:val="A020F0"/>
          <w:kern w:val="0"/>
          <w:sz w:val="20"/>
          <w:szCs w:val="20"/>
        </w:rPr>
        <w:t>'Log-normal Path-loss Model,{\itf_c}='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,num2str(fc/1e6),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'MHz,\sigma='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,num2str(sigma),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'dB'</w:t>
      </w:r>
      <w:r>
        <w:rPr>
          <w:rFonts w:ascii="宋体" w:eastAsia="宋体" w:cs="宋体"/>
          <w:color w:val="000000"/>
          <w:kern w:val="0"/>
          <w:sz w:val="20"/>
          <w:szCs w:val="20"/>
        </w:rPr>
        <w:t>])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xlabel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'Distance [m]'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 ylabel (</w:t>
      </w:r>
      <w:r>
        <w:rPr>
          <w:rFonts w:ascii="宋体" w:eastAsia="宋体" w:cs="宋体"/>
          <w:color w:val="A020F0"/>
          <w:kern w:val="0"/>
          <w:sz w:val="20"/>
          <w:szCs w:val="20"/>
        </w:rPr>
        <w:t>'Path-loss [dB]'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%***************************************************************%</w:t>
      </w:r>
    </w:p>
    <w:p w:rsidR="002648F5" w:rsidRPr="00C62DB2" w:rsidRDefault="002648F5" w:rsidP="00C62DB2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</w:p>
    <w:p w:rsidR="00777D9F" w:rsidRDefault="00C62DB2" w:rsidP="00C62DB2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FA79F3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程序</w:t>
      </w:r>
      <w:r w:rsidR="001803D7" w:rsidRPr="00FA79F3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2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“PL_free”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，自由空间的路径损耗模型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%open source from Dr. Wu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PL=PL_free(fc,dist,Gt,Gr)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%自由空间路径损耗模型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%输入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fc：载波频率[Hz]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dist：基站和移动台之间的距离[m]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Gt：发射机天线增益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Gr：接收机天线增益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%输出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PL：路径损耗[dB]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lamda=3e8/fc;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tmp=lamda./(4*pi*dist);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PL=-20*log10(tmp);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式</w:t>
      </w:r>
      <w:r>
        <w:rPr>
          <w:rFonts w:ascii="宋体" w:eastAsia="宋体" w:cs="宋体"/>
          <w:color w:val="228B22"/>
          <w:kern w:val="0"/>
          <w:sz w:val="20"/>
          <w:szCs w:val="20"/>
        </w:rPr>
        <w:t>(1.2)/(1.3)</w:t>
      </w:r>
    </w:p>
    <w:p w:rsidR="002648F5" w:rsidRPr="00C62DB2" w:rsidRDefault="002648F5" w:rsidP="00C62DB2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</w:p>
    <w:p w:rsidR="00C62DB2" w:rsidRDefault="00C62DB2" w:rsidP="00C62DB2">
      <w:pPr>
        <w:spacing w:line="360" w:lineRule="auto"/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FA79F3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程序</w:t>
      </w:r>
      <w:r w:rsidRPr="00FA79F3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3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“PL_logdist_or_norm”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，对数距离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/</w:t>
      </w:r>
      <w:r w:rsidRPr="00C62DB2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正态阴影路径损耗模型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%open source from Dr. Wu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PL=PL_logdist_or_norm(fc,d,d0,n,sigma)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%对数距离或对数阴影衰落路径损耗模型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%输入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fc：载波频率[Hz]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d：基站和移动台之间的距离[m]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d0：参考距离[m]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n：路径损耗指数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sigma：方差[dB]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%输出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PL：路径损耗[dB]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lamda=3e8/fc;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PL=-20*log10(lamda/(4*pi*d0))+10*n*log10(d/d0);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%式(1.4)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nargin&gt;4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式</w:t>
      </w:r>
      <w:r>
        <w:rPr>
          <w:rFonts w:ascii="宋体" w:eastAsia="宋体" w:cs="宋体"/>
          <w:color w:val="228B22"/>
          <w:kern w:val="0"/>
          <w:sz w:val="20"/>
          <w:szCs w:val="20"/>
        </w:rPr>
        <w:t>(1.5)</w:t>
      </w:r>
    </w:p>
    <w:p w:rsidR="002648F5" w:rsidRDefault="002648F5" w:rsidP="002648F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2648F5" w:rsidRPr="00C62DB2" w:rsidRDefault="002648F5" w:rsidP="00C62DB2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6D412F" w:rsidRPr="00041FE0" w:rsidRDefault="006D412F" w:rsidP="00C62DB2">
      <w:pPr>
        <w:spacing w:line="360" w:lineRule="auto"/>
        <w:rPr>
          <w:rFonts w:ascii="黑体" w:eastAsia="黑体" w:hAnsi="黑体" w:cs="Times New Roman"/>
          <w:sz w:val="32"/>
          <w:szCs w:val="32"/>
        </w:rPr>
      </w:pPr>
      <w:r w:rsidRPr="00041FE0">
        <w:rPr>
          <w:rFonts w:ascii="黑体" w:eastAsia="黑体" w:hAnsi="黑体" w:cs="Times New Roman"/>
          <w:sz w:val="32"/>
          <w:szCs w:val="32"/>
        </w:rPr>
        <w:t>四、实验结果</w:t>
      </w:r>
      <w:r w:rsidR="00202F8F" w:rsidRPr="00041FE0">
        <w:rPr>
          <w:rFonts w:ascii="黑体" w:eastAsia="黑体" w:hAnsi="黑体" w:cs="Times New Roman"/>
          <w:sz w:val="32"/>
          <w:szCs w:val="32"/>
        </w:rPr>
        <w:t>及分析</w:t>
      </w:r>
    </w:p>
    <w:p w:rsidR="00AC142E" w:rsidRDefault="001D527C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1D527C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4329084"/>
            <wp:effectExtent l="0" t="0" r="2540" b="0"/>
            <wp:docPr id="2" name="图片 2" descr="F:\季雅惠2018\2018-2019-2 协作通信与网络(研讨)\fi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季雅惠2018\2018-2019-2 协作通信与网络(研讨)\fig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15" w:rsidRDefault="003006C1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7D4E3E" w:rsidRPr="004B6AFF">
        <w:rPr>
          <w:rFonts w:ascii="Times New Roman" w:eastAsia="楷体" w:hAnsi="Times New Roman" w:cs="Times New Roman" w:hint="eastAsia"/>
          <w:sz w:val="24"/>
          <w:szCs w:val="24"/>
        </w:rPr>
        <w:t>自由空间路径损耗模型</w:t>
      </w:r>
    </w:p>
    <w:p w:rsidR="003006C1" w:rsidRDefault="00B8555B" w:rsidP="00B8555B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C2175">
        <w:rPr>
          <w:rFonts w:ascii="Times New Roman" w:eastAsia="楷体" w:hAnsi="Times New Roman" w:cs="Times New Roman" w:hint="eastAsia"/>
          <w:b/>
          <w:sz w:val="24"/>
          <w:szCs w:val="24"/>
        </w:rPr>
        <w:t>结果分析：</w:t>
      </w:r>
      <w:r w:rsidR="0018071E">
        <w:rPr>
          <w:rFonts w:ascii="Times New Roman" w:eastAsia="楷体" w:hAnsi="Times New Roman" w:cs="Times New Roman" w:hint="eastAsia"/>
          <w:sz w:val="24"/>
          <w:szCs w:val="24"/>
        </w:rPr>
        <w:t>图</w:t>
      </w:r>
      <w:r w:rsidR="0018071E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18071E">
        <w:rPr>
          <w:rFonts w:ascii="Times New Roman" w:eastAsia="楷体" w:hAnsi="Times New Roman" w:cs="Times New Roman" w:hint="eastAsia"/>
          <w:sz w:val="24"/>
          <w:szCs w:val="24"/>
        </w:rPr>
        <w:t>显示了自由空间的路径损耗随距离变化的曲线，可以看出路径损耗</w:t>
      </w:r>
      <w:r w:rsidR="0018071E">
        <w:rPr>
          <w:rFonts w:ascii="Times New Roman" w:eastAsia="楷体" w:hAnsi="Times New Roman" w:cs="Times New Roman" w:hint="eastAsia"/>
          <w:sz w:val="24"/>
          <w:szCs w:val="24"/>
        </w:rPr>
        <w:t>[</w:t>
      </w:r>
      <w:r w:rsidR="0018071E">
        <w:rPr>
          <w:rFonts w:ascii="Times New Roman" w:eastAsia="楷体" w:hAnsi="Times New Roman" w:cs="Times New Roman"/>
          <w:sz w:val="24"/>
          <w:szCs w:val="24"/>
        </w:rPr>
        <w:t>dB]</w:t>
      </w:r>
      <w:r w:rsidR="0018071E">
        <w:rPr>
          <w:rFonts w:ascii="Times New Roman" w:eastAsia="楷体" w:hAnsi="Times New Roman" w:cs="Times New Roman" w:hint="eastAsia"/>
          <w:sz w:val="24"/>
          <w:szCs w:val="24"/>
        </w:rPr>
        <w:t>与距离的对数呈线性关系，且两端天线增益越小，</w:t>
      </w:r>
      <w:r w:rsidR="00B463A8">
        <w:rPr>
          <w:rFonts w:ascii="Times New Roman" w:eastAsia="楷体" w:hAnsi="Times New Roman" w:cs="Times New Roman" w:hint="eastAsia"/>
          <w:sz w:val="24"/>
          <w:szCs w:val="24"/>
        </w:rPr>
        <w:t>路径损耗越大。</w:t>
      </w:r>
    </w:p>
    <w:p w:rsidR="004E7F15" w:rsidRDefault="006851D0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851D0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4330381"/>
            <wp:effectExtent l="0" t="0" r="2540" b="0"/>
            <wp:docPr id="5" name="图片 5" descr="F:\季雅惠2018\2018-2019-2 协作通信与网络(研讨)\61516216季雅惠\Figure\fi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季雅惠2018\2018-2019-2 协作通信与网络(研讨)\61516216季雅惠\Figure\fig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15" w:rsidRDefault="007D4E3E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4B6AFF">
        <w:rPr>
          <w:rFonts w:ascii="Times New Roman" w:eastAsia="楷体" w:hAnsi="Times New Roman" w:cs="Times New Roman" w:hint="eastAsia"/>
          <w:sz w:val="24"/>
          <w:szCs w:val="24"/>
        </w:rPr>
        <w:t>对数距离路径损耗模型</w:t>
      </w:r>
    </w:p>
    <w:p w:rsidR="00D016CB" w:rsidRDefault="00D016CB" w:rsidP="00D016CB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016CB">
        <w:rPr>
          <w:rFonts w:ascii="Times New Roman" w:eastAsia="楷体" w:hAnsi="Times New Roman" w:cs="Times New Roman" w:hint="eastAsia"/>
          <w:b/>
          <w:sz w:val="24"/>
          <w:szCs w:val="24"/>
        </w:rPr>
        <w:t>结果分析：</w:t>
      </w: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3C1AA6">
        <w:rPr>
          <w:rFonts w:ascii="Times New Roman" w:eastAsia="楷体" w:hAnsi="Times New Roman" w:cs="Times New Roman" w:hint="eastAsia"/>
          <w:sz w:val="24"/>
          <w:szCs w:val="24"/>
        </w:rPr>
        <w:t>显示了</w:t>
      </w:r>
      <w:r w:rsidR="006851D0" w:rsidRPr="004B6AFF">
        <w:rPr>
          <w:rFonts w:ascii="Times New Roman" w:eastAsia="楷体" w:hAnsi="Times New Roman" w:cs="Times New Roman" w:hint="eastAsia"/>
          <w:sz w:val="24"/>
          <w:szCs w:val="24"/>
        </w:rPr>
        <w:t>对数距离路径损耗</w:t>
      </w:r>
      <w:r w:rsidR="006851D0">
        <w:rPr>
          <w:rFonts w:ascii="Times New Roman" w:eastAsia="楷体" w:hAnsi="Times New Roman" w:cs="Times New Roman" w:hint="eastAsia"/>
          <w:sz w:val="24"/>
          <w:szCs w:val="24"/>
        </w:rPr>
        <w:t>随</w:t>
      </w:r>
      <w:r w:rsidR="00676434">
        <w:rPr>
          <w:rFonts w:ascii="Times New Roman" w:eastAsia="楷体" w:hAnsi="Times New Roman" w:cs="Times New Roman" w:hint="eastAsia"/>
          <w:sz w:val="24"/>
          <w:szCs w:val="24"/>
        </w:rPr>
        <w:t>路径损耗指数变化的曲线，注意此时</w:t>
      </w:r>
      <w:r w:rsidR="00147BA1">
        <w:rPr>
          <w:rFonts w:ascii="Times New Roman" w:eastAsia="楷体" w:hAnsi="Times New Roman" w:cs="Times New Roman" w:hint="eastAsia"/>
          <w:sz w:val="24"/>
          <w:szCs w:val="24"/>
        </w:rPr>
        <w:t>距离应大于参考距离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</m:oMath>
      <w:r w:rsidR="00147BA1">
        <w:rPr>
          <w:rFonts w:ascii="Times New Roman" w:eastAsia="楷体" w:hAnsi="Times New Roman" w:cs="Times New Roman" w:hint="eastAsia"/>
          <w:sz w:val="24"/>
          <w:szCs w:val="24"/>
        </w:rPr>
        <w:t>才有意义，</w:t>
      </w:r>
      <w:r w:rsidR="00106BE0">
        <w:rPr>
          <w:rFonts w:ascii="Times New Roman" w:eastAsia="楷体" w:hAnsi="Times New Roman" w:cs="Times New Roman" w:hint="eastAsia"/>
          <w:sz w:val="24"/>
          <w:szCs w:val="24"/>
        </w:rPr>
        <w:t>可以看出，路径损耗随路径损耗指数的增大而增大。</w:t>
      </w:r>
    </w:p>
    <w:p w:rsidR="004E7F15" w:rsidRDefault="003E019E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3E019E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4330381"/>
            <wp:effectExtent l="0" t="0" r="2540" b="0"/>
            <wp:docPr id="6" name="图片 6" descr="F:\季雅惠2018\2018-2019-2 协作通信与网络(研讨)\61516216季雅惠\Figure\fi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季雅惠2018\2018-2019-2 协作通信与网络(研讨)\61516216季雅惠\Figure\fig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3E" w:rsidRDefault="007D4E3E" w:rsidP="001D527C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4B6AFF">
        <w:rPr>
          <w:rFonts w:ascii="Times New Roman" w:eastAsia="楷体" w:hAnsi="Times New Roman" w:cs="Times New Roman" w:hint="eastAsia"/>
          <w:sz w:val="24"/>
          <w:szCs w:val="24"/>
        </w:rPr>
        <w:t>对数正态阴影衰落路径损耗模型</w:t>
      </w:r>
    </w:p>
    <w:p w:rsidR="00451626" w:rsidRDefault="0042600E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734CA5">
        <w:rPr>
          <w:rFonts w:ascii="Times New Roman" w:eastAsia="楷体" w:hAnsi="Times New Roman" w:cs="Times New Roman" w:hint="eastAsia"/>
          <w:b/>
          <w:sz w:val="24"/>
          <w:szCs w:val="24"/>
        </w:rPr>
        <w:t>结果分析：</w:t>
      </w:r>
      <w:r w:rsidR="00734CA5">
        <w:rPr>
          <w:rFonts w:ascii="Times New Roman" w:eastAsia="楷体" w:hAnsi="Times New Roman" w:cs="Times New Roman" w:hint="eastAsia"/>
          <w:sz w:val="24"/>
          <w:szCs w:val="24"/>
        </w:rPr>
        <w:t>图</w:t>
      </w:r>
      <w:r w:rsidR="00734CA5">
        <w:rPr>
          <w:rFonts w:ascii="Times New Roman" w:eastAsia="楷体" w:hAnsi="Times New Roman" w:cs="Times New Roman"/>
          <w:sz w:val="24"/>
          <w:szCs w:val="24"/>
        </w:rPr>
        <w:t>3</w:t>
      </w:r>
      <w:r w:rsidR="003C1AA6">
        <w:rPr>
          <w:rFonts w:ascii="Times New Roman" w:eastAsia="楷体" w:hAnsi="Times New Roman" w:cs="Times New Roman" w:hint="eastAsia"/>
          <w:sz w:val="24"/>
          <w:szCs w:val="24"/>
        </w:rPr>
        <w:t>显示了</w:t>
      </w:r>
      <w:r w:rsidR="00B102EF" w:rsidRPr="004B6AFF">
        <w:rPr>
          <w:rFonts w:ascii="Times New Roman" w:eastAsia="楷体" w:hAnsi="Times New Roman" w:cs="Times New Roman" w:hint="eastAsia"/>
          <w:sz w:val="24"/>
          <w:szCs w:val="24"/>
        </w:rPr>
        <w:t>对数正态阴影衰落路径损耗</w:t>
      </w:r>
      <w:r w:rsidR="00D9118D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06BE0">
        <w:rPr>
          <w:rFonts w:ascii="Times New Roman" w:eastAsia="楷体" w:hAnsi="Times New Roman" w:cs="Times New Roman" w:hint="eastAsia"/>
          <w:sz w:val="24"/>
          <w:szCs w:val="24"/>
        </w:rPr>
        <w:t>同样此时距离应大于参考距离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</m:oMath>
      <w:r w:rsidR="00106BE0">
        <w:rPr>
          <w:rFonts w:ascii="Times New Roman" w:eastAsia="楷体" w:hAnsi="Times New Roman" w:cs="Times New Roman" w:hint="eastAsia"/>
          <w:sz w:val="24"/>
          <w:szCs w:val="24"/>
        </w:rPr>
        <w:t>才有意义</w:t>
      </w:r>
      <w:r w:rsidR="00D9118D">
        <w:rPr>
          <w:rFonts w:ascii="Times New Roman" w:eastAsia="楷体" w:hAnsi="Times New Roman" w:cs="Times New Roman" w:hint="eastAsia"/>
          <w:sz w:val="24"/>
          <w:szCs w:val="24"/>
        </w:rPr>
        <w:t>，可以看出，</w:t>
      </w:r>
      <w:r w:rsidR="00B102EF" w:rsidRPr="004B6AFF">
        <w:rPr>
          <w:rFonts w:ascii="Times New Roman" w:eastAsia="楷体" w:hAnsi="Times New Roman" w:cs="Times New Roman" w:hint="eastAsia"/>
          <w:sz w:val="24"/>
          <w:szCs w:val="24"/>
        </w:rPr>
        <w:t>正态阴影衰落</w:t>
      </w:r>
      <w:r w:rsidR="00B102EF">
        <w:rPr>
          <w:rFonts w:ascii="Times New Roman" w:eastAsia="楷体" w:hAnsi="Times New Roman" w:cs="Times New Roman" w:hint="eastAsia"/>
          <w:sz w:val="24"/>
          <w:szCs w:val="24"/>
        </w:rPr>
        <w:t>在确定性的对数距离路径损耗上叠加了随机效应。</w:t>
      </w:r>
    </w:p>
    <w:p w:rsidR="0042600E" w:rsidRDefault="0042600E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6D412F" w:rsidRPr="00451626" w:rsidRDefault="006D412F" w:rsidP="00E95504">
      <w:pPr>
        <w:spacing w:line="360" w:lineRule="auto"/>
        <w:rPr>
          <w:rFonts w:ascii="黑体" w:eastAsia="黑体" w:hAnsi="黑体" w:cs="Times New Roman"/>
          <w:sz w:val="32"/>
          <w:szCs w:val="32"/>
        </w:rPr>
      </w:pPr>
      <w:r w:rsidRPr="00451626">
        <w:rPr>
          <w:rFonts w:ascii="黑体" w:eastAsia="黑体" w:hAnsi="黑体" w:cs="Times New Roman" w:hint="eastAsia"/>
          <w:sz w:val="32"/>
          <w:szCs w:val="32"/>
        </w:rPr>
        <w:t>五、实验总结</w:t>
      </w:r>
    </w:p>
    <w:p w:rsidR="00290147" w:rsidRDefault="0042600E" w:rsidP="00E95504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1.</w:t>
      </w:r>
      <w:r w:rsidR="009D016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D0161">
        <w:rPr>
          <w:rFonts w:ascii="Times New Roman" w:eastAsia="楷体" w:hAnsi="Times New Roman" w:cs="Times New Roman" w:hint="eastAsia"/>
          <w:sz w:val="24"/>
          <w:szCs w:val="24"/>
        </w:rPr>
        <w:t>通过本次实验，我们掌握了三种常用的路径损耗模型及其编程表示，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对电磁波在空间传播时的路径损耗有了深入的认识。</w:t>
      </w:r>
    </w:p>
    <w:p w:rsidR="0042600E" w:rsidRDefault="0042600E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="000A3DA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重新回顾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M</w:t>
      </w:r>
      <w:r w:rsidR="000A3DA1">
        <w:rPr>
          <w:rFonts w:ascii="Times New Roman" w:eastAsia="楷体" w:hAnsi="Times New Roman" w:cs="Times New Roman"/>
          <w:sz w:val="24"/>
          <w:szCs w:val="24"/>
        </w:rPr>
        <w:t>ATLAB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的使用，包括编写代码、绘制图像、修改图像、存储图像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0A3DA1">
        <w:rPr>
          <w:rFonts w:ascii="Times New Roman" w:eastAsia="楷体" w:hAnsi="Times New Roman" w:cs="Times New Roman"/>
          <w:sz w:val="24"/>
          <w:szCs w:val="24"/>
        </w:rPr>
        <w:t>.fig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与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="000A3DA1">
        <w:rPr>
          <w:rFonts w:ascii="Times New Roman" w:eastAsia="楷体" w:hAnsi="Times New Roman" w:cs="Times New Roman"/>
          <w:sz w:val="24"/>
          <w:szCs w:val="24"/>
        </w:rPr>
        <w:t>bmp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格式</w:t>
      </w:r>
      <w:r w:rsidR="000A3DA1">
        <w:rPr>
          <w:rFonts w:ascii="Times New Roman" w:eastAsia="楷体" w:hAnsi="Times New Roman" w:cs="Times New Roman"/>
          <w:sz w:val="24"/>
          <w:szCs w:val="24"/>
        </w:rPr>
        <w:t>)</w:t>
      </w:r>
      <w:r w:rsidR="000A3DA1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42600E" w:rsidRPr="00D942FA" w:rsidRDefault="0042600E" w:rsidP="00E9550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="00BC2C5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EF549F">
        <w:rPr>
          <w:rFonts w:ascii="Times New Roman" w:eastAsia="楷体" w:hAnsi="Times New Roman" w:cs="Times New Roman" w:hint="eastAsia"/>
          <w:sz w:val="24"/>
          <w:szCs w:val="24"/>
        </w:rPr>
        <w:t>跟武博士学习了一些很好的编程习惯，</w:t>
      </w:r>
      <w:r w:rsidR="00EA7E49">
        <w:rPr>
          <w:rFonts w:ascii="Times New Roman" w:eastAsia="楷体" w:hAnsi="Times New Roman" w:cs="Times New Roman" w:hint="eastAsia"/>
          <w:sz w:val="24"/>
          <w:szCs w:val="24"/>
        </w:rPr>
        <w:t>如</w:t>
      </w:r>
      <w:r w:rsidR="001B245E">
        <w:rPr>
          <w:rFonts w:ascii="Times New Roman" w:eastAsia="楷体" w:hAnsi="Times New Roman" w:cs="Times New Roman" w:hint="eastAsia"/>
          <w:sz w:val="24"/>
          <w:szCs w:val="24"/>
        </w:rPr>
        <w:t>为</w:t>
      </w:r>
      <w:r w:rsidR="001B245E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="001B245E">
        <w:rPr>
          <w:rFonts w:ascii="Times New Roman" w:eastAsia="楷体" w:hAnsi="Times New Roman" w:cs="Times New Roman"/>
          <w:sz w:val="24"/>
          <w:szCs w:val="24"/>
        </w:rPr>
        <w:t>m</w:t>
      </w:r>
      <w:r w:rsidR="001B245E">
        <w:rPr>
          <w:rFonts w:ascii="Times New Roman" w:eastAsia="楷体" w:hAnsi="Times New Roman" w:cs="Times New Roman" w:hint="eastAsia"/>
          <w:sz w:val="24"/>
          <w:szCs w:val="24"/>
        </w:rPr>
        <w:t>文件添加</w:t>
      </w:r>
      <w:r w:rsidR="00D36730">
        <w:rPr>
          <w:rFonts w:ascii="Times New Roman" w:eastAsia="楷体" w:hAnsi="Times New Roman" w:cs="Times New Roman" w:hint="eastAsia"/>
          <w:sz w:val="24"/>
          <w:szCs w:val="24"/>
        </w:rPr>
        <w:t>代码编写信息</w:t>
      </w:r>
      <w:r w:rsidR="00D36730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D36730">
        <w:rPr>
          <w:rFonts w:ascii="Times New Roman" w:eastAsia="楷体" w:hAnsi="Times New Roman" w:cs="Times New Roman" w:hint="eastAsia"/>
          <w:sz w:val="24"/>
          <w:szCs w:val="24"/>
        </w:rPr>
        <w:t>编程者，所在单位，日期，改编自或开源自</w:t>
      </w:r>
      <w:r w:rsidR="00D36730">
        <w:rPr>
          <w:rFonts w:ascii="Times New Roman" w:eastAsia="楷体" w:hAnsi="Times New Roman" w:cs="Times New Roman"/>
          <w:sz w:val="24"/>
          <w:szCs w:val="24"/>
        </w:rPr>
        <w:t>)</w:t>
      </w:r>
      <w:r w:rsidR="001B245E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A7E49">
        <w:rPr>
          <w:rFonts w:ascii="Times New Roman" w:eastAsia="楷体" w:hAnsi="Times New Roman" w:cs="Times New Roman" w:hint="eastAsia"/>
          <w:sz w:val="24"/>
          <w:szCs w:val="24"/>
        </w:rPr>
        <w:t>合理地</w:t>
      </w:r>
      <w:r w:rsidR="00F41370">
        <w:rPr>
          <w:rFonts w:ascii="Times New Roman" w:eastAsia="楷体" w:hAnsi="Times New Roman" w:cs="Times New Roman" w:hint="eastAsia"/>
          <w:sz w:val="24"/>
          <w:szCs w:val="24"/>
        </w:rPr>
        <w:t>给代码添加必要的</w:t>
      </w:r>
      <w:r w:rsidR="00EA7E49">
        <w:rPr>
          <w:rFonts w:ascii="Times New Roman" w:eastAsia="楷体" w:hAnsi="Times New Roman" w:cs="Times New Roman" w:hint="eastAsia"/>
          <w:sz w:val="24"/>
          <w:szCs w:val="24"/>
        </w:rPr>
        <w:t>注释</w:t>
      </w:r>
      <w:r w:rsidR="001B245E">
        <w:rPr>
          <w:rFonts w:ascii="Times New Roman" w:eastAsia="楷体" w:hAnsi="Times New Roman" w:cs="Times New Roman" w:hint="eastAsia"/>
          <w:sz w:val="24"/>
          <w:szCs w:val="24"/>
        </w:rPr>
        <w:t>等。</w:t>
      </w:r>
    </w:p>
    <w:p w:rsidR="001B245E" w:rsidRPr="00D942FA" w:rsidRDefault="001B245E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bookmarkStart w:id="0" w:name="_GoBack"/>
      <w:bookmarkEnd w:id="0"/>
    </w:p>
    <w:sectPr w:rsidR="001B245E" w:rsidRPr="00D9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89"/>
    <w:rsid w:val="00041FE0"/>
    <w:rsid w:val="00062DEF"/>
    <w:rsid w:val="00063700"/>
    <w:rsid w:val="000A3DA1"/>
    <w:rsid w:val="000E4537"/>
    <w:rsid w:val="00106BE0"/>
    <w:rsid w:val="00131D3B"/>
    <w:rsid w:val="001429BA"/>
    <w:rsid w:val="00147BA1"/>
    <w:rsid w:val="001803D7"/>
    <w:rsid w:val="0018071E"/>
    <w:rsid w:val="001A3FC0"/>
    <w:rsid w:val="001B245E"/>
    <w:rsid w:val="001C5D2F"/>
    <w:rsid w:val="001D2042"/>
    <w:rsid w:val="001D527C"/>
    <w:rsid w:val="00202F8F"/>
    <w:rsid w:val="00231A60"/>
    <w:rsid w:val="002424FC"/>
    <w:rsid w:val="00262376"/>
    <w:rsid w:val="002648F5"/>
    <w:rsid w:val="00290147"/>
    <w:rsid w:val="003006C1"/>
    <w:rsid w:val="00317B2F"/>
    <w:rsid w:val="003240A6"/>
    <w:rsid w:val="003530CC"/>
    <w:rsid w:val="003A6D37"/>
    <w:rsid w:val="003C1AA6"/>
    <w:rsid w:val="003E019E"/>
    <w:rsid w:val="003F4936"/>
    <w:rsid w:val="0042600E"/>
    <w:rsid w:val="004275ED"/>
    <w:rsid w:val="00440243"/>
    <w:rsid w:val="0044523E"/>
    <w:rsid w:val="00451626"/>
    <w:rsid w:val="0048768D"/>
    <w:rsid w:val="004B606A"/>
    <w:rsid w:val="004B6AFF"/>
    <w:rsid w:val="004E7F15"/>
    <w:rsid w:val="004E7F1A"/>
    <w:rsid w:val="005650A8"/>
    <w:rsid w:val="00676434"/>
    <w:rsid w:val="006851D0"/>
    <w:rsid w:val="0069050B"/>
    <w:rsid w:val="006D412F"/>
    <w:rsid w:val="00711459"/>
    <w:rsid w:val="0072791C"/>
    <w:rsid w:val="00734CA5"/>
    <w:rsid w:val="0074432B"/>
    <w:rsid w:val="00777D9F"/>
    <w:rsid w:val="00787A6B"/>
    <w:rsid w:val="007A045C"/>
    <w:rsid w:val="007D4E3E"/>
    <w:rsid w:val="00857E4F"/>
    <w:rsid w:val="0087607D"/>
    <w:rsid w:val="00883DA8"/>
    <w:rsid w:val="0088498C"/>
    <w:rsid w:val="008A13EF"/>
    <w:rsid w:val="00921561"/>
    <w:rsid w:val="00966EE7"/>
    <w:rsid w:val="009A7B01"/>
    <w:rsid w:val="009D0161"/>
    <w:rsid w:val="00A513AA"/>
    <w:rsid w:val="00A72038"/>
    <w:rsid w:val="00AA18BF"/>
    <w:rsid w:val="00AC142E"/>
    <w:rsid w:val="00AC3410"/>
    <w:rsid w:val="00B102EF"/>
    <w:rsid w:val="00B463A8"/>
    <w:rsid w:val="00B51C20"/>
    <w:rsid w:val="00B74B14"/>
    <w:rsid w:val="00B8098A"/>
    <w:rsid w:val="00B8555B"/>
    <w:rsid w:val="00BC2C56"/>
    <w:rsid w:val="00BC6504"/>
    <w:rsid w:val="00BE79D0"/>
    <w:rsid w:val="00C06032"/>
    <w:rsid w:val="00C62DB2"/>
    <w:rsid w:val="00C63CFD"/>
    <w:rsid w:val="00D016CB"/>
    <w:rsid w:val="00D36730"/>
    <w:rsid w:val="00D602AA"/>
    <w:rsid w:val="00D9118D"/>
    <w:rsid w:val="00D942FA"/>
    <w:rsid w:val="00D9628A"/>
    <w:rsid w:val="00DC2175"/>
    <w:rsid w:val="00E156D0"/>
    <w:rsid w:val="00E50D50"/>
    <w:rsid w:val="00E55689"/>
    <w:rsid w:val="00E95504"/>
    <w:rsid w:val="00EA7E49"/>
    <w:rsid w:val="00ED2B57"/>
    <w:rsid w:val="00EF549F"/>
    <w:rsid w:val="00F05514"/>
    <w:rsid w:val="00F11B9A"/>
    <w:rsid w:val="00F41370"/>
    <w:rsid w:val="00F660FC"/>
    <w:rsid w:val="00F91B4F"/>
    <w:rsid w:val="00FA79F3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D593"/>
  <w15:chartTrackingRefBased/>
  <w15:docId w15:val="{D06AF9C0-97AC-411B-AE6C-A7924CA4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6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628A"/>
    <w:rPr>
      <w:color w:val="808080"/>
    </w:rPr>
  </w:style>
  <w:style w:type="table" w:styleId="a5">
    <w:name w:val="Table Grid"/>
    <w:basedOn w:val="a1"/>
    <w:uiPriority w:val="39"/>
    <w:rsid w:val="004E7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2018-10-29T16:09:00Z</dcterms:created>
  <dcterms:modified xsi:type="dcterms:W3CDTF">2018-10-29T20:38:00Z</dcterms:modified>
</cp:coreProperties>
</file>