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VCO step-response test (Crystek VCO, Vt driven by Syscomp CGR-201)</w:t>
      </w:r>
    </w:p>
    <w:p>
      <w:r>
        <w:t>Measured 10 October 2026. Square wave at 50 kHz on Vt, low level 0.5 V, high level stepped from 0.75 V to 3.0 V. Drive on scope CH1, VCO RF output on scope CH2 (Siglent SDS1104X-E, 500 MSa/s). Vcc 11.5 V. 1112 rising edges averaged per level.</w:t>
      </w:r>
    </w:p>
    <w:p>
      <w:pPr>
        <w:pStyle w:val="Heading1"/>
      </w:pPr>
      <w:r>
        <w:t>Summary</w:t>
      </w:r>
    </w:p>
    <w:p>
      <w:pPr>
        <w:pStyle w:val="ListBullet"/>
      </w:pPr>
      <w:r>
        <w:t>The VCO's frequency rises in 100-176 ns (10-90 %) for every step, but this is limited by the Syscomp's own edge (about 145 ns), not by the VCO.</w:t>
      </w:r>
    </w:p>
    <w:p>
      <w:pPr>
        <w:pStyle w:val="ListBullet"/>
      </w:pPr>
      <w:r>
        <w:t>Mapping the measured drive waveform through the tuning curve reproduces the frequency trace with a lag of 0-12 ns, below the roughly 20 ns resolution of this setup.</w:t>
      </w:r>
    </w:p>
    <w:p>
      <w:pPr>
        <w:pStyle w:val="ListBullet"/>
      </w:pPr>
      <w:r>
        <w:t>The rise time varies with voltage because the tuning curve is not a straight line: it is steepest around 1.5-2.25 V.</w:t>
      </w:r>
    </w:p>
    <w:p>
      <w:pPr>
        <w:pStyle w:val="ListBullet"/>
      </w:pPr>
      <w:r>
        <w:t>The settled frequency differs from the earlier spectrum-analyzer table by up to about 10 MHz (765 MHz versus 751 MHz at 0.5 V). The VCO was driving an unterminated 1 Mohm scope input here, which may explain it; this was not tested.</w:t>
      </w:r>
    </w:p>
    <w:p>
      <w:pPr>
        <w:pStyle w:val="ListBullet"/>
      </w:pPr>
      <w:r>
        <w:t>The scope cannot sample 765-875 MHz directly. The signal was recorded as an alias (235-125 MHz) and unfolded; a static check at 1 GSa/s confirmed the unfolding.</w:t>
      </w:r>
    </w:p>
    <w:p>
      <w:pPr>
        <w:pStyle w:val="Heading1"/>
      </w:pPr>
      <w:r>
        <w:t>Rise time vs input voltage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e_time_vs_volt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10-90 % rise time of the VCO frequency and of the drive voltage, versus the square wave's high level. Error bars are the scatter between four subsets of the captures.</w:t>
      </w:r>
    </w:p>
    <w:p>
      <w:pPr>
        <w:pStyle w:val="Heading1"/>
      </w:pPr>
      <w:r>
        <w:t>Frequency vs time</w:t>
      </w:r>
    </w:p>
    <w:p>
      <w:r>
        <w:drawing>
          <wp:inline xmlns:a="http://schemas.openxmlformats.org/drawingml/2006/main" xmlns:pic="http://schemas.openxmlformats.org/drawingml/2006/picture">
            <wp:extent cx="576072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vs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Top: averaged drive voltage on Vt. Bottom: averaged VCO frequency through the step, for each high level. Time zero is the drive's 50 % crossing.</w:t>
      </w:r>
    </w:p>
    <w:p>
      <w:pPr>
        <w:pStyle w:val="Heading1"/>
      </w:pPr>
      <w:r>
        <w:t>Settled frequency vs tuning voltage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vs_vol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Settled frequency after each step, the static DC tuning curve measured the same day, the expected value from the spectrum-analyzer table in 'VCO tests.xlsx', and the 0.8 GHz + 60 MHz/V line.</w:t>
      </w:r>
    </w:p>
    <w:p>
      <w:pPr>
        <w:pStyle w:val="Heading1"/>
      </w:pPr>
      <w:r>
        <w:t>Data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6"/>
              </w:rPr>
              <w:t>Square wave (kHz)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 level set (V)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 level measured (V)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Expected freq. (MHz)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Measured freq. (MHz)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Freq. rise 10-90 % (ns)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Settle to 5 % (ns)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Drive rise 10-90 % (ns)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764.8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769.9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131 +/- 2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778.1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774.7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125 +/- 5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148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1.248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788.8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780.5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145 +/- 2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1.491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799.5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791.5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176 +/- 1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1.75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1.752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813.5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816.6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166 +/- 1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1.996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827.5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836.9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149 +/- 0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144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2.260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841.2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850.1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120 +/- 0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144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2.502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854.5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859.0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108 +/- 0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2.75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2.758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868.2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866.9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101 +/- 0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2.997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884.4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875.0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104 +/- 0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145</w:t>
            </w:r>
          </w:p>
        </w:tc>
      </w:tr>
    </w:tbl>
    <w:p>
      <w:r>
        <w:t>Low level: set 0.50 V, measured 0.501 V, 765.3 MHz (expected 751.4 MHz). Raw captures and scripts: clinic/vco_rise_time/data/20261010_155415/.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