
<file path=[Content_Types].xml><?xml version="1.0" encoding="utf-8"?>
<Types xmlns="http://schemas.openxmlformats.org/package/2006/content-types">
  <Default Extension="xml" ContentType="application/xml"/>
  <Default Extension="rels" ContentType="application/vnd.openxmlformats-package.relationships+xml"/>
  <Override PartName="/word/footnotes.xml" ContentType="application/vnd.openxmlformats-officedocument.wordprocessingml.footnotes+xml"/>
  <Override PartName="/word/footer3.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word/styles.xml" ContentType="application/vnd.openxmlformats-officedocument.wordprocessingml.styles+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pStyle w:val="000006"/>
        <w:keepNext w:val="0"/>
        <w:keepLines w:val="0"/>
        <w:widowControl w:val="1"/>
        <w:rPr/>
      </w:pPr>
      <w:r>
        <w:rPr>
          <w:rFonts w:hint="eastAsia"/>
        </w:rPr>
        <w:t>AI泡沫，资本狂欢？RPA 如何借势 Agent 在金融经济领域</w:t>
      </w:r>
      <w:r>
        <w:rPr>
          <w:rFonts w:hint="eastAsia"/>
          <w:highlight w:val="yellow"/>
        </w:rPr>
        <w:t>脱胎换骨</w:t>
      </w:r>
      <w:r>
        <w:rPr>
          <w:rFonts w:hint="eastAsia"/>
        </w:rPr>
        <w:t>？</w:t>
      </w:r>
    </w:p>
    <w:p>
      <w:pPr>
        <w:ind w:firstLine="480"/>
        <w:rPr/>
      </w:pPr>
      <w:r>
        <w:rPr>
          <w:rFonts w:hint="eastAsia"/>
        </w:rPr>
        <w:t xml:space="preserve">7.10 复制打开抖音，看看【差评前沿部的作品】起底Agent的滔天泡沫。 # manus # a... https://v.douyin.com/lUinQM9kigc/ TYM:/ r@e.bN 08/26 </w:t>
      </w:r>
    </w:p>
    <w:p>
      <w:pPr>
        <w:ind w:firstLine="480"/>
        <w:rPr/>
      </w:pPr>
    </w:p>
    <w:p>
      <w:pPr>
        <w:widowControl w:val="1"/>
        <w:ind w:firstLine="482"/>
        <w:jc w:val="left"/>
        <w:rPr/>
      </w:pPr>
      <w:r>
        <w:rPr>
          <w:rStyle w:val="000018"/>
          <w:rFonts w:ascii="宋体" w:hAnsi="宋体" w:eastAsia="宋体" w:cs="宋体"/>
          <w:kern w:val="0"/>
          <w:lang w:bidi="ar"/>
        </w:rPr>
        <w:t>选题方向</w:t>
      </w:r>
      <w:r>
        <w:rPr>
          <w:rFonts w:ascii="宋体" w:hAnsi="宋体" w:eastAsia="宋体" w:cs="宋体"/>
          <w:kern w:val="0"/>
          <w:lang w:bidi="ar"/>
        </w:rPr>
        <w:t>：产品</w:t>
      </w:r>
    </w:p>
    <w:p>
      <w:pPr>
        <w:widowControl w:val="1"/>
        <w:ind w:firstLine="482"/>
        <w:jc w:val="left"/>
        <w:rPr/>
      </w:pPr>
      <w:r>
        <w:rPr>
          <w:rStyle w:val="000018"/>
          <w:rFonts w:ascii="宋体" w:hAnsi="宋体" w:eastAsia="宋体" w:cs="宋体"/>
          <w:kern w:val="0"/>
          <w:lang w:bidi="ar"/>
        </w:rPr>
        <w:t>涉及产品/行业/品类</w:t>
      </w:r>
      <w:r>
        <w:rPr>
          <w:rFonts w:ascii="宋体" w:hAnsi="宋体" w:eastAsia="宋体" w:cs="宋体"/>
          <w:kern w:val="0"/>
          <w:lang w:bidi="ar"/>
        </w:rPr>
        <w:t>：教育/新文科/面向数字经济专业、金融科技专业</w:t>
      </w:r>
    </w:p>
    <w:p>
      <w:pPr>
        <w:widowControl w:val="1"/>
        <w:ind w:firstLine="482"/>
        <w:jc w:val="left"/>
        <w:rPr/>
      </w:pPr>
      <w:r>
        <w:rPr>
          <w:rStyle w:val="000018"/>
          <w:rFonts w:ascii="宋体" w:hAnsi="宋体" w:eastAsia="宋体" w:cs="宋体"/>
          <w:kern w:val="0"/>
          <w:lang w:bidi="ar"/>
        </w:rPr>
        <w:t>具体选题</w:t>
      </w:r>
      <w:r>
        <w:rPr>
          <w:rFonts w:ascii="宋体" w:hAnsi="宋体" w:eastAsia="宋体" w:cs="宋体"/>
          <w:kern w:val="0"/>
          <w:lang w:bidi="ar"/>
        </w:rPr>
        <w:t>：RPA技术在金融经济行业</w:t>
      </w:r>
      <w:r>
        <w:rPr>
          <w:rFonts w:ascii="宋体" w:hAnsi="宋体" w:eastAsia="宋体" w:cs="宋体"/>
          <w:kern w:val="0"/>
          <w:highlight w:val="yellow"/>
          <w:lang w:bidi="ar"/>
        </w:rPr>
        <w:t>应用市场需求</w:t>
      </w:r>
      <w:r>
        <w:rPr>
          <w:rFonts w:ascii="宋体" w:hAnsi="宋体" w:eastAsia="宋体" w:cs="宋体"/>
          <w:kern w:val="0"/>
          <w:lang w:bidi="ar"/>
        </w:rPr>
        <w:t>的调查</w:t>
      </w:r>
      <w:r>
        <w:rPr>
          <w:rFonts w:hint="eastAsia" w:ascii="宋体" w:hAnsi="宋体" w:eastAsia="宋体" w:cs="宋体"/>
          <w:kern w:val="0"/>
          <w:lang w:bidi="ar"/>
        </w:rPr>
        <w:t>。</w:t>
      </w:r>
    </w:p>
    <w:p>
      <w:pPr>
        <w:widowControl w:val="1"/>
        <w:ind w:firstLine="482"/>
        <w:jc w:val="left"/>
        <w:rPr>
          <w:rFonts w:ascii="宋体" w:hAnsi="宋体" w:eastAsia="宋体" w:cs="宋体"/>
          <w:kern w:val="0"/>
          <w:lang w:bidi="ar"/>
        </w:rPr>
      </w:pPr>
      <w:r>
        <w:rPr>
          <w:rStyle w:val="000018"/>
          <w:rFonts w:ascii="宋体" w:hAnsi="宋体" w:eastAsia="宋体" w:cs="宋体"/>
          <w:kern w:val="0"/>
          <w:lang w:bidi="ar"/>
        </w:rPr>
        <w:t>研究目标</w:t>
      </w:r>
      <w:r>
        <w:rPr>
          <w:rFonts w:ascii="宋体" w:hAnsi="宋体" w:eastAsia="宋体" w:cs="宋体"/>
          <w:kern w:val="0"/>
          <w:lang w:bidi="ar"/>
        </w:rPr>
        <w:t>：1. 探究RPA技术在财税领域的应用；2. 探究RPA技术在金融经济领域的应用；3. 分析RPA技术在金融经济领域未来的市场需求。</w:t>
      </w:r>
    </w:p>
    <w:p>
      <w:pPr>
        <w:widowControl w:val="1"/>
        <w:ind w:firstLine="482"/>
        <w:jc w:val="left"/>
        <w:rPr/>
      </w:pPr>
      <w:r>
        <w:rPr>
          <w:rStyle w:val="000018"/>
          <w:rFonts w:ascii="宋体" w:hAnsi="宋体" w:eastAsia="宋体" w:cs="宋体"/>
          <w:kern w:val="0"/>
          <w:lang w:bidi="ar"/>
        </w:rPr>
        <w:t>希望本次调研解决的问题</w:t>
      </w:r>
      <w:r>
        <w:rPr>
          <w:rFonts w:ascii="宋体" w:hAnsi="宋体" w:eastAsia="宋体" w:cs="宋体"/>
          <w:kern w:val="0"/>
          <w:lang w:bidi="ar"/>
        </w:rPr>
        <w:t>：1. 明确RPA技术在财税领域的具体</w:t>
      </w:r>
      <w:r>
        <w:rPr>
          <w:rFonts w:ascii="宋体" w:hAnsi="宋体" w:eastAsia="宋体" w:cs="宋体"/>
          <w:kern w:val="0"/>
          <w:highlight w:val="yellow"/>
          <w:lang w:bidi="ar"/>
        </w:rPr>
        <w:t>应用</w:t>
      </w:r>
      <w:r>
        <w:rPr>
          <w:rFonts w:ascii="宋体" w:hAnsi="宋体" w:eastAsia="宋体" w:cs="宋体"/>
          <w:kern w:val="0"/>
          <w:lang w:bidi="ar"/>
        </w:rPr>
        <w:t>情况，举出相关案例说明能解决什么问题以及使用RPA技术如何解决这些问题；2. 明确RPA技术在金融领域的具体应用情况，举出相关案例说明能解决什么问题以及使用RPA技术如何解决这些问题；3. 预判未来还有哪些金融领域的问题需要使用RPA技术解决，并分析如何通过RPA技术解决这些问题。</w:t>
      </w:r>
    </w:p>
    <w:p>
      <w:pPr>
        <w:widowControl w:val="1"/>
        <w:ind w:firstLine="482"/>
        <w:jc w:val="left"/>
        <w:rPr>
          <w:rFonts w:ascii="宋体" w:hAnsi="宋体" w:eastAsia="宋体" w:cs="宋体"/>
          <w:kern w:val="0"/>
          <w:lang w:bidi="ar"/>
        </w:rPr>
      </w:pPr>
      <w:r>
        <w:rPr>
          <w:rStyle w:val="000018"/>
          <w:rFonts w:ascii="宋体" w:hAnsi="宋体" w:eastAsia="宋体" w:cs="宋体"/>
          <w:kern w:val="0"/>
          <w:lang w:bidi="ar"/>
        </w:rPr>
        <w:t>关注的核心问题</w:t>
      </w:r>
      <w:r>
        <w:rPr>
          <w:rFonts w:ascii="宋体" w:hAnsi="宋体" w:eastAsia="宋体" w:cs="宋体"/>
          <w:kern w:val="0"/>
          <w:lang w:bidi="ar"/>
        </w:rPr>
        <w:t>：1. RPA技术在财税领域的具体应用案例中，客户需求点是什么、能解决什么问题、能为客户创造什么价值，以及在每个应用案例中都使用什么技术解决了这些问题；2. RPA技术在金融领域的具体应用案例中，客户需求点是什么、能解决什么问题、能为客户创造什么价值，以及在每个应用案例中都使用什么技术解决了这些问题；3. 未来三到五年，金融领域还有哪些可应用RPA技术的案例，这些案例中的客户需求点是什么、能解决什么问题、能为客户创造什么价值。</w:t>
      </w:r>
    </w:p>
    <w:p>
      <w:pPr>
        <w:widowControl w:val="1"/>
        <w:ind w:firstLine="480"/>
        <w:jc w:val="left"/>
        <w:rPr>
          <w:rFonts w:ascii="宋体" w:hAnsi="宋体" w:eastAsia="宋体" w:cs="宋体"/>
          <w:kern w:val="0"/>
          <w:lang w:bidi="ar"/>
        </w:rPr>
      </w:pPr>
    </w:p>
    <w:p>
      <w:pPr>
        <w:widowControl w:val="1"/>
        <w:ind w:firstLine="480"/>
        <w:jc w:val="left"/>
        <w:rPr>
          <w:rFonts w:ascii="宋体" w:hAnsi="宋体" w:eastAsia="宋体" w:cs="宋体"/>
          <w:kern w:val="0"/>
          <w:lang w:bidi="ar"/>
        </w:rPr>
      </w:pPr>
      <w:r>
        <w:rPr>
          <w:rFonts w:hint="eastAsia" w:ascii="宋体" w:hAnsi="宋体" w:eastAsia="宋体" w:cs="宋体"/>
          <w:kern w:val="0"/>
          <w:lang w:bidi="ar"/>
        </w:rPr>
        <w:t>一、按 “流程类型” 切入：聚焦 RPA 的核心能力适配、比如（企业中不同的部门需要特定的流程类型、业务场景等，在上述具体应用过程中会出现的相应的痛点），侧重于P</w:t>
      </w:r>
      <w:r>
        <w:rPr>
          <w:rFonts w:ascii="宋体" w:hAnsi="宋体" w:eastAsia="宋体" w:cs="宋体"/>
          <w:kern w:val="0"/>
          <w:lang w:bidi="ar"/>
        </w:rPr>
        <w:t>RA</w:t>
      </w:r>
      <w:r>
        <w:rPr>
          <w:rFonts w:hint="eastAsia" w:ascii="宋体" w:hAnsi="宋体" w:eastAsia="宋体" w:cs="宋体"/>
          <w:kern w:val="0"/>
          <w:lang w:bidi="ar"/>
        </w:rPr>
        <w:t>技术具体落地实施【对应目录中第三部分】</w:t>
      </w:r>
    </w:p>
    <w:p>
      <w:pPr>
        <w:widowControl w:val="1"/>
        <w:ind w:firstLine="480"/>
        <w:jc w:val="left"/>
        <w:rPr>
          <w:rFonts w:ascii="宋体" w:hAnsi="宋体" w:eastAsia="宋体" w:cs="宋体"/>
          <w:kern w:val="0"/>
          <w:lang w:bidi="ar"/>
        </w:rPr>
      </w:pPr>
      <w:r>
        <w:rPr>
          <w:rFonts w:hint="eastAsia" w:ascii="宋体" w:hAnsi="宋体" w:eastAsia="宋体" w:cs="宋体"/>
          <w:kern w:val="0"/>
          <w:lang w:bidi="ar"/>
        </w:rPr>
        <w:t>按 “技术融合” 切入：探索 RPA 的前沿应用边界、通用能力通用技术（节点设计、触发器、分类器）融合拓展，原能力（RPA+OCR/NLP/ 知识图谱 / 风控模型 / 规则引擎 / 大数据对接等）以及在上述不同领域融合以及应用过程中出现的相应痛点）【对应目录中第三部分】</w:t>
      </w:r>
    </w:p>
    <w:p>
      <w:pPr>
        <w:widowControl w:val="1"/>
        <w:ind w:firstLine="480"/>
        <w:jc w:val="left"/>
        <w:rPr>
          <w:rFonts w:ascii="宋体" w:hAnsi="宋体" w:eastAsia="宋体" w:cs="宋体"/>
          <w:kern w:val="0"/>
          <w:lang w:bidi="ar"/>
        </w:rPr>
      </w:pPr>
      <w:r>
        <w:rPr>
          <w:rFonts w:hint="eastAsia" w:ascii="宋体" w:hAnsi="宋体" w:eastAsia="宋体" w:cs="宋体"/>
          <w:kern w:val="0"/>
          <w:lang w:bidi="ar"/>
        </w:rPr>
        <w:t>二、按 金融经济的业务场景（机构、企业等）切入，以金融市场的分类为基础背景，聚焦垂直场景的流程痛点、孤立系统、手动搬运，在此基础上研究总结相应的局限以及痛点【对应目录中第四部分】</w:t>
      </w:r>
    </w:p>
    <w:p>
      <w:pPr>
        <w:widowControl w:val="1"/>
        <w:ind w:firstLine="420" w:firstLineChars="0"/>
        <w:jc w:val="left"/>
        <w:rPr>
          <w:rFonts w:ascii="宋体" w:hAnsi="宋体" w:eastAsia="宋体" w:cs="宋体"/>
          <w:kern w:val="0"/>
          <w:lang w:bidi="ar"/>
        </w:rPr>
      </w:pPr>
      <w:r>
        <w:rPr>
          <w:rFonts w:hint="eastAsia" w:ascii="宋体" w:hAnsi="宋体" w:eastAsia="宋体" w:cs="宋体"/>
          <w:kern w:val="0"/>
          <w:lang w:bidi="ar"/>
        </w:rPr>
        <w:t>三、按 “用户角色” 切入：关注不同群体的需求差异，明晰不同分类的用户分别采用何种技术与R</w:t>
      </w:r>
      <w:r>
        <w:rPr>
          <w:rFonts w:ascii="宋体" w:hAnsi="宋体" w:eastAsia="宋体" w:cs="宋体"/>
          <w:kern w:val="0"/>
          <w:lang w:bidi="ar"/>
        </w:rPr>
        <w:t>PA</w:t>
      </w:r>
      <w:r>
        <w:rPr>
          <w:rFonts w:hint="eastAsia" w:ascii="宋体" w:hAnsi="宋体" w:eastAsia="宋体" w:cs="宋体"/>
          <w:kern w:val="0"/>
          <w:lang w:bidi="ar"/>
        </w:rPr>
        <w:t>相适应。比如：产业链上下游主体（RPA 厂商、金融科技服务商、监管机构、高校），这些主体的诉求会直接驱动 RPA 技术的发展方向和市场落地节奏，此角度能全面预判 “未来 3-5 年的技术应用趋势与市场需求缺口”【对应目录中第五部分】</w:t>
      </w:r>
    </w:p>
    <w:p>
      <w:pPr>
        <w:widowControl w:val="1"/>
        <w:ind w:firstLine="420" w:firstLineChars="0"/>
        <w:jc w:val="left"/>
        <w:rPr>
          <w:rFonts w:hint="eastAsia" w:ascii="宋体" w:hAnsi="宋体" w:eastAsia="宋体" w:cs="宋体"/>
          <w:kern w:val="0"/>
          <w:lang w:bidi="ar"/>
        </w:rPr>
      </w:pPr>
      <w:bookmarkStart w:id="1" w:name="_GoBack"/>
      <w:bookmarkEnd w:id="1"/>
    </w:p>
    <w:p>
      <w:pPr>
        <w:widowControl w:val="1"/>
        <w:ind w:firstLine="0" w:firstLineChars="0"/>
        <w:jc w:val="left"/>
        <w:rPr>
          <w:rFonts w:ascii="宋体" w:hAnsi="宋体" w:eastAsia="宋体" w:cs="宋体"/>
          <w:kern w:val="0"/>
          <w:lang w:bidi="ar"/>
        </w:rPr>
      </w:pPr>
      <w:r>
        <w:rPr>
          <w:rFonts w:hint="eastAsia" w:ascii="宋体" w:hAnsi="宋体" w:eastAsia="宋体" w:cs="宋体"/>
          <w:kern w:val="0"/>
          <w:lang w:bidi="ar"/>
        </w:rPr>
        <w:t>第一阶段的任务：了解应用情况、RPA市场政策制度导向与规划，提炼出进一步的研究和数据整理的对象，搜集并整合相关的政策内容（围绕一、三、四部分的主题进行）</w:t>
      </w:r>
    </w:p>
    <w:p>
      <w:pPr>
        <w:widowControl w:val="1"/>
        <w:ind w:firstLine="0" w:firstLineChars="0"/>
        <w:jc w:val="left"/>
        <w:rPr>
          <w:rFonts w:ascii="宋体" w:hAnsi="宋体" w:eastAsia="宋体" w:cs="宋体"/>
          <w:kern w:val="0"/>
          <w:lang w:bidi="ar"/>
        </w:rPr>
      </w:pPr>
      <w:r>
        <w:rPr>
          <w:rFonts w:hint="eastAsia" w:ascii="宋体" w:hAnsi="宋体" w:eastAsia="宋体" w:cs="宋体"/>
          <w:kern w:val="0"/>
          <w:lang w:bidi="ar"/>
        </w:rPr>
        <w:t>第二阶段的任务：对第一阶段中提炼出的对象进行进一步了解，进行相应的数据整理以此来反映研究对象具体的发展状态</w:t>
      </w:r>
    </w:p>
    <w:p>
      <w:pPr>
        <w:widowControl w:val="1"/>
        <w:ind w:firstLine="0" w:firstLineChars="0"/>
        <w:jc w:val="left"/>
        <w:rPr>
          <w:rFonts w:ascii="宋体" w:hAnsi="宋体" w:eastAsia="宋体" w:cs="宋体"/>
          <w:kern w:val="0"/>
          <w:lang w:bidi="ar"/>
        </w:rPr>
      </w:pPr>
      <w:r>
        <w:rPr>
          <w:rFonts w:hint="eastAsia" w:ascii="宋体" w:hAnsi="宋体" w:eastAsia="宋体" w:cs="宋体"/>
          <w:kern w:val="0"/>
          <w:lang w:bidi="ar"/>
        </w:rPr>
        <w:t>第三阶段的任务：建模和分析</w:t>
      </w:r>
    </w:p>
    <w:p>
      <w:pPr>
        <w:widowControl w:val="1"/>
        <w:ind w:firstLine="0" w:firstLineChars="0"/>
        <w:jc w:val="left"/>
        <w:rPr>
          <w:rFonts w:hint="eastAsia" w:ascii="宋体" w:hAnsi="宋体" w:eastAsia="宋体" w:cs="宋体"/>
          <w:kern w:val="0"/>
          <w:lang w:bidi="ar"/>
        </w:rPr>
      </w:pPr>
      <w:r>
        <w:rPr>
          <w:rFonts w:hint="eastAsia" w:ascii="宋体" w:hAnsi="宋体" w:eastAsia="宋体" w:cs="宋体"/>
          <w:kern w:val="0"/>
          <w:lang w:bidi="ar"/>
        </w:rPr>
        <w:t>第四阶段的任务：完成第七八章内容</w:t>
      </w:r>
    </w:p>
    <w:p>
      <w:pPr>
        <w:ind w:firstLine="1044"/>
        <w:jc w:val="center"/>
        <w:rPr>
          <w:b w:val="1"/>
          <w:sz w:val="52"/>
        </w:rPr>
      </w:pPr>
    </w:p>
    <w:p>
      <w:pPr>
        <w:widowControl w:val="1"/>
        <w:ind w:firstLine="480"/>
        <w:jc w:val="left"/>
        <w:rPr/>
      </w:pPr>
      <w:r>
        <w:rPr/>
        <w:br w:type="page"/>
      </w:r>
    </w:p>
    <w:p>
      <w:pPr>
        <w:pStyle w:val="000016"/>
        <w:ind w:firstLine="643"/>
        <w:rPr/>
      </w:pPr>
      <w:r>
        <w:rPr>
          <w:rFonts w:hint="eastAsia"/>
        </w:rPr>
        <w:t>目录</w:t>
      </w:r>
    </w:p>
    <w:p>
      <w:pPr>
        <w:pStyle w:val="000006"/>
        <w:rPr/>
      </w:pPr>
      <w:r>
        <w:rPr>
          <w:rFonts w:hint="eastAsia"/>
        </w:rPr>
        <w:t>第一章绪论</w:t>
      </w:r>
    </w:p>
    <w:p>
      <w:pPr>
        <w:pStyle w:val="000008"/>
        <w:rPr>
          <w:highlight w:val="yellow"/>
        </w:rPr>
      </w:pPr>
      <w:r>
        <w:rPr>
          <w:rFonts w:hint="eastAsia"/>
          <w:highlight w:val="yellow"/>
        </w:rPr>
        <w:t>1</w:t>
      </w:r>
      <w:r>
        <w:rPr>
          <w:highlight w:val="yellow"/>
        </w:rPr>
        <w:t>.1</w:t>
      </w:r>
      <w:r>
        <w:rPr>
          <w:rFonts w:hint="eastAsia"/>
          <w:highlight w:val="yellow"/>
        </w:rPr>
        <w:t>调查背景及选题意义（武翌雅）</w:t>
      </w:r>
    </w:p>
    <w:p>
      <w:pPr>
        <w:pStyle w:val="00000a"/>
        <w:rPr>
          <w:highlight w:val="yellow"/>
        </w:rPr>
      </w:pPr>
      <w:r>
        <w:rPr>
          <w:rFonts w:hint="eastAsia"/>
          <w:highlight w:val="yellow"/>
        </w:rPr>
        <w:t>1</w:t>
      </w:r>
      <w:r>
        <w:rPr>
          <w:highlight w:val="yellow"/>
        </w:rPr>
        <w:t>.1.1</w:t>
      </w:r>
      <w:r>
        <w:rPr>
          <w:rFonts w:hint="eastAsia"/>
          <w:highlight w:val="yellow"/>
        </w:rPr>
        <w:t>研究背景（时代、行业、政策）</w:t>
      </w:r>
    </w:p>
    <w:p>
      <w:pPr>
        <w:pStyle w:val="00000a"/>
        <w:rPr>
          <w:highlight w:val="yellow"/>
        </w:rPr>
      </w:pPr>
      <w:r>
        <w:rPr>
          <w:rFonts w:hint="eastAsia"/>
          <w:highlight w:val="yellow"/>
        </w:rPr>
        <w:t>1</w:t>
      </w:r>
      <w:r>
        <w:rPr>
          <w:highlight w:val="yellow"/>
        </w:rPr>
        <w:t>.1.2</w:t>
      </w:r>
      <w:r>
        <w:rPr>
          <w:rFonts w:hint="eastAsia"/>
          <w:highlight w:val="yellow"/>
        </w:rPr>
        <w:t>研究目的</w:t>
      </w:r>
    </w:p>
    <w:p>
      <w:pPr>
        <w:pStyle w:val="00000a"/>
        <w:rPr>
          <w:highlight w:val="yellow"/>
        </w:rPr>
      </w:pPr>
      <w:r>
        <w:rPr>
          <w:rFonts w:hint="eastAsia"/>
          <w:highlight w:val="yellow"/>
        </w:rPr>
        <w:t>1</w:t>
      </w:r>
      <w:r>
        <w:rPr>
          <w:highlight w:val="yellow"/>
        </w:rPr>
        <w:t>.1.3</w:t>
      </w:r>
      <w:r>
        <w:rPr>
          <w:rFonts w:hint="eastAsia"/>
          <w:highlight w:val="yellow"/>
        </w:rPr>
        <w:t>研究意义</w:t>
      </w:r>
    </w:p>
    <w:p>
      <w:pPr>
        <w:pStyle w:val="000008"/>
        <w:rPr/>
      </w:pPr>
      <w:r>
        <w:rPr>
          <w:rFonts w:hint="eastAsia"/>
          <w:highlight w:val="yellow"/>
        </w:rPr>
        <w:t>1</w:t>
      </w:r>
      <w:r>
        <w:rPr>
          <w:highlight w:val="yellow"/>
        </w:rPr>
        <w:t>.2</w:t>
      </w:r>
      <w:r>
        <w:rPr>
          <w:rFonts w:hint="eastAsia"/>
          <w:highlight w:val="yellow"/>
        </w:rPr>
        <w:t>文献综述（梁明睿）</w:t>
      </w:r>
    </w:p>
    <w:p>
      <w:pPr>
        <w:pStyle w:val="000008"/>
        <w:rPr>
          <w:highlight w:val="yellow"/>
        </w:rPr>
      </w:pPr>
      <w:r>
        <w:rPr>
          <w:rFonts w:hint="eastAsia"/>
          <w:highlight w:val="yellow"/>
        </w:rPr>
        <w:t>1</w:t>
      </w:r>
      <w:r>
        <w:rPr>
          <w:highlight w:val="yellow"/>
        </w:rPr>
        <w:t>.3</w:t>
      </w:r>
      <w:r>
        <w:rPr>
          <w:rFonts w:hint="eastAsia"/>
          <w:highlight w:val="yellow"/>
        </w:rPr>
        <w:t>主要创新点（周居正）</w:t>
      </w:r>
    </w:p>
    <w:p>
      <w:pPr>
        <w:pStyle w:val="00000a"/>
        <w:rPr>
          <w:highlight w:val="yellow"/>
        </w:rPr>
      </w:pPr>
      <w:r>
        <w:rPr>
          <w:rFonts w:hint="eastAsia"/>
          <w:highlight w:val="yellow"/>
        </w:rPr>
        <w:t>1</w:t>
      </w:r>
      <w:r>
        <w:rPr>
          <w:highlight w:val="yellow"/>
        </w:rPr>
        <w:t>.3.1</w:t>
      </w:r>
      <w:r>
        <w:rPr>
          <w:rFonts w:hint="eastAsia"/>
          <w:highlight w:val="yellow"/>
        </w:rPr>
        <w:t>热点创新</w:t>
      </w:r>
    </w:p>
    <w:p>
      <w:pPr>
        <w:pStyle w:val="00000a"/>
        <w:rPr>
          <w:highlight w:val="yellow"/>
        </w:rPr>
      </w:pPr>
      <w:r>
        <w:rPr>
          <w:rFonts w:hint="eastAsia"/>
          <w:highlight w:val="yellow"/>
        </w:rPr>
        <w:t>1</w:t>
      </w:r>
      <w:r>
        <w:rPr>
          <w:highlight w:val="yellow"/>
        </w:rPr>
        <w:t>.3.2</w:t>
      </w:r>
      <w:r>
        <w:rPr>
          <w:rFonts w:hint="eastAsia"/>
          <w:highlight w:val="yellow"/>
        </w:rPr>
        <w:t>内容创新</w:t>
      </w:r>
    </w:p>
    <w:p>
      <w:pPr>
        <w:pStyle w:val="00000a"/>
        <w:rPr>
          <w:highlight w:val="yellow"/>
        </w:rPr>
      </w:pPr>
      <w:r>
        <w:rPr>
          <w:rFonts w:hint="eastAsia"/>
          <w:highlight w:val="yellow"/>
        </w:rPr>
        <w:t>1</w:t>
      </w:r>
      <w:r>
        <w:rPr>
          <w:highlight w:val="yellow"/>
        </w:rPr>
        <w:t>.3.3</w:t>
      </w:r>
      <w:r>
        <w:rPr>
          <w:rFonts w:hint="eastAsia"/>
          <w:highlight w:val="yellow"/>
        </w:rPr>
        <w:t>设计创新</w:t>
      </w:r>
    </w:p>
    <w:p>
      <w:pPr>
        <w:pStyle w:val="00000a"/>
        <w:rPr/>
      </w:pPr>
      <w:r>
        <w:rPr>
          <w:rFonts w:hint="eastAsia"/>
          <w:highlight w:val="yellow"/>
        </w:rPr>
        <w:t>1</w:t>
      </w:r>
      <w:r>
        <w:rPr>
          <w:highlight w:val="yellow"/>
        </w:rPr>
        <w:t>.3.4</w:t>
      </w:r>
      <w:r>
        <w:rPr>
          <w:rFonts w:hint="eastAsia"/>
          <w:highlight w:val="yellow"/>
        </w:rPr>
        <w:t>方法创新</w:t>
      </w:r>
    </w:p>
    <w:p>
      <w:pPr>
        <w:pStyle w:val="000008"/>
        <w:rPr/>
      </w:pPr>
      <w:r>
        <w:rPr>
          <w:rFonts w:hint="eastAsia"/>
          <w:highlight w:val="yellow"/>
        </w:rPr>
        <w:t>1</w:t>
      </w:r>
      <w:r>
        <w:rPr>
          <w:highlight w:val="yellow"/>
        </w:rPr>
        <w:t>.4RPA</w:t>
      </w:r>
      <w:r>
        <w:rPr>
          <w:rFonts w:hint="eastAsia"/>
          <w:highlight w:val="yellow"/>
        </w:rPr>
        <w:t>技术现状概述（</w:t>
      </w:r>
      <w:r>
        <w:rPr>
          <w:highlight w:val="yellow"/>
        </w:rPr>
        <w:t>PESTEL</w:t>
      </w:r>
      <w:r>
        <w:rPr>
          <w:rFonts w:hint="eastAsia"/>
          <w:highlight w:val="yellow"/>
        </w:rPr>
        <w:t>）</w:t>
      </w:r>
    </w:p>
    <w:p>
      <w:pPr>
        <w:pStyle w:val="000006"/>
        <w:rPr>
          <w:highlight w:val="yellow"/>
        </w:rPr>
      </w:pPr>
      <w:r>
        <w:rPr>
          <w:rFonts w:hint="eastAsia"/>
          <w:highlight w:val="yellow"/>
        </w:rPr>
        <w:t>第二章调查策划与实施（梁明睿、周居正）</w:t>
      </w:r>
    </w:p>
    <w:p>
      <w:pPr>
        <w:pStyle w:val="000008"/>
        <w:rPr>
          <w:highlight w:val="yellow"/>
        </w:rPr>
      </w:pPr>
      <w:r>
        <w:rPr>
          <w:rFonts w:hint="eastAsia"/>
          <w:highlight w:val="yellow"/>
        </w:rPr>
        <w:t>2</w:t>
      </w:r>
      <w:r>
        <w:rPr>
          <w:highlight w:val="yellow"/>
        </w:rPr>
        <w:t>.1</w:t>
      </w:r>
      <w:r>
        <w:rPr>
          <w:rFonts w:hint="eastAsia"/>
          <w:highlight w:val="yellow"/>
        </w:rPr>
        <w:t>调查内容与方案策划</w:t>
      </w:r>
    </w:p>
    <w:p>
      <w:pPr>
        <w:pStyle w:val="00000a"/>
        <w:rPr/>
      </w:pPr>
      <w:r>
        <w:rPr>
          <w:rFonts w:hint="eastAsia"/>
        </w:rPr>
        <w:t>2.1.1调查目的与方式</w:t>
      </w:r>
    </w:p>
    <w:p>
      <w:pPr>
        <w:pStyle w:val="00000a"/>
        <w:rPr/>
      </w:pPr>
      <w:r>
        <w:rPr>
          <w:rFonts w:hint="eastAsia"/>
        </w:rPr>
        <w:t>2.1.2调查内容与研究框架</w:t>
      </w:r>
    </w:p>
    <w:p>
      <w:pPr>
        <w:pStyle w:val="00000a"/>
        <w:rPr/>
      </w:pPr>
      <w:r>
        <w:rPr>
          <w:rFonts w:hint="eastAsia"/>
        </w:rPr>
        <w:t>2.1.3抽样设计</w:t>
      </w:r>
    </w:p>
    <w:p>
      <w:pPr>
        <w:pStyle w:val="000008"/>
        <w:rPr>
          <w:highlight w:val="yellow"/>
        </w:rPr>
      </w:pPr>
      <w:r>
        <w:rPr>
          <w:rFonts w:hint="eastAsia"/>
          <w:highlight w:val="yellow"/>
        </w:rPr>
        <w:t>2</w:t>
      </w:r>
      <w:r>
        <w:rPr>
          <w:highlight w:val="yellow"/>
        </w:rPr>
        <w:t>.2</w:t>
      </w:r>
      <w:r>
        <w:rPr>
          <w:rFonts w:hint="eastAsia"/>
          <w:highlight w:val="yellow"/>
        </w:rPr>
        <w:t>调查实施</w:t>
      </w:r>
    </w:p>
    <w:p>
      <w:pPr>
        <w:pStyle w:val="00000a"/>
        <w:rPr/>
      </w:pPr>
      <w:r>
        <w:rPr>
          <w:rFonts w:hint="eastAsia"/>
        </w:rPr>
        <w:t>2.2.1调查工作进程</w:t>
      </w:r>
    </w:p>
    <w:p>
      <w:pPr>
        <w:pStyle w:val="00000a"/>
        <w:rPr/>
      </w:pPr>
      <w:r>
        <w:rPr>
          <w:rFonts w:hint="eastAsia"/>
        </w:rPr>
        <w:t>2.2.2调查工作进度</w:t>
      </w:r>
    </w:p>
    <w:p>
      <w:pPr>
        <w:pStyle w:val="000008"/>
        <w:rPr>
          <w:highlight w:val="yellow"/>
        </w:rPr>
      </w:pPr>
      <w:r>
        <w:rPr>
          <w:rFonts w:hint="eastAsia"/>
          <w:highlight w:val="yellow"/>
        </w:rPr>
        <w:t>2</w:t>
      </w:r>
      <w:r>
        <w:rPr>
          <w:highlight w:val="yellow"/>
        </w:rPr>
        <w:t>.3</w:t>
      </w:r>
      <w:r>
        <w:rPr>
          <w:rFonts w:hint="eastAsia"/>
          <w:highlight w:val="yellow"/>
        </w:rPr>
        <w:t>数据汇总与分析框架</w:t>
      </w:r>
    </w:p>
    <w:p>
      <w:pPr>
        <w:pStyle w:val="00000a"/>
        <w:rPr/>
      </w:pPr>
      <w:r>
        <w:rPr>
          <w:rFonts w:hint="eastAsia"/>
        </w:rPr>
        <w:t>2.3.1网络数据整理</w:t>
      </w:r>
    </w:p>
    <w:p>
      <w:pPr>
        <w:pStyle w:val="00000a"/>
        <w:rPr/>
      </w:pPr>
      <w:r>
        <w:rPr>
          <w:rFonts w:hint="eastAsia"/>
        </w:rPr>
        <w:t>2.3.2调研数据整理</w:t>
      </w:r>
    </w:p>
    <w:p>
      <w:pPr>
        <w:pStyle w:val="000006"/>
        <w:snapToGrid w:val="1"/>
        <w:spacing w:before="400" w:after="300" w:line="240"/>
        <w:ind w:hanging="0"/>
        <w:jc w:val="left"/>
        <w:rPr/>
      </w:pPr>
      <w:r>
        <w:rPr>
          <w:rFonts w:ascii="Times New Roman" w:hAnsi="Times New Roman" w:cs="Times New Roman"/>
          <w:b w:val="1"/>
          <w:i w:val="0"/>
          <w:strike w:val="0"/>
          <w:color w:val="1E3A5F"/>
          <w:spacing w:val="0"/>
          <w:sz w:val="32"/>
          <w:u w:val="none"/>
        </w:rPr>
        <w:t xml:space="preserve">1.2 </w:t>
      </w:r>
      <w:r>
        <w:rPr>
          <w:rFonts w:ascii="SimHei" w:hAnsi="SimHei" w:eastAsia="SimHei" w:cs="SimHei"/>
          <w:b w:val="1"/>
          <w:i w:val="0"/>
          <w:strike w:val="0"/>
          <w:color w:val="1E3A5F"/>
          <w:spacing w:val="0"/>
          <w:sz w:val="32"/>
          <w:u w:val="none"/>
        </w:rPr>
        <w:t>文献综述</w:t>
      </w:r>
    </w:p>
    <w:p>
      <w:pPr>
        <w:snapToGrid w:val="1"/>
        <w:spacing w:after="200" w:line="360"/>
        <w:ind w:firstLine="420"/>
        <w:jc w:val="both"/>
        <w:rPr/>
      </w:pPr>
      <w:r>
        <w:rPr>
          <w:rFonts w:ascii="SimSun" w:hAnsi="SimSun" w:eastAsia="SimSun" w:cs="SimSun"/>
          <w:i w:val="0"/>
          <w:strike w:val="0"/>
          <w:color w:val="2D3748"/>
          <w:spacing w:val="0"/>
          <w:sz w:val="24"/>
          <w:u w:val="none"/>
        </w:rPr>
        <w:t>机器人流程自动化（</w:t>
      </w:r>
      <w:r>
        <w:rPr>
          <w:rFonts w:ascii="Times New Roman" w:hAnsi="Times New Roman" w:cs="Times New Roman"/>
          <w:i w:val="0"/>
          <w:strike w:val="0"/>
          <w:color w:val="2D3748"/>
          <w:spacing w:val="0"/>
          <w:sz w:val="24"/>
          <w:u w:val="none"/>
        </w:rPr>
        <w:t>Robotic Process Automation</w:t>
      </w:r>
      <w:r>
        <w:rPr>
          <w:rFonts w:ascii="SimSun" w:hAnsi="SimSun" w:eastAsia="SimSun" w:cs="SimSun"/>
          <w:i w:val="0"/>
          <w:strike w:val="0"/>
          <w:color w:val="2D3748"/>
          <w:spacing w:val="0"/>
          <w:sz w:val="24"/>
          <w:u w:val="none"/>
        </w:rPr>
        <w:t>，</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）作为金融科技领域的重要技术工具，近年来在财务会计与金融行业中的应用日益广泛。现有文献从技术特性、应用场景、价值创造等多个维度对</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进行了探讨，为本研究奠定了理论基础。本章将从</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技术基础、金融财会领域应用、政策驱动与监管科技三个维度梳理现有研究成果，并指出现有研究的不足与本研究的创新方向。</w:t>
      </w:r>
    </w:p>
    <w:p>
      <w:pPr>
        <w:pStyle w:val="000008"/>
        <w:snapToGrid w:val="1"/>
        <w:spacing w:before="300" w:after="200" w:line="360"/>
        <w:ind w:hanging="0"/>
        <w:jc w:val="left"/>
        <w:rPr/>
      </w:pPr>
      <w:r>
        <w:rPr>
          <w:rFonts w:ascii="Times New Roman" w:hAnsi="Times New Roman" w:cs="Times New Roman"/>
          <w:b w:val="1"/>
          <w:i w:val="0"/>
          <w:strike w:val="0"/>
          <w:color w:val="2D3748"/>
          <w:spacing w:val="0"/>
          <w:sz w:val="28"/>
          <w:u w:val="none"/>
        </w:rPr>
        <w:t>1.2.1 RPA</w:t>
      </w:r>
      <w:r>
        <w:rPr>
          <w:rFonts w:ascii="SimHei" w:hAnsi="SimHei" w:eastAsia="SimHei" w:cs="SimHei"/>
          <w:b w:val="1"/>
          <w:i w:val="0"/>
          <w:strike w:val="0"/>
          <w:color w:val="2D3748"/>
          <w:spacing w:val="0"/>
          <w:sz w:val="28"/>
          <w:u w:val="none"/>
        </w:rPr>
        <w:t>技术基础与应用框架研究</w:t>
      </w:r>
    </w:p>
    <w:p>
      <w:pPr>
        <w:snapToGrid w:val="1"/>
        <w:spacing w:after="200" w:line="360"/>
        <w:ind w:firstLine="420"/>
        <w:jc w:val="both"/>
        <w:rPr/>
      </w:pP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技术的核心特征在于其非侵入性、规则驱动性和高效性。郭景召（</w:t>
      </w:r>
      <w:r>
        <w:rPr>
          <w:rFonts w:ascii="Times New Roman" w:hAnsi="Times New Roman" w:cs="Times New Roman"/>
          <w:i w:val="0"/>
          <w:strike w:val="0"/>
          <w:color w:val="2D3748"/>
          <w:spacing w:val="0"/>
          <w:sz w:val="24"/>
          <w:u w:val="none"/>
        </w:rPr>
        <w:t>2025</w:t>
      </w:r>
      <w:r>
        <w:rPr>
          <w:rFonts w:ascii="SimSun" w:hAnsi="SimSun" w:eastAsia="SimSun" w:cs="SimSun"/>
          <w:i w:val="0"/>
          <w:strike w:val="0"/>
          <w:color w:val="2D3748"/>
          <w:spacing w:val="0"/>
          <w:sz w:val="24"/>
          <w:u w:val="none"/>
        </w:rPr>
        <w:t>）系统分析了财务机器人</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的技术特性，指出</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能够模拟人类在计算机上的操作行为，通过预设规则自动执行重复性、标准化的业务流程，具有快速部署、</w:t>
      </w:r>
      <w:r>
        <w:rPr>
          <w:rFonts w:ascii="Times New Roman" w:hAnsi="Times New Roman" w:cs="Times New Roman"/>
          <w:i w:val="0"/>
          <w:strike w:val="0"/>
          <w:color w:val="2D3748"/>
          <w:spacing w:val="0"/>
          <w:sz w:val="24"/>
          <w:u w:val="none"/>
        </w:rPr>
        <w:t>7×24</w:t>
      </w:r>
      <w:r>
        <w:rPr>
          <w:rFonts w:ascii="SimSun" w:hAnsi="SimSun" w:eastAsia="SimSun" w:cs="SimSun"/>
          <w:i w:val="0"/>
          <w:strike w:val="0"/>
          <w:color w:val="2D3748"/>
          <w:spacing w:val="0"/>
          <w:sz w:val="24"/>
          <w:u w:val="none"/>
        </w:rPr>
        <w:t>小时不间断运行、释放人力资源等显著优势。该研究构建了</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在财务会计领域的功能框架，涵盖销售、采购、资金、税务、会计、成本预算、费用报销、薪酬核算等多个应用场景，为理解</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的通用应用价值提供了全面视角。</w:t>
      </w:r>
    </w:p>
    <w:p>
      <w:pPr>
        <w:snapToGrid w:val="1"/>
        <w:spacing w:after="200" w:line="360"/>
        <w:ind w:firstLine="420"/>
        <w:jc w:val="both"/>
        <w:rPr/>
      </w:pPr>
      <w:r>
        <w:rPr>
          <w:rFonts w:ascii="SimSun" w:hAnsi="SimSun" w:eastAsia="SimSun" w:cs="SimSun"/>
          <w:i w:val="0"/>
          <w:strike w:val="0"/>
          <w:color w:val="2D3748"/>
          <w:spacing w:val="0"/>
          <w:sz w:val="24"/>
          <w:u w:val="none"/>
        </w:rPr>
        <w:t>在技术演进层面，</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正经历从</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脚本化自动化</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向</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认知自动化</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的转型升级。黄帅等（</w:t>
      </w:r>
      <w:r>
        <w:rPr>
          <w:rFonts w:ascii="Times New Roman" w:hAnsi="Times New Roman" w:cs="Times New Roman"/>
          <w:i w:val="0"/>
          <w:strike w:val="0"/>
          <w:color w:val="2D3748"/>
          <w:spacing w:val="0"/>
          <w:sz w:val="24"/>
          <w:u w:val="none"/>
        </w:rPr>
        <w:t>2025</w:t>
      </w:r>
      <w:r>
        <w:rPr>
          <w:rFonts w:ascii="SimSun" w:hAnsi="SimSun" w:eastAsia="SimSun" w:cs="SimSun"/>
          <w:i w:val="0"/>
          <w:strike w:val="0"/>
          <w:color w:val="2D3748"/>
          <w:spacing w:val="0"/>
          <w:sz w:val="24"/>
          <w:u w:val="none"/>
        </w:rPr>
        <w:t>）构建了基于</w:t>
      </w:r>
      <w:r>
        <w:rPr>
          <w:rFonts w:ascii="Times New Roman" w:hAnsi="Times New Roman" w:cs="Times New Roman"/>
          <w:i w:val="0"/>
          <w:strike w:val="0"/>
          <w:color w:val="2D3748"/>
          <w:spacing w:val="0"/>
          <w:sz w:val="24"/>
          <w:u w:val="none"/>
        </w:rPr>
        <w:t>UiBot</w:t>
      </w:r>
      <w:r>
        <w:rPr>
          <w:rFonts w:ascii="SimSun" w:hAnsi="SimSun" w:eastAsia="SimSun" w:cs="SimSun"/>
          <w:i w:val="0"/>
          <w:strike w:val="0"/>
          <w:color w:val="2D3748"/>
          <w:spacing w:val="0"/>
          <w:sz w:val="24"/>
          <w:u w:val="none"/>
        </w:rPr>
        <w:t>的</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系统，并与人工智能工具</w:t>
      </w:r>
      <w:r>
        <w:rPr>
          <w:rFonts w:ascii="Times New Roman" w:hAnsi="Times New Roman" w:cs="Times New Roman"/>
          <w:i w:val="0"/>
          <w:strike w:val="0"/>
          <w:color w:val="2D3748"/>
          <w:spacing w:val="0"/>
          <w:sz w:val="24"/>
          <w:u w:val="none"/>
        </w:rPr>
        <w:t>DeepSeek</w:t>
      </w:r>
      <w:r>
        <w:rPr>
          <w:rFonts w:ascii="SimSun" w:hAnsi="SimSun" w:eastAsia="SimSun" w:cs="SimSun"/>
          <w:i w:val="0"/>
          <w:strike w:val="0"/>
          <w:color w:val="2D3748"/>
          <w:spacing w:val="0"/>
          <w:sz w:val="24"/>
          <w:u w:val="none"/>
        </w:rPr>
        <w:t>进行协同，实现了从文献检索到综述生成的全流程自动化。该研究证明了</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与</w:t>
      </w:r>
      <w:r>
        <w:rPr>
          <w:rFonts w:ascii="Times New Roman" w:hAnsi="Times New Roman" w:cs="Times New Roman"/>
          <w:i w:val="0"/>
          <w:strike w:val="0"/>
          <w:color w:val="2D3748"/>
          <w:spacing w:val="0"/>
          <w:sz w:val="24"/>
          <w:u w:val="none"/>
        </w:rPr>
        <w:t>AI</w:t>
      </w:r>
      <w:r>
        <w:rPr>
          <w:rFonts w:ascii="SimSun" w:hAnsi="SimSun" w:eastAsia="SimSun" w:cs="SimSun"/>
          <w:i w:val="0"/>
          <w:strike w:val="0"/>
          <w:color w:val="2D3748"/>
          <w:spacing w:val="0"/>
          <w:sz w:val="24"/>
          <w:u w:val="none"/>
        </w:rPr>
        <w:t>协同在处理非结构化信息、提升知识工作效率方面的巨大潜力，为金融领域复杂文档处理、智能报告生成等场景提供了技术范式参考。研究表明，通过集成</w:t>
      </w:r>
      <w:r>
        <w:rPr>
          <w:rFonts w:ascii="Times New Roman" w:hAnsi="Times New Roman" w:cs="Times New Roman"/>
          <w:i w:val="0"/>
          <w:strike w:val="0"/>
          <w:color w:val="2D3748"/>
          <w:spacing w:val="0"/>
          <w:sz w:val="24"/>
          <w:u w:val="none"/>
        </w:rPr>
        <w:t>OCR</w:t>
      </w:r>
      <w:r>
        <w:rPr>
          <w:rFonts w:ascii="SimSun" w:hAnsi="SimSun" w:eastAsia="SimSun" w:cs="SimSun"/>
          <w:i w:val="0"/>
          <w:strike w:val="0"/>
          <w:color w:val="2D3748"/>
          <w:spacing w:val="0"/>
          <w:sz w:val="24"/>
          <w:u w:val="none"/>
        </w:rPr>
        <w:t>（光学字符识别）、</w:t>
      </w:r>
      <w:r>
        <w:rPr>
          <w:rFonts w:ascii="Times New Roman" w:hAnsi="Times New Roman" w:cs="Times New Roman"/>
          <w:i w:val="0"/>
          <w:strike w:val="0"/>
          <w:color w:val="2D3748"/>
          <w:spacing w:val="0"/>
          <w:sz w:val="24"/>
          <w:u w:val="none"/>
        </w:rPr>
        <w:t>NLP</w:t>
      </w:r>
      <w:r>
        <w:rPr>
          <w:rFonts w:ascii="SimSun" w:hAnsi="SimSun" w:eastAsia="SimSun" w:cs="SimSun"/>
          <w:i w:val="0"/>
          <w:strike w:val="0"/>
          <w:color w:val="2D3748"/>
          <w:spacing w:val="0"/>
          <w:sz w:val="24"/>
          <w:u w:val="none"/>
        </w:rPr>
        <w:t>（自然语言处理）、大语言模型（</w:t>
      </w:r>
      <w:r>
        <w:rPr>
          <w:rFonts w:ascii="Times New Roman" w:hAnsi="Times New Roman" w:cs="Times New Roman"/>
          <w:i w:val="0"/>
          <w:strike w:val="0"/>
          <w:color w:val="2D3748"/>
          <w:spacing w:val="0"/>
          <w:sz w:val="24"/>
          <w:u w:val="none"/>
        </w:rPr>
        <w:t>LLM</w:t>
      </w:r>
      <w:r>
        <w:rPr>
          <w:rFonts w:ascii="SimSun" w:hAnsi="SimSun" w:eastAsia="SimSun" w:cs="SimSun"/>
          <w:i w:val="0"/>
          <w:strike w:val="0"/>
          <w:color w:val="2D3748"/>
          <w:spacing w:val="0"/>
          <w:sz w:val="24"/>
          <w:u w:val="none"/>
        </w:rPr>
        <w:t>）等技术，</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正从基于规则的</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数字劳工</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演进为具备认知能力的</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初级分析师</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w:t>
      </w:r>
    </w:p>
    <w:p>
      <w:pPr>
        <w:snapToGrid w:val="1"/>
        <w:spacing w:after="200" w:line="360"/>
        <w:ind w:firstLine="420"/>
        <w:jc w:val="both"/>
        <w:rPr/>
      </w:pPr>
      <w:r>
        <w:rPr>
          <w:rFonts w:ascii="SimSun" w:hAnsi="SimSun" w:eastAsia="SimSun" w:cs="SimSun"/>
          <w:i w:val="0"/>
          <w:strike w:val="0"/>
          <w:color w:val="2D3748"/>
          <w:spacing w:val="0"/>
          <w:sz w:val="24"/>
          <w:u w:val="none"/>
        </w:rPr>
        <w:t>在技术融合方面，现有研究探讨了</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与多种技术的协同模式。倪丽丽（</w:t>
      </w:r>
      <w:r>
        <w:rPr>
          <w:rFonts w:ascii="Times New Roman" w:hAnsi="Times New Roman" w:cs="Times New Roman"/>
          <w:i w:val="0"/>
          <w:strike w:val="0"/>
          <w:color w:val="2D3748"/>
          <w:spacing w:val="0"/>
          <w:sz w:val="24"/>
          <w:u w:val="none"/>
        </w:rPr>
        <w:t>2023</w:t>
      </w:r>
      <w:r>
        <w:rPr>
          <w:rFonts w:ascii="SimSun" w:hAnsi="SimSun" w:eastAsia="SimSun" w:cs="SimSun"/>
          <w:i w:val="0"/>
          <w:strike w:val="0"/>
          <w:color w:val="2D3748"/>
          <w:spacing w:val="0"/>
          <w:sz w:val="24"/>
          <w:u w:val="none"/>
        </w:rPr>
        <w:t>）在港口财金服务数智化建设研究中，深入分析了</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与区块链、大数据等技术的融合创新路径。研究指出，</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在港口财务基础工作、资金管理、涉税信用管理、预算管理等场景中具有显著应用价值，同时区块链在服务合约管理与电子提单中的应用前景广阔。该研究为理解</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在垂直行业的深度应用提供了重要参考。</w:t>
      </w:r>
    </w:p>
    <w:p>
      <w:pPr>
        <w:pStyle w:val="000008"/>
        <w:snapToGrid w:val="1"/>
        <w:spacing w:before="300" w:after="200" w:line="360"/>
        <w:ind w:hanging="0"/>
        <w:jc w:val="left"/>
        <w:rPr/>
      </w:pPr>
      <w:r>
        <w:rPr>
          <w:rFonts w:ascii="Times New Roman" w:hAnsi="Times New Roman" w:cs="Times New Roman"/>
          <w:b w:val="1"/>
          <w:i w:val="0"/>
          <w:strike w:val="0"/>
          <w:color w:val="2D3748"/>
          <w:spacing w:val="0"/>
          <w:sz w:val="28"/>
          <w:u w:val="none"/>
        </w:rPr>
        <w:t>1.2.2 RPA</w:t>
      </w:r>
      <w:r>
        <w:rPr>
          <w:rFonts w:ascii="SimHei" w:hAnsi="SimHei" w:eastAsia="SimHei" w:cs="SimHei"/>
          <w:b w:val="1"/>
          <w:i w:val="0"/>
          <w:strike w:val="0"/>
          <w:color w:val="2D3748"/>
          <w:spacing w:val="0"/>
          <w:sz w:val="28"/>
          <w:u w:val="none"/>
        </w:rPr>
        <w:t>在金融财会领域的应用研究</w:t>
      </w:r>
    </w:p>
    <w:p>
      <w:pPr>
        <w:snapToGrid w:val="1"/>
        <w:spacing w:after="200" w:line="360"/>
        <w:ind w:firstLine="420"/>
        <w:jc w:val="both"/>
        <w:rPr/>
      </w:pPr>
      <w:r>
        <w:rPr>
          <w:rFonts w:ascii="SimSun" w:hAnsi="SimSun" w:eastAsia="SimSun" w:cs="SimSun"/>
          <w:i w:val="0"/>
          <w:strike w:val="0"/>
          <w:color w:val="2D3748"/>
          <w:spacing w:val="0"/>
          <w:sz w:val="24"/>
          <w:u w:val="none"/>
        </w:rPr>
        <w:t>在银行业应用场景方面，现有研究聚焦于中后台运营效率提升与风险合规强化。研究表明，</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在银行对公账户</w:t>
      </w:r>
      <w:r>
        <w:rPr>
          <w:rFonts w:ascii="Times New Roman" w:hAnsi="Times New Roman" w:cs="Times New Roman"/>
          <w:i w:val="0"/>
          <w:strike w:val="0"/>
          <w:color w:val="2D3748"/>
          <w:spacing w:val="0"/>
          <w:sz w:val="24"/>
          <w:u w:val="none"/>
        </w:rPr>
        <w:t>KYC</w:t>
      </w:r>
      <w:r>
        <w:rPr>
          <w:rFonts w:ascii="SimSun" w:hAnsi="SimSun" w:eastAsia="SimSun" w:cs="SimSun"/>
          <w:i w:val="0"/>
          <w:strike w:val="0"/>
          <w:color w:val="2D3748"/>
          <w:spacing w:val="0"/>
          <w:sz w:val="24"/>
          <w:u w:val="none"/>
        </w:rPr>
        <w:t>（了解你的客户）尽职调查中发挥重要作用：机器人可自动从申请材料中提取企业信息，访问国家企业信用信息公示系统、中国裁判文书网、央行征信系统等外部数据源，抓取工商信息、涉诉记录、行政处罚、股权结构等数据，并与客户提交资料进行交叉验证，将单个客户的尽调时间从</w:t>
      </w:r>
      <w:r>
        <w:rPr>
          <w:rFonts w:ascii="Times New Roman" w:hAnsi="Times New Roman" w:cs="Times New Roman"/>
          <w:i w:val="0"/>
          <w:strike w:val="0"/>
          <w:color w:val="2D3748"/>
          <w:spacing w:val="0"/>
          <w:sz w:val="24"/>
          <w:u w:val="none"/>
        </w:rPr>
        <w:t>2</w:t>
      </w:r>
      <w:r>
        <w:rPr>
          <w:rFonts w:ascii="SimSun" w:hAnsi="SimSun" w:eastAsia="SimSun" w:cs="SimSun"/>
          <w:i w:val="0"/>
          <w:strike w:val="0"/>
          <w:color w:val="2D3748"/>
          <w:spacing w:val="0"/>
          <w:sz w:val="24"/>
          <w:u w:val="none"/>
        </w:rPr>
        <w:t>小时缩短至</w:t>
      </w:r>
      <w:r>
        <w:rPr>
          <w:rFonts w:ascii="Times New Roman" w:hAnsi="Times New Roman" w:cs="Times New Roman"/>
          <w:i w:val="0"/>
          <w:strike w:val="0"/>
          <w:color w:val="2D3748"/>
          <w:spacing w:val="0"/>
          <w:sz w:val="24"/>
          <w:u w:val="none"/>
        </w:rPr>
        <w:t>15</w:t>
      </w:r>
      <w:r>
        <w:rPr>
          <w:rFonts w:ascii="SimSun" w:hAnsi="SimSun" w:eastAsia="SimSun" w:cs="SimSun"/>
          <w:i w:val="0"/>
          <w:strike w:val="0"/>
          <w:color w:val="2D3748"/>
          <w:spacing w:val="0"/>
          <w:sz w:val="24"/>
          <w:u w:val="none"/>
        </w:rPr>
        <w:t>分钟。在融资融券业务中，</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可实现自动化盯市和预警，每日定时或盘中实时获取</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两融</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客户账户数据，自动计算维持担保比例，一旦触发预警线立即通知客户，确保风险监控的及时性和无遗漏。</w:t>
      </w:r>
    </w:p>
    <w:p>
      <w:pPr>
        <w:snapToGrid w:val="1"/>
        <w:spacing w:after="200" w:line="360"/>
        <w:ind w:firstLine="420"/>
        <w:jc w:val="both"/>
        <w:rPr/>
      </w:pPr>
      <w:r>
        <w:rPr>
          <w:rFonts w:ascii="SimSun" w:hAnsi="SimSun" w:eastAsia="SimSun" w:cs="SimSun"/>
          <w:i w:val="0"/>
          <w:strike w:val="0"/>
          <w:color w:val="2D3748"/>
          <w:spacing w:val="0"/>
          <w:sz w:val="24"/>
          <w:u w:val="none"/>
        </w:rPr>
        <w:t>在保险业应用场景方面，研究聚焦于理赔流程自动化与客户体验优化。针对事实清晰、损失金额较小的车险案件，</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机器人可实现端到端的自动处理：客户通过</w:t>
      </w:r>
      <w:r>
        <w:rPr>
          <w:rFonts w:ascii="Times New Roman" w:hAnsi="Times New Roman" w:cs="Times New Roman"/>
          <w:i w:val="0"/>
          <w:strike w:val="0"/>
          <w:color w:val="2D3748"/>
          <w:spacing w:val="0"/>
          <w:sz w:val="24"/>
          <w:u w:val="none"/>
        </w:rPr>
        <w:t>App</w:t>
      </w:r>
      <w:r>
        <w:rPr>
          <w:rFonts w:ascii="SimSun" w:hAnsi="SimSun" w:eastAsia="SimSun" w:cs="SimSun"/>
          <w:i w:val="0"/>
          <w:strike w:val="0"/>
          <w:color w:val="2D3748"/>
          <w:spacing w:val="0"/>
          <w:sz w:val="24"/>
          <w:u w:val="none"/>
        </w:rPr>
        <w:t>上传事故照片和维修报价单后，</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调用</w:t>
      </w:r>
      <w:r>
        <w:rPr>
          <w:rFonts w:ascii="Times New Roman" w:hAnsi="Times New Roman" w:cs="Times New Roman"/>
          <w:i w:val="0"/>
          <w:strike w:val="0"/>
          <w:color w:val="2D3748"/>
          <w:spacing w:val="0"/>
          <w:sz w:val="24"/>
          <w:u w:val="none"/>
        </w:rPr>
        <w:t>OCR</w:t>
      </w:r>
      <w:r>
        <w:rPr>
          <w:rFonts w:ascii="SimSun" w:hAnsi="SimSun" w:eastAsia="SimSun" w:cs="SimSun"/>
          <w:i w:val="0"/>
          <w:strike w:val="0"/>
          <w:color w:val="2D3748"/>
          <w:spacing w:val="0"/>
          <w:sz w:val="24"/>
          <w:u w:val="none"/>
        </w:rPr>
        <w:t>识别并提取保单号、车牌号、维修项目及金额，核实保单有效性及事故责任，通过内置规则引擎和图像定损</w:t>
      </w:r>
      <w:r>
        <w:rPr>
          <w:rFonts w:ascii="Times New Roman" w:hAnsi="Times New Roman" w:cs="Times New Roman"/>
          <w:i w:val="0"/>
          <w:strike w:val="0"/>
          <w:color w:val="2D3748"/>
          <w:spacing w:val="0"/>
          <w:sz w:val="24"/>
          <w:u w:val="none"/>
        </w:rPr>
        <w:t>AI</w:t>
      </w:r>
      <w:r>
        <w:rPr>
          <w:rFonts w:ascii="SimSun" w:hAnsi="SimSun" w:eastAsia="SimSun" w:cs="SimSun"/>
          <w:i w:val="0"/>
          <w:strike w:val="0"/>
          <w:color w:val="2D3748"/>
          <w:spacing w:val="0"/>
          <w:sz w:val="24"/>
          <w:u w:val="none"/>
        </w:rPr>
        <w:t>模型判断损失是否在免核损阈值内，若符合条件则自动完成立案、计算赔付金额并生成赔付指令，整个过程最快可在几分钟内完成。</w:t>
      </w:r>
    </w:p>
    <w:p>
      <w:pPr>
        <w:snapToGrid w:val="1"/>
        <w:spacing w:after="200" w:line="360"/>
        <w:ind w:firstLine="420"/>
        <w:jc w:val="both"/>
        <w:rPr/>
      </w:pPr>
      <w:r>
        <w:rPr>
          <w:rFonts w:ascii="SimSun" w:hAnsi="SimSun" w:eastAsia="SimSun" w:cs="SimSun"/>
          <w:i w:val="0"/>
          <w:strike w:val="0"/>
          <w:color w:val="2D3748"/>
          <w:spacing w:val="0"/>
          <w:sz w:val="24"/>
          <w:u w:val="none"/>
        </w:rPr>
        <w:t>在企业财金领域，港口财金服务的</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对账</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开票</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收款</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闭环自动化成为标杆案例。针对港口业务链条涉及船公司、货代、货主、车队等众多参与方，各方对账口径不一、信息碎片化、计费规则动态多变、系统孤岛现象严重等痛点，研究提出了</w:t>
      </w:r>
      <w:r>
        <w:rPr>
          <w:rFonts w:ascii="Times New Roman" w:hAnsi="Times New Roman" w:cs="Times New Roman"/>
          <w:i w:val="0"/>
          <w:strike w:val="0"/>
          <w:color w:val="2D3748"/>
          <w:spacing w:val="0"/>
          <w:sz w:val="24"/>
          <w:u w:val="none"/>
        </w:rPr>
        <w:t>“RPA+AI”</w:t>
      </w:r>
      <w:r>
        <w:rPr>
          <w:rFonts w:ascii="SimSun" w:hAnsi="SimSun" w:eastAsia="SimSun" w:cs="SimSun"/>
          <w:i w:val="0"/>
          <w:strike w:val="0"/>
          <w:color w:val="2D3748"/>
          <w:spacing w:val="0"/>
          <w:sz w:val="24"/>
          <w:u w:val="none"/>
        </w:rPr>
        <w:t>驱动的自动化处理方案。该方案通过智能</w:t>
      </w:r>
      <w:r>
        <w:rPr>
          <w:rFonts w:ascii="Times New Roman" w:hAnsi="Times New Roman" w:cs="Times New Roman"/>
          <w:i w:val="0"/>
          <w:strike w:val="0"/>
          <w:color w:val="2D3748"/>
          <w:spacing w:val="0"/>
          <w:sz w:val="24"/>
          <w:u w:val="none"/>
        </w:rPr>
        <w:t>OCR</w:t>
      </w:r>
      <w:r>
        <w:rPr>
          <w:rFonts w:ascii="SimSun" w:hAnsi="SimSun" w:eastAsia="SimSun" w:cs="SimSun"/>
          <w:i w:val="0"/>
          <w:strike w:val="0"/>
          <w:color w:val="2D3748"/>
          <w:spacing w:val="0"/>
          <w:sz w:val="24"/>
          <w:u w:val="none"/>
        </w:rPr>
        <w:t>技术识别并提取邮件正文、</w:t>
      </w:r>
      <w:r>
        <w:rPr>
          <w:rFonts w:ascii="Times New Roman" w:hAnsi="Times New Roman" w:cs="Times New Roman"/>
          <w:i w:val="0"/>
          <w:strike w:val="0"/>
          <w:color w:val="2D3748"/>
          <w:spacing w:val="0"/>
          <w:sz w:val="24"/>
          <w:u w:val="none"/>
        </w:rPr>
        <w:t>PDF</w:t>
      </w:r>
      <w:r>
        <w:rPr>
          <w:rFonts w:ascii="SimSun" w:hAnsi="SimSun" w:eastAsia="SimSun" w:cs="SimSun"/>
          <w:i w:val="0"/>
          <w:strike w:val="0"/>
          <w:color w:val="2D3748"/>
          <w:spacing w:val="0"/>
          <w:sz w:val="24"/>
          <w:u w:val="none"/>
        </w:rPr>
        <w:t>、图片等非结构化附件中的关键信息，利用规则引擎进行智能比对与差异归因，实现自动开票与收款核销，对账处理自动化率达到</w:t>
      </w:r>
      <w:r>
        <w:rPr>
          <w:rFonts w:ascii="Times New Roman" w:hAnsi="Times New Roman" w:cs="Times New Roman"/>
          <w:i w:val="0"/>
          <w:strike w:val="0"/>
          <w:color w:val="2D3748"/>
          <w:spacing w:val="0"/>
          <w:sz w:val="24"/>
          <w:u w:val="none"/>
        </w:rPr>
        <w:t>90%</w:t>
      </w:r>
      <w:r>
        <w:rPr>
          <w:rFonts w:ascii="SimSun" w:hAnsi="SimSun" w:eastAsia="SimSun" w:cs="SimSun"/>
          <w:i w:val="0"/>
          <w:strike w:val="0"/>
          <w:color w:val="2D3748"/>
          <w:spacing w:val="0"/>
          <w:sz w:val="24"/>
          <w:u w:val="none"/>
        </w:rPr>
        <w:t>以上，整体对账周期由平均</w:t>
      </w:r>
      <w:r>
        <w:rPr>
          <w:rFonts w:ascii="Times New Roman" w:hAnsi="Times New Roman" w:cs="Times New Roman"/>
          <w:i w:val="0"/>
          <w:strike w:val="0"/>
          <w:color w:val="2D3748"/>
          <w:spacing w:val="0"/>
          <w:sz w:val="24"/>
          <w:u w:val="none"/>
        </w:rPr>
        <w:t>3-5</w:t>
      </w:r>
      <w:r>
        <w:rPr>
          <w:rFonts w:ascii="SimSun" w:hAnsi="SimSun" w:eastAsia="SimSun" w:cs="SimSun"/>
          <w:i w:val="0"/>
          <w:strike w:val="0"/>
          <w:color w:val="2D3748"/>
          <w:spacing w:val="0"/>
          <w:sz w:val="24"/>
          <w:u w:val="none"/>
        </w:rPr>
        <w:t>个工作日缩短至</w:t>
      </w:r>
      <w:r>
        <w:rPr>
          <w:rFonts w:ascii="Times New Roman" w:hAnsi="Times New Roman" w:cs="Times New Roman"/>
          <w:i w:val="0"/>
          <w:strike w:val="0"/>
          <w:color w:val="2D3748"/>
          <w:spacing w:val="0"/>
          <w:sz w:val="24"/>
          <w:u w:val="none"/>
        </w:rPr>
        <w:t>T+1</w:t>
      </w:r>
      <w:r>
        <w:rPr>
          <w:rFonts w:ascii="SimSun" w:hAnsi="SimSun" w:eastAsia="SimSun" w:cs="SimSun"/>
          <w:i w:val="0"/>
          <w:strike w:val="0"/>
          <w:color w:val="2D3748"/>
          <w:spacing w:val="0"/>
          <w:sz w:val="24"/>
          <w:u w:val="none"/>
        </w:rPr>
        <w:t>日内，应收账款周转天数（</w:t>
      </w:r>
      <w:r>
        <w:rPr>
          <w:rFonts w:ascii="Times New Roman" w:hAnsi="Times New Roman" w:cs="Times New Roman"/>
          <w:i w:val="0"/>
          <w:strike w:val="0"/>
          <w:color w:val="2D3748"/>
          <w:spacing w:val="0"/>
          <w:sz w:val="24"/>
          <w:u w:val="none"/>
        </w:rPr>
        <w:t>DSO</w:t>
      </w:r>
      <w:r>
        <w:rPr>
          <w:rFonts w:ascii="SimSun" w:hAnsi="SimSun" w:eastAsia="SimSun" w:cs="SimSun"/>
          <w:i w:val="0"/>
          <w:strike w:val="0"/>
          <w:color w:val="2D3748"/>
          <w:spacing w:val="0"/>
          <w:sz w:val="24"/>
          <w:u w:val="none"/>
        </w:rPr>
        <w:t>）平均降低</w:t>
      </w:r>
      <w:r>
        <w:rPr>
          <w:rFonts w:ascii="Times New Roman" w:hAnsi="Times New Roman" w:cs="Times New Roman"/>
          <w:i w:val="0"/>
          <w:strike w:val="0"/>
          <w:color w:val="2D3748"/>
          <w:spacing w:val="0"/>
          <w:sz w:val="24"/>
          <w:u w:val="none"/>
        </w:rPr>
        <w:t>15%</w:t>
      </w:r>
      <w:r>
        <w:rPr>
          <w:rFonts w:ascii="SimSun" w:hAnsi="SimSun" w:eastAsia="SimSun" w:cs="SimSun"/>
          <w:i w:val="0"/>
          <w:strike w:val="0"/>
          <w:color w:val="2D3748"/>
          <w:spacing w:val="0"/>
          <w:sz w:val="24"/>
          <w:u w:val="none"/>
        </w:rPr>
        <w:t>。</w:t>
      </w:r>
    </w:p>
    <w:p>
      <w:pPr>
        <w:pStyle w:val="000008"/>
        <w:snapToGrid w:val="1"/>
        <w:spacing w:before="300" w:after="200" w:line="360"/>
        <w:ind w:hanging="0"/>
        <w:jc w:val="left"/>
        <w:rPr/>
      </w:pPr>
      <w:r>
        <w:rPr>
          <w:rFonts w:ascii="Times New Roman" w:hAnsi="Times New Roman" w:cs="Times New Roman"/>
          <w:b w:val="1"/>
          <w:i w:val="0"/>
          <w:strike w:val="0"/>
          <w:color w:val="2D3748"/>
          <w:spacing w:val="0"/>
          <w:sz w:val="28"/>
          <w:u w:val="none"/>
        </w:rPr>
        <w:t xml:space="preserve">1.2.3 </w:t>
      </w:r>
      <w:r>
        <w:rPr>
          <w:rFonts w:ascii="SimHei" w:hAnsi="SimHei" w:eastAsia="SimHei" w:cs="SimHei"/>
          <w:b w:val="1"/>
          <w:i w:val="0"/>
          <w:strike w:val="0"/>
          <w:color w:val="2D3748"/>
          <w:spacing w:val="0"/>
          <w:sz w:val="28"/>
          <w:u w:val="none"/>
        </w:rPr>
        <w:t>政策驱动与监管科技研究</w:t>
      </w:r>
    </w:p>
    <w:p>
      <w:pPr>
        <w:snapToGrid w:val="1"/>
        <w:spacing w:after="200" w:line="360"/>
        <w:ind w:firstLine="420"/>
        <w:jc w:val="both"/>
        <w:rPr/>
      </w:pPr>
      <w:r>
        <w:rPr>
          <w:rFonts w:ascii="SimSun" w:hAnsi="SimSun" w:eastAsia="SimSun" w:cs="SimSun"/>
          <w:i w:val="0"/>
          <w:strike w:val="0"/>
          <w:color w:val="2D3748"/>
          <w:spacing w:val="0"/>
          <w:sz w:val="24"/>
          <w:u w:val="none"/>
        </w:rPr>
        <w:t>从政策环境来看，国家层面对金融数字化转型的战略部署为</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应用提供了重要驱动力。</w:t>
      </w:r>
      <w:r>
        <w:rPr>
          <w:rFonts w:ascii="Times New Roman" w:hAnsi="Times New Roman" w:cs="Times New Roman"/>
          <w:i w:val="0"/>
          <w:strike w:val="0"/>
          <w:color w:val="2D3748"/>
          <w:spacing w:val="0"/>
          <w:sz w:val="24"/>
          <w:u w:val="none"/>
        </w:rPr>
        <w:t>2023</w:t>
      </w:r>
      <w:r>
        <w:rPr>
          <w:rFonts w:ascii="SimSun" w:hAnsi="SimSun" w:eastAsia="SimSun" w:cs="SimSun"/>
          <w:i w:val="0"/>
          <w:strike w:val="0"/>
          <w:color w:val="2D3748"/>
          <w:spacing w:val="0"/>
          <w:sz w:val="24"/>
          <w:u w:val="none"/>
        </w:rPr>
        <w:t>年</w:t>
      </w:r>
      <w:r>
        <w:rPr>
          <w:rFonts w:ascii="Times New Roman" w:hAnsi="Times New Roman" w:cs="Times New Roman"/>
          <w:i w:val="0"/>
          <w:strike w:val="0"/>
          <w:color w:val="2D3748"/>
          <w:spacing w:val="0"/>
          <w:sz w:val="24"/>
          <w:u w:val="none"/>
        </w:rPr>
        <w:t>10</w:t>
      </w:r>
      <w:r>
        <w:rPr>
          <w:rFonts w:ascii="SimSun" w:hAnsi="SimSun" w:eastAsia="SimSun" w:cs="SimSun"/>
          <w:i w:val="0"/>
          <w:strike w:val="0"/>
          <w:color w:val="2D3748"/>
          <w:spacing w:val="0"/>
          <w:sz w:val="24"/>
          <w:u w:val="none"/>
        </w:rPr>
        <w:t>月，中央金融工作会议首次提出金融</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五篇大文章</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，将科技金融、绿色金融、普惠金融、养老金融、数字金融作为核心发展方向，要求建立</w:t>
      </w:r>
      <w:r>
        <w:rPr>
          <w:rFonts w:ascii="Times New Roman" w:hAnsi="Times New Roman" w:cs="Times New Roman"/>
          <w:i w:val="0"/>
          <w:strike w:val="0"/>
          <w:color w:val="2D3748"/>
          <w:spacing w:val="0"/>
          <w:sz w:val="24"/>
          <w:u w:val="none"/>
        </w:rPr>
        <w:t>“1+5+X”</w:t>
      </w:r>
      <w:r>
        <w:rPr>
          <w:rFonts w:ascii="SimSun" w:hAnsi="SimSun" w:eastAsia="SimSun" w:cs="SimSun"/>
          <w:i w:val="0"/>
          <w:strike w:val="0"/>
          <w:color w:val="2D3748"/>
          <w:spacing w:val="0"/>
          <w:sz w:val="24"/>
          <w:u w:val="none"/>
        </w:rPr>
        <w:t>制度框架，夯实数字基础设施支撑（新华社，</w:t>
      </w:r>
      <w:r>
        <w:rPr>
          <w:rFonts w:ascii="Times New Roman" w:hAnsi="Times New Roman" w:cs="Times New Roman"/>
          <w:i w:val="0"/>
          <w:strike w:val="0"/>
          <w:color w:val="2D3748"/>
          <w:spacing w:val="0"/>
          <w:sz w:val="24"/>
          <w:u w:val="none"/>
        </w:rPr>
        <w:t>2023</w:t>
      </w:r>
      <w:r>
        <w:rPr>
          <w:rFonts w:ascii="SimSun" w:hAnsi="SimSun" w:eastAsia="SimSun" w:cs="SimSun"/>
          <w:i w:val="0"/>
          <w:strike w:val="0"/>
          <w:color w:val="2D3748"/>
          <w:spacing w:val="0"/>
          <w:sz w:val="24"/>
          <w:u w:val="none"/>
        </w:rPr>
        <w:t>）。《中共中央关于制定国民经济和社会发展第十五个五年规划的建议》进一步强调，要</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大力发展科技金融、数字金融等</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五篇大文章</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安全稳妥有序推进金融领域人工智能应用</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，为</w:t>
      </w:r>
      <w:r>
        <w:rPr>
          <w:rFonts w:ascii="Times New Roman" w:hAnsi="Times New Roman" w:cs="Times New Roman"/>
          <w:i w:val="0"/>
          <w:strike w:val="0"/>
          <w:color w:val="2D3748"/>
          <w:spacing w:val="0"/>
          <w:sz w:val="24"/>
          <w:u w:val="none"/>
        </w:rPr>
        <w:t>RPA+AI</w:t>
      </w:r>
      <w:r>
        <w:rPr>
          <w:rFonts w:ascii="SimSun" w:hAnsi="SimSun" w:eastAsia="SimSun" w:cs="SimSun"/>
          <w:i w:val="0"/>
          <w:strike w:val="0"/>
          <w:color w:val="2D3748"/>
          <w:spacing w:val="0"/>
          <w:sz w:val="24"/>
          <w:u w:val="none"/>
        </w:rPr>
        <w:t>协同提供了明确的政策依据（中国政府网，</w:t>
      </w:r>
      <w:r>
        <w:rPr>
          <w:rFonts w:ascii="Times New Roman" w:hAnsi="Times New Roman" w:cs="Times New Roman"/>
          <w:i w:val="0"/>
          <w:strike w:val="0"/>
          <w:color w:val="2D3748"/>
          <w:spacing w:val="0"/>
          <w:sz w:val="24"/>
          <w:u w:val="none"/>
        </w:rPr>
        <w:t>2024</w:t>
      </w:r>
      <w:r>
        <w:rPr>
          <w:rFonts w:ascii="SimSun" w:hAnsi="SimSun" w:eastAsia="SimSun" w:cs="SimSun"/>
          <w:i w:val="0"/>
          <w:strike w:val="0"/>
          <w:color w:val="2D3748"/>
          <w:spacing w:val="0"/>
          <w:sz w:val="24"/>
          <w:u w:val="none"/>
        </w:rPr>
        <w:t>）。</w:t>
      </w:r>
    </w:p>
    <w:p>
      <w:pPr>
        <w:snapToGrid w:val="1"/>
        <w:spacing w:after="200" w:line="360"/>
        <w:ind w:firstLine="420"/>
        <w:jc w:val="both"/>
        <w:rPr/>
      </w:pPr>
      <w:r>
        <w:rPr>
          <w:rFonts w:ascii="SimSun" w:hAnsi="SimSun" w:eastAsia="SimSun" w:cs="SimSun"/>
          <w:i w:val="0"/>
          <w:strike w:val="0"/>
          <w:color w:val="2D3748"/>
          <w:spacing w:val="0"/>
          <w:sz w:val="24"/>
          <w:u w:val="none"/>
        </w:rPr>
        <w:t>在科技金融政策落地方面，科技部、中国人民银行等七部门联合印发的《加快构建科技金融体制有力支撑高水平科技自立自强的若干政策举措》部署了</w:t>
      </w:r>
      <w:r>
        <w:rPr>
          <w:rFonts w:ascii="Times New Roman" w:hAnsi="Times New Roman" w:cs="Times New Roman"/>
          <w:i w:val="0"/>
          <w:strike w:val="0"/>
          <w:color w:val="2D3748"/>
          <w:spacing w:val="0"/>
          <w:sz w:val="24"/>
          <w:u w:val="none"/>
        </w:rPr>
        <w:t>15</w:t>
      </w:r>
      <w:r>
        <w:rPr>
          <w:rFonts w:ascii="SimSun" w:hAnsi="SimSun" w:eastAsia="SimSun" w:cs="SimSun"/>
          <w:i w:val="0"/>
          <w:strike w:val="0"/>
          <w:color w:val="2D3748"/>
          <w:spacing w:val="0"/>
          <w:sz w:val="24"/>
          <w:u w:val="none"/>
        </w:rPr>
        <w:t>项具体举措，涵盖创业投资、货币信贷、资本市场、科技保险、债券市场等</w:t>
      </w:r>
      <w:r>
        <w:rPr>
          <w:rFonts w:ascii="Times New Roman" w:hAnsi="Times New Roman" w:cs="Times New Roman"/>
          <w:i w:val="0"/>
          <w:strike w:val="0"/>
          <w:color w:val="2D3748"/>
          <w:spacing w:val="0"/>
          <w:sz w:val="24"/>
          <w:u w:val="none"/>
        </w:rPr>
        <w:t>7</w:t>
      </w:r>
      <w:r>
        <w:rPr>
          <w:rFonts w:ascii="SimSun" w:hAnsi="SimSun" w:eastAsia="SimSun" w:cs="SimSun"/>
          <w:i w:val="0"/>
          <w:strike w:val="0"/>
          <w:color w:val="2D3748"/>
          <w:spacing w:val="0"/>
          <w:sz w:val="24"/>
          <w:u w:val="none"/>
        </w:rPr>
        <w:t>个领域（中国政府网，</w:t>
      </w:r>
      <w:r>
        <w:rPr>
          <w:rFonts w:ascii="Times New Roman" w:hAnsi="Times New Roman" w:cs="Times New Roman"/>
          <w:i w:val="0"/>
          <w:strike w:val="0"/>
          <w:color w:val="2D3748"/>
          <w:spacing w:val="0"/>
          <w:sz w:val="24"/>
          <w:u w:val="none"/>
        </w:rPr>
        <w:t>2025</w:t>
      </w:r>
      <w:r>
        <w:rPr>
          <w:rFonts w:ascii="SimSun" w:hAnsi="SimSun" w:eastAsia="SimSun" w:cs="SimSun"/>
          <w:i w:val="0"/>
          <w:strike w:val="0"/>
          <w:color w:val="2D3748"/>
          <w:spacing w:val="0"/>
          <w:sz w:val="24"/>
          <w:u w:val="none"/>
        </w:rPr>
        <w:t>）。政策明确将科技创新再贷款规模扩大至</w:t>
      </w:r>
      <w:r>
        <w:rPr>
          <w:rFonts w:ascii="Times New Roman" w:hAnsi="Times New Roman" w:cs="Times New Roman"/>
          <w:i w:val="0"/>
          <w:strike w:val="0"/>
          <w:color w:val="2D3748"/>
          <w:spacing w:val="0"/>
          <w:sz w:val="24"/>
          <w:u w:val="none"/>
        </w:rPr>
        <w:t>8000</w:t>
      </w:r>
      <w:r>
        <w:rPr>
          <w:rFonts w:ascii="SimSun" w:hAnsi="SimSun" w:eastAsia="SimSun" w:cs="SimSun"/>
          <w:i w:val="0"/>
          <w:strike w:val="0"/>
          <w:color w:val="2D3748"/>
          <w:spacing w:val="0"/>
          <w:sz w:val="24"/>
          <w:u w:val="none"/>
        </w:rPr>
        <w:t>亿元，建设债券市场</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科技板</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，为硬科技企业上市开通</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绿色通道</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。这些政策举措涉及大量流程优化需求，如科技企业贷款审核、科创债券发行材料处理、创新积分制企业资质审核等，为</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在金融领域的深度应用提供了广阔的政策空间。</w:t>
      </w:r>
    </w:p>
    <w:p>
      <w:pPr>
        <w:snapToGrid w:val="1"/>
        <w:spacing w:after="200" w:line="360"/>
        <w:ind w:firstLine="420"/>
        <w:jc w:val="both"/>
        <w:rPr/>
      </w:pPr>
      <w:r>
        <w:rPr>
          <w:rFonts w:ascii="SimSun" w:hAnsi="SimSun" w:eastAsia="SimSun" w:cs="SimSun"/>
          <w:i w:val="0"/>
          <w:strike w:val="0"/>
          <w:color w:val="2D3748"/>
          <w:spacing w:val="0"/>
          <w:sz w:val="24"/>
          <w:u w:val="none"/>
        </w:rPr>
        <w:t>在区域政策落地实践方面，各地金融监管部门积极推动</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技术的规模化应用。人民银行安徽省分行引导金融机构综合运用</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w:t>
      </w:r>
      <w:r>
        <w:rPr>
          <w:rFonts w:ascii="Times New Roman" w:hAnsi="Times New Roman" w:cs="Times New Roman"/>
          <w:i w:val="0"/>
          <w:strike w:val="0"/>
          <w:color w:val="2D3748"/>
          <w:spacing w:val="0"/>
          <w:sz w:val="24"/>
          <w:u w:val="none"/>
        </w:rPr>
        <w:t>OCR</w:t>
      </w:r>
      <w:r>
        <w:rPr>
          <w:rFonts w:ascii="SimSun" w:hAnsi="SimSun" w:eastAsia="SimSun" w:cs="SimSun"/>
          <w:i w:val="0"/>
          <w:strike w:val="0"/>
          <w:color w:val="2D3748"/>
          <w:spacing w:val="0"/>
          <w:sz w:val="24"/>
          <w:u w:val="none"/>
        </w:rPr>
        <w:t>等技术实现重复性业务流程自动化，邮储银行安徽省分行上线近</w:t>
      </w:r>
      <w:r>
        <w:rPr>
          <w:rFonts w:ascii="Times New Roman" w:hAnsi="Times New Roman" w:cs="Times New Roman"/>
          <w:i w:val="0"/>
          <w:strike w:val="0"/>
          <w:color w:val="2D3748"/>
          <w:spacing w:val="0"/>
          <w:sz w:val="24"/>
          <w:u w:val="none"/>
        </w:rPr>
        <w:t>200</w:t>
      </w:r>
      <w:r>
        <w:rPr>
          <w:rFonts w:ascii="SimSun" w:hAnsi="SimSun" w:eastAsia="SimSun" w:cs="SimSun"/>
          <w:i w:val="0"/>
          <w:strike w:val="0"/>
          <w:color w:val="2D3748"/>
          <w:spacing w:val="0"/>
          <w:sz w:val="24"/>
          <w:u w:val="none"/>
        </w:rPr>
        <w:t>项</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自动化场景，年执行次数</w:t>
      </w:r>
      <w:r>
        <w:rPr>
          <w:rFonts w:ascii="Times New Roman" w:hAnsi="Times New Roman" w:cs="Times New Roman"/>
          <w:i w:val="0"/>
          <w:strike w:val="0"/>
          <w:color w:val="2D3748"/>
          <w:spacing w:val="0"/>
          <w:sz w:val="24"/>
          <w:u w:val="none"/>
        </w:rPr>
        <w:t>8</w:t>
      </w:r>
      <w:r>
        <w:rPr>
          <w:rFonts w:ascii="SimSun" w:hAnsi="SimSun" w:eastAsia="SimSun" w:cs="SimSun"/>
          <w:i w:val="0"/>
          <w:strike w:val="0"/>
          <w:color w:val="2D3748"/>
          <w:spacing w:val="0"/>
          <w:sz w:val="24"/>
          <w:u w:val="none"/>
        </w:rPr>
        <w:t>万余次；新安银行构建</w:t>
      </w:r>
      <w:r>
        <w:rPr>
          <w:rFonts w:ascii="Times New Roman" w:hAnsi="Times New Roman" w:cs="Times New Roman"/>
          <w:i w:val="0"/>
          <w:strike w:val="0"/>
          <w:color w:val="2D3748"/>
          <w:spacing w:val="0"/>
          <w:sz w:val="24"/>
          <w:u w:val="none"/>
        </w:rPr>
        <w:t>“AI+RPA+</w:t>
      </w:r>
      <w:r>
        <w:rPr>
          <w:rFonts w:ascii="SimSun" w:hAnsi="SimSun" w:eastAsia="SimSun" w:cs="SimSun"/>
          <w:i w:val="0"/>
          <w:strike w:val="0"/>
          <w:color w:val="2D3748"/>
          <w:spacing w:val="0"/>
          <w:sz w:val="24"/>
          <w:u w:val="none"/>
        </w:rPr>
        <w:t>大模型</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技术体系，部署</w:t>
      </w:r>
      <w:r>
        <w:rPr>
          <w:rFonts w:ascii="Times New Roman" w:hAnsi="Times New Roman" w:cs="Times New Roman"/>
          <w:i w:val="0"/>
          <w:strike w:val="0"/>
          <w:color w:val="2D3748"/>
          <w:spacing w:val="0"/>
          <w:sz w:val="24"/>
          <w:u w:val="none"/>
        </w:rPr>
        <w:t>23</w:t>
      </w:r>
      <w:r>
        <w:rPr>
          <w:rFonts w:ascii="SimSun" w:hAnsi="SimSun" w:eastAsia="SimSun" w:cs="SimSun"/>
          <w:i w:val="0"/>
          <w:strike w:val="0"/>
          <w:color w:val="2D3748"/>
          <w:spacing w:val="0"/>
          <w:sz w:val="24"/>
          <w:u w:val="none"/>
        </w:rPr>
        <w:t>台</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机器人，覆盖小微贷款审批、房产线上抵押等</w:t>
      </w:r>
      <w:r>
        <w:rPr>
          <w:rFonts w:ascii="Times New Roman" w:hAnsi="Times New Roman" w:cs="Times New Roman"/>
          <w:i w:val="0"/>
          <w:strike w:val="0"/>
          <w:color w:val="2D3748"/>
          <w:spacing w:val="0"/>
          <w:sz w:val="24"/>
          <w:u w:val="none"/>
        </w:rPr>
        <w:t>60</w:t>
      </w:r>
      <w:r>
        <w:rPr>
          <w:rFonts w:ascii="SimSun" w:hAnsi="SimSun" w:eastAsia="SimSun" w:cs="SimSun"/>
          <w:i w:val="0"/>
          <w:strike w:val="0"/>
          <w:color w:val="2D3748"/>
          <w:spacing w:val="0"/>
          <w:sz w:val="24"/>
          <w:u w:val="none"/>
        </w:rPr>
        <w:t>余个场景（中国人民银行，</w:t>
      </w:r>
      <w:r>
        <w:rPr>
          <w:rFonts w:ascii="Times New Roman" w:hAnsi="Times New Roman" w:cs="Times New Roman"/>
          <w:i w:val="0"/>
          <w:strike w:val="0"/>
          <w:color w:val="2D3748"/>
          <w:spacing w:val="0"/>
          <w:sz w:val="24"/>
          <w:u w:val="none"/>
        </w:rPr>
        <w:t>2025</w:t>
      </w:r>
      <w:r>
        <w:rPr>
          <w:rFonts w:ascii="SimSun" w:hAnsi="SimSun" w:eastAsia="SimSun" w:cs="SimSun"/>
          <w:i w:val="0"/>
          <w:strike w:val="0"/>
          <w:color w:val="2D3748"/>
          <w:spacing w:val="0"/>
          <w:sz w:val="24"/>
          <w:u w:val="none"/>
        </w:rPr>
        <w:t>）。人民银行济南分行运用</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技术对金融机构反馈的</w:t>
      </w:r>
      <w:r>
        <w:rPr>
          <w:rFonts w:ascii="Times New Roman" w:hAnsi="Times New Roman" w:cs="Times New Roman"/>
          <w:i w:val="0"/>
          <w:strike w:val="0"/>
          <w:color w:val="2D3748"/>
          <w:spacing w:val="0"/>
          <w:sz w:val="24"/>
          <w:u w:val="none"/>
        </w:rPr>
        <w:t>123</w:t>
      </w:r>
      <w:r>
        <w:rPr>
          <w:rFonts w:ascii="SimSun" w:hAnsi="SimSun" w:eastAsia="SimSun" w:cs="SimSun"/>
          <w:i w:val="0"/>
          <w:strike w:val="0"/>
          <w:color w:val="2D3748"/>
          <w:spacing w:val="0"/>
          <w:sz w:val="24"/>
          <w:u w:val="none"/>
        </w:rPr>
        <w:t>项金融科技指标数据进行自动化评分，量身定制分析报告，并与数据驾驶舱平台对接，实现可视化展示（中国人民银行济南分行，</w:t>
      </w:r>
      <w:r>
        <w:rPr>
          <w:rFonts w:ascii="Times New Roman" w:hAnsi="Times New Roman" w:cs="Times New Roman"/>
          <w:i w:val="0"/>
          <w:strike w:val="0"/>
          <w:color w:val="2D3748"/>
          <w:spacing w:val="0"/>
          <w:sz w:val="24"/>
          <w:u w:val="none"/>
        </w:rPr>
        <w:t>2025</w:t>
      </w:r>
      <w:r>
        <w:rPr>
          <w:rFonts w:ascii="SimSun" w:hAnsi="SimSun" w:eastAsia="SimSun" w:cs="SimSun"/>
          <w:i w:val="0"/>
          <w:strike w:val="0"/>
          <w:color w:val="2D3748"/>
          <w:spacing w:val="0"/>
          <w:sz w:val="24"/>
          <w:u w:val="none"/>
        </w:rPr>
        <w:t>）。大理州分行推动工商银行大理分行部署</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机器人覆盖智慧教育、智慧停车、智慧收单等</w:t>
      </w:r>
      <w:r>
        <w:rPr>
          <w:rFonts w:ascii="Times New Roman" w:hAnsi="Times New Roman" w:cs="Times New Roman"/>
          <w:i w:val="0"/>
          <w:strike w:val="0"/>
          <w:color w:val="2D3748"/>
          <w:spacing w:val="0"/>
          <w:sz w:val="24"/>
          <w:u w:val="none"/>
        </w:rPr>
        <w:t>10</w:t>
      </w:r>
      <w:r>
        <w:rPr>
          <w:rFonts w:ascii="SimSun" w:hAnsi="SimSun" w:eastAsia="SimSun" w:cs="SimSun"/>
          <w:i w:val="0"/>
          <w:strike w:val="0"/>
          <w:color w:val="2D3748"/>
          <w:spacing w:val="0"/>
          <w:sz w:val="24"/>
          <w:u w:val="none"/>
        </w:rPr>
        <w:t>个县域数字民生场景，体现了</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技术在下沉市场的应用潜力（中国人民银行大理州分行，</w:t>
      </w:r>
      <w:r>
        <w:rPr>
          <w:rFonts w:ascii="Times New Roman" w:hAnsi="Times New Roman" w:cs="Times New Roman"/>
          <w:i w:val="0"/>
          <w:strike w:val="0"/>
          <w:color w:val="2D3748"/>
          <w:spacing w:val="0"/>
          <w:sz w:val="24"/>
          <w:u w:val="none"/>
        </w:rPr>
        <w:t>2025</w:t>
      </w:r>
      <w:r>
        <w:rPr>
          <w:rFonts w:ascii="SimSun" w:hAnsi="SimSun" w:eastAsia="SimSun" w:cs="SimSun"/>
          <w:i w:val="0"/>
          <w:strike w:val="0"/>
          <w:color w:val="2D3748"/>
          <w:spacing w:val="0"/>
          <w:sz w:val="24"/>
          <w:u w:val="none"/>
        </w:rPr>
        <w:t>）。</w:t>
      </w:r>
    </w:p>
    <w:p>
      <w:pPr>
        <w:snapToGrid w:val="1"/>
        <w:spacing w:after="200" w:line="360"/>
        <w:ind w:firstLine="420"/>
        <w:jc w:val="both"/>
        <w:rPr/>
      </w:pPr>
      <w:r>
        <w:rPr>
          <w:rFonts w:ascii="SimSun" w:hAnsi="SimSun" w:eastAsia="SimSun" w:cs="SimSun"/>
          <w:i w:val="0"/>
          <w:strike w:val="0"/>
          <w:color w:val="2D3748"/>
          <w:spacing w:val="0"/>
          <w:sz w:val="24"/>
          <w:u w:val="none"/>
        </w:rPr>
        <w:t>在监管科技领域，</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作为合规流程自动化的核心工具受到广泛关注。美国金融业监管局（</w:t>
      </w:r>
      <w:r>
        <w:rPr>
          <w:rFonts w:ascii="Times New Roman" w:hAnsi="Times New Roman" w:cs="Times New Roman"/>
          <w:i w:val="0"/>
          <w:strike w:val="0"/>
          <w:color w:val="2D3748"/>
          <w:spacing w:val="0"/>
          <w:sz w:val="24"/>
          <w:u w:val="none"/>
        </w:rPr>
        <w:t>FINRA</w:t>
      </w:r>
      <w:r>
        <w:rPr>
          <w:rFonts w:ascii="SimSun" w:hAnsi="SimSun" w:eastAsia="SimSun" w:cs="SimSun"/>
          <w:i w:val="0"/>
          <w:strike w:val="0"/>
          <w:color w:val="2D3748"/>
          <w:spacing w:val="0"/>
          <w:sz w:val="24"/>
          <w:u w:val="none"/>
        </w:rPr>
        <w:t>）在中小券商合规文化建设中大量运用</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技术，实现合规汇报自动化、客户识别（</w:t>
      </w:r>
      <w:r>
        <w:rPr>
          <w:rFonts w:ascii="Times New Roman" w:hAnsi="Times New Roman" w:cs="Times New Roman"/>
          <w:i w:val="0"/>
          <w:strike w:val="0"/>
          <w:color w:val="2D3748"/>
          <w:spacing w:val="0"/>
          <w:sz w:val="24"/>
          <w:u w:val="none"/>
        </w:rPr>
        <w:t>KYC</w:t>
      </w:r>
      <w:r>
        <w:rPr>
          <w:rFonts w:ascii="SimSun" w:hAnsi="SimSun" w:eastAsia="SimSun" w:cs="SimSun"/>
          <w:i w:val="0"/>
          <w:strike w:val="0"/>
          <w:color w:val="2D3748"/>
          <w:spacing w:val="0"/>
          <w:sz w:val="24"/>
          <w:u w:val="none"/>
        </w:rPr>
        <w:t>）与反洗钱（</w:t>
      </w:r>
      <w:r>
        <w:rPr>
          <w:rFonts w:ascii="Times New Roman" w:hAnsi="Times New Roman" w:cs="Times New Roman"/>
          <w:i w:val="0"/>
          <w:strike w:val="0"/>
          <w:color w:val="2D3748"/>
          <w:spacing w:val="0"/>
          <w:sz w:val="24"/>
          <w:u w:val="none"/>
        </w:rPr>
        <w:t>AML</w:t>
      </w:r>
      <w:r>
        <w:rPr>
          <w:rFonts w:ascii="SimSun" w:hAnsi="SimSun" w:eastAsia="SimSun" w:cs="SimSun"/>
          <w:i w:val="0"/>
          <w:strike w:val="0"/>
          <w:color w:val="2D3748"/>
          <w:spacing w:val="0"/>
          <w:sz w:val="24"/>
          <w:u w:val="none"/>
        </w:rPr>
        <w:t>）合规流程优化、风险监测预警等功能（中国证券业协会，</w:t>
      </w:r>
      <w:r>
        <w:rPr>
          <w:rFonts w:ascii="Times New Roman" w:hAnsi="Times New Roman" w:cs="Times New Roman"/>
          <w:i w:val="0"/>
          <w:strike w:val="0"/>
          <w:color w:val="2D3748"/>
          <w:spacing w:val="0"/>
          <w:sz w:val="24"/>
          <w:u w:val="none"/>
        </w:rPr>
        <w:t>2020</w:t>
      </w:r>
      <w:r>
        <w:rPr>
          <w:rFonts w:ascii="SimSun" w:hAnsi="SimSun" w:eastAsia="SimSun" w:cs="SimSun"/>
          <w:i w:val="0"/>
          <w:strike w:val="0"/>
          <w:color w:val="2D3748"/>
          <w:spacing w:val="0"/>
          <w:sz w:val="24"/>
          <w:u w:val="none"/>
        </w:rPr>
        <w:t>）。研究表明，通过</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技术，中小券商可提升合规警报准确率，处理非结构化数据，将传统基于样本的审查模式升级为全面、实时的持续监控模式，显著降低合规成本。</w:t>
      </w:r>
    </w:p>
    <w:p>
      <w:pPr>
        <w:pStyle w:val="000008"/>
        <w:snapToGrid w:val="1"/>
        <w:spacing w:before="300" w:after="200" w:line="360"/>
        <w:ind w:hanging="0"/>
        <w:jc w:val="left"/>
        <w:rPr/>
      </w:pPr>
      <w:r>
        <w:rPr>
          <w:rFonts w:ascii="Times New Roman" w:hAnsi="Times New Roman" w:cs="Times New Roman"/>
          <w:b w:val="1"/>
          <w:i w:val="0"/>
          <w:strike w:val="0"/>
          <w:color w:val="2D3748"/>
          <w:spacing w:val="0"/>
          <w:sz w:val="28"/>
          <w:u w:val="none"/>
        </w:rPr>
        <w:t xml:space="preserve">1.2.4 </w:t>
      </w:r>
      <w:r>
        <w:rPr>
          <w:rFonts w:ascii="SimHei" w:hAnsi="SimHei" w:eastAsia="SimHei" w:cs="SimHei"/>
          <w:b w:val="1"/>
          <w:i w:val="0"/>
          <w:strike w:val="0"/>
          <w:color w:val="2D3748"/>
          <w:spacing w:val="0"/>
          <w:sz w:val="28"/>
          <w:u w:val="none"/>
        </w:rPr>
        <w:t>现有研究评述与研究空白</w:t>
      </w:r>
    </w:p>
    <w:p>
      <w:pPr>
        <w:snapToGrid w:val="1"/>
        <w:spacing w:after="200" w:line="360"/>
        <w:ind w:firstLine="420"/>
        <w:jc w:val="both"/>
        <w:rPr/>
      </w:pPr>
      <w:r>
        <w:rPr>
          <w:rFonts w:ascii="SimSun" w:hAnsi="SimSun" w:eastAsia="SimSun" w:cs="SimSun"/>
          <w:i w:val="0"/>
          <w:strike w:val="0"/>
          <w:color w:val="2D3748"/>
          <w:spacing w:val="0"/>
          <w:sz w:val="24"/>
          <w:u w:val="none"/>
        </w:rPr>
        <w:t>综上所述，现有文献已从技术特性、应用场景、政策环境等多个维度对</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在金融领域的应用进行了有益探讨，为本研究提供了重要的理论基础和实践参考。然而，通过对现有研究的系统梳理，本研究发现仍存在以下研究空白：</w:t>
      </w:r>
    </w:p>
    <w:p>
      <w:pPr>
        <w:snapToGrid w:val="1"/>
        <w:spacing w:after="200" w:line="360"/>
        <w:ind w:firstLine="420"/>
        <w:jc w:val="both"/>
        <w:rPr/>
      </w:pPr>
      <w:r>
        <w:rPr>
          <w:rFonts w:ascii="SimSun" w:hAnsi="SimSun" w:eastAsia="SimSun" w:cs="SimSun"/>
          <w:i w:val="0"/>
          <w:strike w:val="0"/>
          <w:color w:val="2D3748"/>
          <w:spacing w:val="0"/>
          <w:sz w:val="24"/>
          <w:u w:val="none"/>
        </w:rPr>
        <w:t>第一，在政策结合维度，现有研究尚未充分结合金融</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五篇大文章</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战略框架，系统分析</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在科技金融、绿色金融、普惠金融、养老金融、数字金融等细分场景的适配性与应用路径。特别是针对科技金融</w:t>
      </w:r>
      <w:r>
        <w:rPr>
          <w:rFonts w:ascii="Times New Roman" w:hAnsi="Times New Roman" w:cs="Times New Roman"/>
          <w:i w:val="0"/>
          <w:strike w:val="0"/>
          <w:color w:val="2D3748"/>
          <w:spacing w:val="0"/>
          <w:sz w:val="24"/>
          <w:u w:val="none"/>
        </w:rPr>
        <w:t>15</w:t>
      </w:r>
      <w:r>
        <w:rPr>
          <w:rFonts w:ascii="SimSun" w:hAnsi="SimSun" w:eastAsia="SimSun" w:cs="SimSun"/>
          <w:i w:val="0"/>
          <w:strike w:val="0"/>
          <w:color w:val="2D3748"/>
          <w:spacing w:val="0"/>
          <w:sz w:val="24"/>
          <w:u w:val="none"/>
        </w:rPr>
        <w:t>项举措中的</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创新积分制</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科创债发行</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硬科技企业上市绿色通道</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等具体政策场景，现有文献缺乏深入的</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应用需求分析。</w:t>
      </w:r>
    </w:p>
    <w:p>
      <w:pPr>
        <w:snapToGrid w:val="1"/>
        <w:spacing w:after="200" w:line="360"/>
        <w:ind w:firstLine="420"/>
        <w:jc w:val="both"/>
        <w:rPr/>
      </w:pPr>
      <w:r>
        <w:rPr>
          <w:rFonts w:ascii="SimSun" w:hAnsi="SimSun" w:eastAsia="SimSun" w:cs="SimSun"/>
          <w:i w:val="0"/>
          <w:strike w:val="0"/>
          <w:color w:val="2D3748"/>
          <w:spacing w:val="0"/>
          <w:sz w:val="24"/>
          <w:u w:val="none"/>
        </w:rPr>
        <w:t>第二，在区域覆盖维度，现有研究多聚焦于东部发达地区的大型金融机构，对中西部地区、县域下沉市场的</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应用实践关注不足。云南大理州等西南地区的</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县域数字民生场景</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绿色金融示范区</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等特色实践尚未得到充分研究，中小银行、涉农金融机构在</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应用中面临的基础设施制约、成本约束、技术适配等问题有待深入探讨。</w:t>
      </w:r>
    </w:p>
    <w:p>
      <w:pPr>
        <w:snapToGrid w:val="1"/>
        <w:spacing w:after="200" w:line="360"/>
        <w:ind w:firstLine="420"/>
        <w:jc w:val="both"/>
        <w:rPr/>
      </w:pPr>
      <w:r>
        <w:rPr>
          <w:rFonts w:ascii="SimSun" w:hAnsi="SimSun" w:eastAsia="SimSun" w:cs="SimSun"/>
          <w:i w:val="0"/>
          <w:strike w:val="0"/>
          <w:color w:val="2D3748"/>
          <w:spacing w:val="0"/>
          <w:sz w:val="24"/>
          <w:u w:val="none"/>
        </w:rPr>
        <w:t>第三，在技术融合维度，现有研究虽已提及</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与</w:t>
      </w:r>
      <w:r>
        <w:rPr>
          <w:rFonts w:ascii="Times New Roman" w:hAnsi="Times New Roman" w:cs="Times New Roman"/>
          <w:i w:val="0"/>
          <w:strike w:val="0"/>
          <w:color w:val="2D3748"/>
          <w:spacing w:val="0"/>
          <w:sz w:val="24"/>
          <w:u w:val="none"/>
        </w:rPr>
        <w:t>AI</w:t>
      </w:r>
      <w:r>
        <w:rPr>
          <w:rFonts w:ascii="SimSun" w:hAnsi="SimSun" w:eastAsia="SimSun" w:cs="SimSun"/>
          <w:i w:val="0"/>
          <w:strike w:val="0"/>
          <w:color w:val="2D3748"/>
          <w:spacing w:val="0"/>
          <w:sz w:val="24"/>
          <w:u w:val="none"/>
        </w:rPr>
        <w:t>的协同趋势，但缺乏对</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大语言模型</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在金融文档智能处理、合同审查、财报分析等复杂场景的深度应用研究。特别是面向非结构化文档的</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端到端自动化</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处理、智能体流程自动化（</w:t>
      </w:r>
      <w:r>
        <w:rPr>
          <w:rFonts w:ascii="Times New Roman" w:hAnsi="Times New Roman" w:cs="Times New Roman"/>
          <w:i w:val="0"/>
          <w:strike w:val="0"/>
          <w:color w:val="2D3748"/>
          <w:spacing w:val="0"/>
          <w:sz w:val="24"/>
          <w:u w:val="none"/>
        </w:rPr>
        <w:t>Agentic Process Automation</w:t>
      </w:r>
      <w:r>
        <w:rPr>
          <w:rFonts w:ascii="SimSun" w:hAnsi="SimSun" w:eastAsia="SimSun" w:cs="SimSun"/>
          <w:i w:val="0"/>
          <w:strike w:val="0"/>
          <w:color w:val="2D3748"/>
          <w:spacing w:val="0"/>
          <w:sz w:val="24"/>
          <w:u w:val="none"/>
        </w:rPr>
        <w:t>）等前沿方向，现有文献尚未形成系统性的理论框架。</w:t>
      </w:r>
    </w:p>
    <w:p>
      <w:pPr>
        <w:snapToGrid w:val="1"/>
        <w:spacing w:after="200" w:line="360"/>
        <w:ind w:firstLine="420"/>
        <w:jc w:val="both"/>
        <w:rPr/>
      </w:pPr>
      <w:r>
        <w:rPr>
          <w:rFonts w:ascii="SimSun" w:hAnsi="SimSun" w:eastAsia="SimSun" w:cs="SimSun"/>
          <w:i w:val="0"/>
          <w:strike w:val="0"/>
          <w:color w:val="2D3748"/>
          <w:spacing w:val="0"/>
          <w:sz w:val="24"/>
          <w:u w:val="none"/>
        </w:rPr>
        <w:t>第四，在合规风险维度，现有研究对</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应用的风险识别与防范机制探讨相对薄弱。随着</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在金融核心业务中的应用加深，监管机构对其关注度空前提高，健全的治理与合规体系成为决定</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项目能否成功规模化的关键。然而，现有文献在</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流程的可追溯性、决策可解释性、数据安全与隐私保护等合规议题上缺乏系统性研究。</w:t>
      </w:r>
    </w:p>
    <w:p>
      <w:pPr>
        <w:snapToGrid w:val="1"/>
        <w:spacing w:after="200" w:line="360"/>
        <w:ind w:firstLine="420"/>
        <w:jc w:val="both"/>
        <w:rPr/>
      </w:pPr>
      <w:r>
        <w:rPr>
          <w:rFonts w:ascii="SimSun" w:hAnsi="SimSun" w:eastAsia="SimSun" w:cs="SimSun"/>
          <w:i w:val="0"/>
          <w:strike w:val="0"/>
          <w:color w:val="2D3748"/>
          <w:spacing w:val="0"/>
          <w:sz w:val="24"/>
          <w:u w:val="none"/>
        </w:rPr>
        <w:t>基于此，本研究立足于金融</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五篇大文章</w:t>
      </w:r>
      <w:r>
        <w:rPr>
          <w:rFonts w:ascii="Times New Roman" w:hAnsi="Times New Roman" w:cs="Times New Roman"/>
          <w:i w:val="0"/>
          <w:strike w:val="0"/>
          <w:color w:val="2D3748"/>
          <w:spacing w:val="0"/>
          <w:sz w:val="24"/>
          <w:u w:val="none"/>
        </w:rPr>
        <w:t>”</w:t>
      </w:r>
      <w:r>
        <w:rPr>
          <w:rFonts w:ascii="SimSun" w:hAnsi="SimSun" w:eastAsia="SimSun" w:cs="SimSun"/>
          <w:i w:val="0"/>
          <w:strike w:val="0"/>
          <w:color w:val="2D3748"/>
          <w:spacing w:val="0"/>
          <w:sz w:val="24"/>
          <w:u w:val="none"/>
        </w:rPr>
        <w:t>政策框架，结合安徽、山东、大理州等区域落地实践，从技术功能、业务场景、用户角色三个维度，系统调查</w:t>
      </w:r>
      <w:r>
        <w:rPr>
          <w:rFonts w:ascii="Times New Roman" w:hAnsi="Times New Roman" w:cs="Times New Roman"/>
          <w:i w:val="0"/>
          <w:strike w:val="0"/>
          <w:color w:val="2D3748"/>
          <w:spacing w:val="0"/>
          <w:sz w:val="24"/>
          <w:u w:val="none"/>
        </w:rPr>
        <w:t>RPA</w:t>
      </w:r>
      <w:r>
        <w:rPr>
          <w:rFonts w:ascii="SimSun" w:hAnsi="SimSun" w:eastAsia="SimSun" w:cs="SimSun"/>
          <w:i w:val="0"/>
          <w:strike w:val="0"/>
          <w:color w:val="2D3748"/>
          <w:spacing w:val="0"/>
          <w:sz w:val="24"/>
          <w:u w:val="none"/>
        </w:rPr>
        <w:t>技术在金融经济领域的应用现状、客户需求与未来趋势，旨在填补上述研究空白，为金融机构数字化转型提供实证依据与决策参考。</w:t>
      </w:r>
    </w:p>
    <w:p>
      <w:pPr>
        <w:pStyle w:val="000008"/>
        <w:snapToGrid w:val="1"/>
        <w:spacing w:before="300" w:after="200" w:line="360"/>
        <w:ind w:hanging="0"/>
        <w:jc w:val="left"/>
        <w:rPr/>
      </w:pPr>
      <w:r>
        <w:rPr>
          <w:rFonts w:ascii="SimHei" w:hAnsi="SimHei" w:eastAsia="SimHei" w:cs="SimHei"/>
          <w:b w:val="1"/>
          <w:i w:val="0"/>
          <w:strike w:val="0"/>
          <w:color w:val="2D3748"/>
          <w:spacing w:val="0"/>
          <w:sz w:val="28"/>
          <w:u w:val="none"/>
        </w:rPr>
        <w:t>参考文献</w:t>
      </w:r>
    </w:p>
    <w:p>
      <w:pPr>
        <w:snapToGrid w:val="1"/>
        <w:spacing w:after="60" w:line="300"/>
        <w:ind w:left="420" w:hanging="420"/>
        <w:jc w:val="both"/>
        <w:rPr/>
      </w:pPr>
      <w:r>
        <w:rPr>
          <w:rFonts w:ascii="Times New Roman" w:hAnsi="Times New Roman" w:cs="Times New Roman"/>
          <w:i w:val="0"/>
          <w:strike w:val="0"/>
          <w:color w:val="2D3748"/>
          <w:spacing w:val="0"/>
          <w:sz w:val="21"/>
          <w:u w:val="none"/>
        </w:rPr>
        <w:t xml:space="preserve">[1] </w:t>
      </w:r>
      <w:r>
        <w:rPr>
          <w:rFonts w:ascii="SimSun" w:hAnsi="SimSun" w:eastAsia="SimSun" w:cs="SimSun"/>
          <w:i w:val="0"/>
          <w:strike w:val="0"/>
          <w:color w:val="2D3748"/>
          <w:spacing w:val="0"/>
          <w:sz w:val="21"/>
          <w:u w:val="none"/>
        </w:rPr>
        <w:t>郭景召</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财务机器人</w:t>
      </w:r>
      <w:r>
        <w:rPr>
          <w:rFonts w:ascii="Times New Roman" w:hAnsi="Times New Roman" w:cs="Times New Roman"/>
          <w:i w:val="0"/>
          <w:strike w:val="0"/>
          <w:color w:val="2D3748"/>
          <w:spacing w:val="0"/>
          <w:sz w:val="21"/>
          <w:u w:val="none"/>
        </w:rPr>
        <w:t>RPA</w:t>
      </w:r>
      <w:r>
        <w:rPr>
          <w:rFonts w:ascii="SimSun" w:hAnsi="SimSun" w:eastAsia="SimSun" w:cs="SimSun"/>
          <w:i w:val="0"/>
          <w:strike w:val="0"/>
          <w:color w:val="2D3748"/>
          <w:spacing w:val="0"/>
          <w:sz w:val="21"/>
          <w:u w:val="none"/>
        </w:rPr>
        <w:t>的功能、应用场景及风险分析</w:t>
      </w:r>
      <w:r>
        <w:rPr>
          <w:rFonts w:ascii="Times New Roman" w:hAnsi="Times New Roman" w:cs="Times New Roman"/>
          <w:i w:val="0"/>
          <w:strike w:val="0"/>
          <w:color w:val="2D3748"/>
          <w:spacing w:val="0"/>
          <w:sz w:val="21"/>
          <w:u w:val="none"/>
        </w:rPr>
        <w:t xml:space="preserve">[J]. </w:t>
      </w:r>
      <w:r>
        <w:rPr>
          <w:rFonts w:ascii="SimSun" w:hAnsi="SimSun" w:eastAsia="SimSun" w:cs="SimSun"/>
          <w:i w:val="0"/>
          <w:strike w:val="0"/>
          <w:color w:val="2D3748"/>
          <w:spacing w:val="0"/>
          <w:sz w:val="21"/>
          <w:u w:val="none"/>
        </w:rPr>
        <w:t>会计之友</w:t>
      </w:r>
      <w:r>
        <w:rPr>
          <w:rFonts w:ascii="Times New Roman" w:hAnsi="Times New Roman" w:cs="Times New Roman"/>
          <w:i w:val="0"/>
          <w:strike w:val="0"/>
          <w:color w:val="2D3748"/>
          <w:spacing w:val="0"/>
          <w:sz w:val="21"/>
          <w:u w:val="none"/>
        </w:rPr>
        <w:t>, 2025.</w:t>
      </w:r>
    </w:p>
    <w:p>
      <w:pPr>
        <w:snapToGrid w:val="1"/>
        <w:spacing w:after="60" w:line="300"/>
        <w:ind w:left="420" w:hanging="420"/>
        <w:jc w:val="both"/>
        <w:rPr/>
      </w:pPr>
      <w:r>
        <w:rPr>
          <w:rFonts w:ascii="Times New Roman" w:hAnsi="Times New Roman" w:cs="Times New Roman"/>
          <w:i w:val="0"/>
          <w:strike w:val="0"/>
          <w:color w:val="2D3748"/>
          <w:spacing w:val="0"/>
          <w:sz w:val="21"/>
          <w:u w:val="none"/>
        </w:rPr>
        <w:t xml:space="preserve">[2] </w:t>
      </w:r>
      <w:r>
        <w:rPr>
          <w:rFonts w:ascii="SimSun" w:hAnsi="SimSun" w:eastAsia="SimSun" w:cs="SimSun"/>
          <w:i w:val="0"/>
          <w:strike w:val="0"/>
          <w:color w:val="2D3748"/>
          <w:spacing w:val="0"/>
          <w:sz w:val="21"/>
          <w:u w:val="none"/>
        </w:rPr>
        <w:t>黄帅</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等</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基于</w:t>
      </w:r>
      <w:r>
        <w:rPr>
          <w:rFonts w:ascii="Times New Roman" w:hAnsi="Times New Roman" w:cs="Times New Roman"/>
          <w:i w:val="0"/>
          <w:strike w:val="0"/>
          <w:color w:val="2D3748"/>
          <w:spacing w:val="0"/>
          <w:sz w:val="21"/>
          <w:u w:val="none"/>
        </w:rPr>
        <w:t>UiBot</w:t>
      </w:r>
      <w:r>
        <w:rPr>
          <w:rFonts w:ascii="SimSun" w:hAnsi="SimSun" w:eastAsia="SimSun" w:cs="SimSun"/>
          <w:i w:val="0"/>
          <w:strike w:val="0"/>
          <w:color w:val="2D3748"/>
          <w:spacing w:val="0"/>
          <w:sz w:val="21"/>
          <w:u w:val="none"/>
        </w:rPr>
        <w:t>与</w:t>
      </w:r>
      <w:r>
        <w:rPr>
          <w:rFonts w:ascii="Times New Roman" w:hAnsi="Times New Roman" w:cs="Times New Roman"/>
          <w:i w:val="0"/>
          <w:strike w:val="0"/>
          <w:color w:val="2D3748"/>
          <w:spacing w:val="0"/>
          <w:sz w:val="21"/>
          <w:u w:val="none"/>
        </w:rPr>
        <w:t>DeepSeek</w:t>
      </w:r>
      <w:r>
        <w:rPr>
          <w:rFonts w:ascii="SimSun" w:hAnsi="SimSun" w:eastAsia="SimSun" w:cs="SimSun"/>
          <w:i w:val="0"/>
          <w:strike w:val="0"/>
          <w:color w:val="2D3748"/>
          <w:spacing w:val="0"/>
          <w:sz w:val="21"/>
          <w:u w:val="none"/>
        </w:rPr>
        <w:t>的</w:t>
      </w:r>
      <w:r>
        <w:rPr>
          <w:rFonts w:ascii="Times New Roman" w:hAnsi="Times New Roman" w:cs="Times New Roman"/>
          <w:i w:val="0"/>
          <w:strike w:val="0"/>
          <w:color w:val="2D3748"/>
          <w:spacing w:val="0"/>
          <w:sz w:val="21"/>
          <w:u w:val="none"/>
        </w:rPr>
        <w:t>RPA</w:t>
      </w:r>
      <w:r>
        <w:rPr>
          <w:rFonts w:ascii="SimSun" w:hAnsi="SimSun" w:eastAsia="SimSun" w:cs="SimSun"/>
          <w:i w:val="0"/>
          <w:strike w:val="0"/>
          <w:color w:val="2D3748"/>
          <w:spacing w:val="0"/>
          <w:sz w:val="21"/>
          <w:u w:val="none"/>
        </w:rPr>
        <w:t>文献综述自动化系统构建</w:t>
      </w:r>
      <w:r>
        <w:rPr>
          <w:rFonts w:ascii="Times New Roman" w:hAnsi="Times New Roman" w:cs="Times New Roman"/>
          <w:i w:val="0"/>
          <w:strike w:val="0"/>
          <w:color w:val="2D3748"/>
          <w:spacing w:val="0"/>
          <w:sz w:val="21"/>
          <w:u w:val="none"/>
        </w:rPr>
        <w:t>[J]. 2025.</w:t>
      </w:r>
    </w:p>
    <w:p>
      <w:pPr>
        <w:snapToGrid w:val="1"/>
        <w:spacing w:after="60" w:line="300"/>
        <w:ind w:left="420" w:hanging="420"/>
        <w:jc w:val="both"/>
        <w:rPr/>
      </w:pPr>
      <w:r>
        <w:rPr>
          <w:rFonts w:ascii="Times New Roman" w:hAnsi="Times New Roman" w:cs="Times New Roman"/>
          <w:i w:val="0"/>
          <w:strike w:val="0"/>
          <w:color w:val="2D3748"/>
          <w:spacing w:val="0"/>
          <w:sz w:val="21"/>
          <w:u w:val="none"/>
        </w:rPr>
        <w:t xml:space="preserve">[3] </w:t>
      </w:r>
      <w:r>
        <w:rPr>
          <w:rFonts w:ascii="SimSun" w:hAnsi="SimSun" w:eastAsia="SimSun" w:cs="SimSun"/>
          <w:i w:val="0"/>
          <w:strike w:val="0"/>
          <w:color w:val="2D3748"/>
          <w:spacing w:val="0"/>
          <w:sz w:val="21"/>
          <w:u w:val="none"/>
        </w:rPr>
        <w:t>倪丽丽</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港口财金服务数智化建设研究</w:t>
      </w:r>
      <w:r>
        <w:rPr>
          <w:rFonts w:ascii="Times New Roman" w:hAnsi="Times New Roman" w:cs="Times New Roman"/>
          <w:i w:val="0"/>
          <w:strike w:val="0"/>
          <w:color w:val="2D3748"/>
          <w:spacing w:val="0"/>
          <w:sz w:val="21"/>
          <w:u w:val="none"/>
        </w:rPr>
        <w:t xml:space="preserve">[J]. </w:t>
      </w:r>
      <w:r>
        <w:rPr>
          <w:rFonts w:ascii="SimSun" w:hAnsi="SimSun" w:eastAsia="SimSun" w:cs="SimSun"/>
          <w:i w:val="0"/>
          <w:strike w:val="0"/>
          <w:color w:val="2D3748"/>
          <w:spacing w:val="0"/>
          <w:sz w:val="21"/>
          <w:u w:val="none"/>
        </w:rPr>
        <w:t>港口经济</w:t>
      </w:r>
      <w:r>
        <w:rPr>
          <w:rFonts w:ascii="Times New Roman" w:hAnsi="Times New Roman" w:cs="Times New Roman"/>
          <w:i w:val="0"/>
          <w:strike w:val="0"/>
          <w:color w:val="2D3748"/>
          <w:spacing w:val="0"/>
          <w:sz w:val="21"/>
          <w:u w:val="none"/>
        </w:rPr>
        <w:t>, 2023.</w:t>
      </w:r>
    </w:p>
    <w:p>
      <w:pPr>
        <w:snapToGrid w:val="1"/>
        <w:spacing w:after="60" w:line="300"/>
        <w:ind w:left="420" w:hanging="420"/>
        <w:jc w:val="both"/>
        <w:rPr/>
      </w:pPr>
      <w:r>
        <w:rPr>
          <w:rFonts w:ascii="Times New Roman" w:hAnsi="Times New Roman" w:cs="Times New Roman"/>
          <w:i w:val="0"/>
          <w:strike w:val="0"/>
          <w:color w:val="2D3748"/>
          <w:spacing w:val="0"/>
          <w:sz w:val="21"/>
          <w:u w:val="none"/>
        </w:rPr>
        <w:t xml:space="preserve">[4] </w:t>
      </w:r>
      <w:r>
        <w:rPr>
          <w:rFonts w:ascii="SimSun" w:hAnsi="SimSun" w:eastAsia="SimSun" w:cs="SimSun"/>
          <w:i w:val="0"/>
          <w:strike w:val="0"/>
          <w:color w:val="2D3748"/>
          <w:spacing w:val="0"/>
          <w:sz w:val="21"/>
          <w:u w:val="none"/>
        </w:rPr>
        <w:t>新华社</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中央金融工作会议相关部署</w:t>
      </w:r>
      <w:r>
        <w:rPr>
          <w:rFonts w:ascii="Times New Roman" w:hAnsi="Times New Roman" w:cs="Times New Roman"/>
          <w:i w:val="0"/>
          <w:strike w:val="0"/>
          <w:color w:val="2D3748"/>
          <w:spacing w:val="0"/>
          <w:sz w:val="21"/>
          <w:u w:val="none"/>
        </w:rPr>
        <w:t xml:space="preserve">[EB/OL]. </w:t>
      </w:r>
      <w:r>
        <w:rPr>
          <w:rFonts w:ascii="SimSun" w:hAnsi="SimSun" w:eastAsia="SimSun" w:cs="SimSun"/>
          <w:i w:val="0"/>
          <w:strike w:val="0"/>
          <w:color w:val="2D3748"/>
          <w:spacing w:val="0"/>
          <w:sz w:val="21"/>
          <w:u w:val="none"/>
        </w:rPr>
        <w:t>中国政府网</w:t>
      </w:r>
      <w:r>
        <w:rPr>
          <w:rFonts w:ascii="Times New Roman" w:hAnsi="Times New Roman" w:cs="Times New Roman"/>
          <w:i w:val="0"/>
          <w:strike w:val="0"/>
          <w:color w:val="2D3748"/>
          <w:spacing w:val="0"/>
          <w:sz w:val="21"/>
          <w:u w:val="none"/>
        </w:rPr>
        <w:t>, 2023-10.</w:t>
      </w:r>
    </w:p>
    <w:p>
      <w:pPr>
        <w:snapToGrid w:val="1"/>
        <w:spacing w:after="60" w:line="300"/>
        <w:ind w:left="420" w:hanging="420"/>
        <w:jc w:val="both"/>
        <w:rPr/>
      </w:pPr>
      <w:r>
        <w:rPr>
          <w:rFonts w:ascii="Times New Roman" w:hAnsi="Times New Roman" w:cs="Times New Roman"/>
          <w:i w:val="0"/>
          <w:strike w:val="0"/>
          <w:color w:val="2D3748"/>
          <w:spacing w:val="0"/>
          <w:sz w:val="21"/>
          <w:u w:val="none"/>
        </w:rPr>
        <w:t xml:space="preserve">[5] </w:t>
      </w:r>
      <w:r>
        <w:rPr>
          <w:rFonts w:ascii="SimSun" w:hAnsi="SimSun" w:eastAsia="SimSun" w:cs="SimSun"/>
          <w:i w:val="0"/>
          <w:strike w:val="0"/>
          <w:color w:val="2D3748"/>
          <w:spacing w:val="0"/>
          <w:sz w:val="21"/>
          <w:u w:val="none"/>
        </w:rPr>
        <w:t>中共中央</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关于制定国民经济和社会发展第十五个五年规划的建议</w:t>
      </w:r>
      <w:r>
        <w:rPr>
          <w:rFonts w:ascii="Times New Roman" w:hAnsi="Times New Roman" w:cs="Times New Roman"/>
          <w:i w:val="0"/>
          <w:strike w:val="0"/>
          <w:color w:val="2D3748"/>
          <w:spacing w:val="0"/>
          <w:sz w:val="21"/>
          <w:u w:val="none"/>
        </w:rPr>
        <w:t xml:space="preserve">[EB/OL]. </w:t>
      </w:r>
      <w:r>
        <w:rPr>
          <w:rFonts w:ascii="SimSun" w:hAnsi="SimSun" w:eastAsia="SimSun" w:cs="SimSun"/>
          <w:i w:val="0"/>
          <w:strike w:val="0"/>
          <w:color w:val="2D3748"/>
          <w:spacing w:val="0"/>
          <w:sz w:val="21"/>
          <w:u w:val="none"/>
        </w:rPr>
        <w:t>中国政府网</w:t>
      </w:r>
      <w:r>
        <w:rPr>
          <w:rFonts w:ascii="Times New Roman" w:hAnsi="Times New Roman" w:cs="Times New Roman"/>
          <w:i w:val="0"/>
          <w:strike w:val="0"/>
          <w:color w:val="2D3748"/>
          <w:spacing w:val="0"/>
          <w:sz w:val="21"/>
          <w:u w:val="none"/>
        </w:rPr>
        <w:t>, 2024-12.</w:t>
      </w:r>
    </w:p>
    <w:p>
      <w:pPr>
        <w:snapToGrid w:val="1"/>
        <w:spacing w:after="60" w:line="300"/>
        <w:ind w:left="420" w:hanging="420"/>
        <w:jc w:val="both"/>
        <w:rPr/>
      </w:pPr>
      <w:r>
        <w:rPr>
          <w:rFonts w:ascii="Times New Roman" w:hAnsi="Times New Roman" w:cs="Times New Roman"/>
          <w:i w:val="0"/>
          <w:strike w:val="0"/>
          <w:color w:val="2D3748"/>
          <w:spacing w:val="0"/>
          <w:sz w:val="21"/>
          <w:u w:val="none"/>
        </w:rPr>
        <w:t xml:space="preserve">[6] </w:t>
      </w:r>
      <w:r>
        <w:rPr>
          <w:rFonts w:ascii="SimSun" w:hAnsi="SimSun" w:eastAsia="SimSun" w:cs="SimSun"/>
          <w:i w:val="0"/>
          <w:strike w:val="0"/>
          <w:color w:val="2D3748"/>
          <w:spacing w:val="0"/>
          <w:sz w:val="21"/>
          <w:u w:val="none"/>
        </w:rPr>
        <w:t>科技部</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中国人民银行</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等</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加快构建科技金融体制有力支撑高水平科技自立自强的若干政策举措</w:t>
      </w:r>
      <w:r>
        <w:rPr>
          <w:rFonts w:ascii="Times New Roman" w:hAnsi="Times New Roman" w:cs="Times New Roman"/>
          <w:i w:val="0"/>
          <w:strike w:val="0"/>
          <w:color w:val="2D3748"/>
          <w:spacing w:val="0"/>
          <w:sz w:val="21"/>
          <w:u w:val="none"/>
        </w:rPr>
        <w:t xml:space="preserve">[EB/OL]. </w:t>
      </w:r>
      <w:r>
        <w:rPr>
          <w:rFonts w:ascii="SimSun" w:hAnsi="SimSun" w:eastAsia="SimSun" w:cs="SimSun"/>
          <w:i w:val="0"/>
          <w:strike w:val="0"/>
          <w:color w:val="2D3748"/>
          <w:spacing w:val="0"/>
          <w:sz w:val="21"/>
          <w:u w:val="none"/>
        </w:rPr>
        <w:t>中国政府网</w:t>
      </w:r>
      <w:r>
        <w:rPr>
          <w:rFonts w:ascii="Times New Roman" w:hAnsi="Times New Roman" w:cs="Times New Roman"/>
          <w:i w:val="0"/>
          <w:strike w:val="0"/>
          <w:color w:val="2D3748"/>
          <w:spacing w:val="0"/>
          <w:sz w:val="21"/>
          <w:u w:val="none"/>
        </w:rPr>
        <w:t>, 2025-05.</w:t>
      </w:r>
    </w:p>
    <w:p>
      <w:pPr>
        <w:snapToGrid w:val="1"/>
        <w:spacing w:after="60" w:line="300"/>
        <w:ind w:left="420" w:hanging="420"/>
        <w:jc w:val="both"/>
        <w:rPr/>
      </w:pPr>
      <w:r>
        <w:rPr>
          <w:rFonts w:ascii="Times New Roman" w:hAnsi="Times New Roman" w:cs="Times New Roman"/>
          <w:i w:val="0"/>
          <w:strike w:val="0"/>
          <w:color w:val="2D3748"/>
          <w:spacing w:val="0"/>
          <w:sz w:val="21"/>
          <w:u w:val="none"/>
        </w:rPr>
        <w:t xml:space="preserve">[7] </w:t>
      </w:r>
      <w:r>
        <w:rPr>
          <w:rFonts w:ascii="SimSun" w:hAnsi="SimSun" w:eastAsia="SimSun" w:cs="SimSun"/>
          <w:i w:val="0"/>
          <w:strike w:val="0"/>
          <w:color w:val="2D3748"/>
          <w:spacing w:val="0"/>
          <w:sz w:val="21"/>
          <w:u w:val="none"/>
        </w:rPr>
        <w:t>中国人民银行安徽省分行</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深化数智融合 谱写金融数字化智能化转型新篇章</w:t>
      </w:r>
      <w:r>
        <w:rPr>
          <w:rFonts w:ascii="Times New Roman" w:hAnsi="Times New Roman" w:cs="Times New Roman"/>
          <w:i w:val="0"/>
          <w:strike w:val="0"/>
          <w:color w:val="2D3748"/>
          <w:spacing w:val="0"/>
          <w:sz w:val="21"/>
          <w:u w:val="none"/>
        </w:rPr>
        <w:t>[EB/OL]. 2025-11.</w:t>
      </w:r>
    </w:p>
    <w:p>
      <w:pPr>
        <w:snapToGrid w:val="1"/>
        <w:spacing w:after="60" w:line="300"/>
        <w:ind w:left="420" w:hanging="420"/>
        <w:jc w:val="both"/>
        <w:rPr/>
      </w:pPr>
      <w:r>
        <w:rPr>
          <w:rFonts w:ascii="Times New Roman" w:hAnsi="Times New Roman" w:cs="Times New Roman"/>
          <w:i w:val="0"/>
          <w:strike w:val="0"/>
          <w:color w:val="2D3748"/>
          <w:spacing w:val="0"/>
          <w:sz w:val="21"/>
          <w:u w:val="none"/>
        </w:rPr>
        <w:t xml:space="preserve">[8] </w:t>
      </w:r>
      <w:r>
        <w:rPr>
          <w:rFonts w:ascii="SimSun" w:hAnsi="SimSun" w:eastAsia="SimSun" w:cs="SimSun"/>
          <w:i w:val="0"/>
          <w:strike w:val="0"/>
          <w:color w:val="2D3748"/>
          <w:spacing w:val="0"/>
          <w:sz w:val="21"/>
          <w:u w:val="none"/>
        </w:rPr>
        <w:t>中国人民银行济南分行</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拥抱金融科技 推动数字转型</w:t>
      </w:r>
      <w:r>
        <w:rPr>
          <w:rFonts w:ascii="Times New Roman" w:hAnsi="Times New Roman" w:cs="Times New Roman"/>
          <w:i w:val="0"/>
          <w:strike w:val="0"/>
          <w:color w:val="2D3748"/>
          <w:spacing w:val="0"/>
          <w:sz w:val="21"/>
          <w:u w:val="none"/>
        </w:rPr>
        <w:t>[EB/OL]. 2025.</w:t>
      </w:r>
    </w:p>
    <w:p>
      <w:pPr>
        <w:snapToGrid w:val="1"/>
        <w:spacing w:after="60" w:line="300"/>
        <w:ind w:left="420" w:hanging="420"/>
        <w:jc w:val="both"/>
        <w:rPr/>
      </w:pPr>
      <w:r>
        <w:rPr>
          <w:rFonts w:ascii="Times New Roman" w:hAnsi="Times New Roman" w:cs="Times New Roman"/>
          <w:i w:val="0"/>
          <w:strike w:val="0"/>
          <w:color w:val="2D3748"/>
          <w:spacing w:val="0"/>
          <w:sz w:val="21"/>
          <w:u w:val="none"/>
        </w:rPr>
        <w:t xml:space="preserve">[9] </w:t>
      </w:r>
      <w:r>
        <w:rPr>
          <w:rFonts w:ascii="SimSun" w:hAnsi="SimSun" w:eastAsia="SimSun" w:cs="SimSun"/>
          <w:i w:val="0"/>
          <w:strike w:val="0"/>
          <w:color w:val="2D3748"/>
          <w:spacing w:val="0"/>
          <w:sz w:val="21"/>
          <w:u w:val="none"/>
        </w:rPr>
        <w:t>中国人民银行大理州分行</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瞄准信贷政策倾力写好金融</w:t>
      </w:r>
      <w:r>
        <w:rPr>
          <w:rFonts w:ascii="Times New Roman" w:hAnsi="Times New Roman" w:cs="Times New Roman"/>
          <w:i w:val="0"/>
          <w:strike w:val="0"/>
          <w:color w:val="2D3748"/>
          <w:spacing w:val="0"/>
          <w:sz w:val="21"/>
          <w:u w:val="none"/>
        </w:rPr>
        <w:t>“</w:t>
      </w:r>
      <w:r>
        <w:rPr>
          <w:rFonts w:ascii="SimSun" w:hAnsi="SimSun" w:eastAsia="SimSun" w:cs="SimSun"/>
          <w:i w:val="0"/>
          <w:strike w:val="0"/>
          <w:color w:val="2D3748"/>
          <w:spacing w:val="0"/>
          <w:sz w:val="21"/>
          <w:u w:val="none"/>
        </w:rPr>
        <w:t>五篇大文章</w:t>
      </w:r>
      <w:r>
        <w:rPr>
          <w:rFonts w:ascii="Times New Roman" w:hAnsi="Times New Roman" w:cs="Times New Roman"/>
          <w:i w:val="0"/>
          <w:strike w:val="0"/>
          <w:color w:val="2D3748"/>
          <w:spacing w:val="0"/>
          <w:sz w:val="21"/>
          <w:u w:val="none"/>
        </w:rPr>
        <w:t>”[EB/OL]. 2025-03.</w:t>
      </w:r>
    </w:p>
    <w:p>
      <w:pPr>
        <w:snapToGrid w:val="1"/>
        <w:spacing w:after="60" w:line="300"/>
        <w:ind w:left="420" w:hanging="420"/>
        <w:jc w:val="both"/>
        <w:rPr/>
      </w:pPr>
      <w:r>
        <w:rPr>
          <w:rFonts w:ascii="Times New Roman" w:hAnsi="Times New Roman" w:cs="Times New Roman"/>
          <w:i w:val="0"/>
          <w:strike w:val="0"/>
          <w:color w:val="2D3748"/>
          <w:spacing w:val="0"/>
          <w:sz w:val="21"/>
          <w:u w:val="none"/>
        </w:rPr>
        <w:t xml:space="preserve">[10] </w:t>
      </w:r>
      <w:r>
        <w:rPr>
          <w:rFonts w:ascii="SimSun" w:hAnsi="SimSun" w:eastAsia="SimSun" w:cs="SimSun"/>
          <w:i w:val="0"/>
          <w:strike w:val="0"/>
          <w:color w:val="2D3748"/>
          <w:spacing w:val="0"/>
          <w:sz w:val="21"/>
          <w:u w:val="none"/>
        </w:rPr>
        <w:t>中国证券业协会</w:t>
      </w:r>
      <w:r>
        <w:rPr>
          <w:rFonts w:ascii="Times New Roman" w:hAnsi="Times New Roman" w:cs="Times New Roman"/>
          <w:i w:val="0"/>
          <w:strike w:val="0"/>
          <w:color w:val="2D3748"/>
          <w:spacing w:val="0"/>
          <w:sz w:val="21"/>
          <w:u w:val="none"/>
        </w:rPr>
        <w:t xml:space="preserve">. </w:t>
      </w:r>
      <w:r>
        <w:rPr>
          <w:rFonts w:ascii="SimSun" w:hAnsi="SimSun" w:eastAsia="SimSun" w:cs="SimSun"/>
          <w:i w:val="0"/>
          <w:strike w:val="0"/>
          <w:color w:val="2D3748"/>
          <w:spacing w:val="0"/>
          <w:sz w:val="21"/>
          <w:u w:val="none"/>
        </w:rPr>
        <w:t>金融消费者保护、监管科技和中小券商合规文化建设</w:t>
      </w:r>
      <w:r>
        <w:rPr>
          <w:rFonts w:ascii="Times New Roman" w:hAnsi="Times New Roman" w:cs="Times New Roman"/>
          <w:i w:val="0"/>
          <w:strike w:val="0"/>
          <w:color w:val="2D3748"/>
          <w:spacing w:val="0"/>
          <w:sz w:val="21"/>
          <w:u w:val="none"/>
        </w:rPr>
        <w:t>[R]. 2020-08.</w:t>
      </w:r>
    </w:p>
    <w:p>
      <w:pPr>
        <w:pStyle w:val="000006"/>
        <w:numPr/>
        <w:ind w:left="0"/>
        <w:rPr/>
      </w:pPr>
      <w:r>
        <w:rPr>
          <w:rFonts w:hint="eastAsia"/>
        </w:rPr>
        <w:t>第三章</w:t>
      </w:r>
      <w:r>
        <w:rPr/>
        <w:t>RPA</w:t>
      </w:r>
      <w:r>
        <w:rPr>
          <w:rFonts w:hint="eastAsia"/>
        </w:rPr>
        <w:t xml:space="preserve">技术在金融领域的应用现状（技术功能与实现维度） </w:t>
      </w:r>
    </w:p>
    <w:p>
      <w:pPr>
        <w:pStyle w:val="000008"/>
        <w:numPr/>
        <w:pBdr/>
        <w:ind w:left="0"/>
        <w:rPr>
          <w:rFonts w:hint="eastAsia"/>
        </w:rPr>
      </w:pPr>
      <w:r>
        <w:rPr>
          <w:rFonts w:hint="eastAsia"/>
        </w:rPr>
        <w:t>3</w:t>
      </w:r>
      <w:r>
        <w:rPr/>
        <w:t>.1</w:t>
      </w:r>
      <w:r>
        <w:rPr>
          <w:rFonts w:hint="eastAsia"/>
        </w:rPr>
        <w:t>核心技术剖析</w:t>
      </w:r>
    </w:p>
    <w:p>
      <w:pPr>
        <w:pStyle w:val="000005"/>
        <w:numPr/>
        <w:pBdr>
          <w:bottom/>
        </w:pBdr>
        <w:ind/>
        <w:rPr>
          <w:color w:val="000000"/>
          <w:sz w:val="28"/>
        </w:rPr>
      </w:pPr>
      <w:r>
        <w:rPr>
          <w:rFonts w:hint="eastAsia"/>
          <w:color w:val="000000"/>
          <w:sz w:val="28"/>
        </w:rPr>
        <w:t>3.1.1具体技术功能</w:t>
      </w:r>
    </w:p>
    <w:p>
      <w:pPr>
        <w:pStyle w:val="000005"/>
        <w:numPr/>
        <w:pBdr/>
        <w:ind/>
        <w:rPr>
          <w:rFonts w:hint="eastAsia"/>
        </w:rPr>
      </w:pPr>
      <w:r>
        <w:rPr>
          <w:rFonts w:hint="eastAsia"/>
        </w:rPr>
        <w:t>在金融领域， RPA技术展现出多样的技术功能。一方面实现了算力调度agent以及云原生R PA环境编排，用于更加高效地管理和分配计算资源，优化R PA的运行环境，另一方面通过智能体技术，用户能够使用自然语言描述任务，使各方面的操作流程被简化，降低了对专业技术人员的依赖，同时使各种业务处理起来更加便捷和高效。</w:t>
      </w:r>
    </w:p>
    <w:p>
      <w:pPr>
        <w:pStyle w:val="000005"/>
        <w:numPr/>
        <w:pBdr/>
        <w:ind/>
        <w:rPr>
          <w:rFonts w:hint="eastAsia"/>
          <w:sz w:val="28"/>
        </w:rPr>
      </w:pPr>
      <w:r>
        <w:rPr>
          <w:rFonts w:hint="eastAsia"/>
          <w:sz w:val="28"/>
        </w:rPr>
        <w:t>3.1.2实现方式</w:t>
      </w:r>
    </w:p>
    <w:p>
      <w:pPr>
        <w:pStyle w:val="000005"/>
        <w:numPr/>
        <w:pBdr/>
        <w:ind/>
        <w:rPr>
          <w:rFonts w:hint="eastAsia"/>
        </w:rPr>
      </w:pPr>
      <w:r>
        <w:rPr>
          <w:rFonts w:hint="eastAsia"/>
        </w:rPr>
        <w:t>为达成上述技术功能，RPA技术采用了多种实现方式，在技术融合方面，将RPA与OCR, NLP知识图谱、风控模型、规则引擎以及大数据对接等技术相结合。由于这些技术的相互融合， 大大扩宽了RPA的应用范围和应用能力。例如RPA+OCR,可以实现对金融文档中文字信息的自动识别和提取， RPA+NLP能够更好地理解自然语言指令，实现人机交互智能化。同时RPA到agent适配技术路径的多种方法为其在应用端、供应端、支撑端、治理端、交付端等多方面提供了多样化的工具，并且解决了多总困难。</w:t>
      </w:r>
    </w:p>
    <w:p>
      <w:pPr>
        <w:pStyle w:val="000005"/>
        <w:numPr/>
        <w:pBdr/>
        <w:ind/>
        <w:rPr>
          <w:rFonts w:hint="eastAsia"/>
          <w:sz w:val="28"/>
        </w:rPr>
      </w:pPr>
      <w:r>
        <w:rPr>
          <w:rFonts w:hint="eastAsia"/>
          <w:sz w:val="28"/>
        </w:rPr>
        <w:t>3.1.3面临的问题和挑战</w:t>
      </w:r>
    </w:p>
    <w:p>
      <w:pPr>
        <w:pStyle w:val="000005"/>
        <w:numPr/>
        <w:pBdr/>
        <w:ind/>
        <w:rPr>
          <w:rFonts w:hint="eastAsia"/>
        </w:rPr>
      </w:pPr>
      <w:r>
        <w:rPr>
          <w:rFonts w:hint="eastAsia"/>
        </w:rPr>
        <w:t>尽管R pa技术在金融领域取得了一定的应用成果，但也仍然面临着一定的问题和挑战。在应用端上，误报率高，跨时间长，人工录入易出错，对各种报告提取不全等问题层出不穷；供应端上，脚本维护成本极高，对金融领域专业术语不理解，合规性与逻辑性推理性弱；支撑端上RPA恶意爬取数据的风险，以及API调用缺乏智能意图识别等各种问题在各方面都有存在。此外软件功能的臃肿使得用户学习成本增加，外挂RPA的稳定性也受到限制，传统RPA在处理复杂非标环境时存在能力不足的问题，并且在实现流程自动化启停精准控制方面也面临挑战。</w:t>
      </w:r>
    </w:p>
    <w:p>
      <w:pPr>
        <w:pStyle w:val="000005"/>
        <w:numPr/>
        <w:pBdr>
          <w:bottom/>
        </w:pBdr>
        <w:ind/>
        <w:rPr>
          <w:rFonts w:hint="eastAsia"/>
        </w:rPr>
      </w:pPr>
      <w:r>
        <w:rPr>
          <w:rFonts w:hint="eastAsia"/>
        </w:rPr>
        <w:t>综上所述， RPA技术在金融领域具有巨大的应用潜能，但仍然面临不小的挑战，需要持续进行技术的优化。</w:t>
      </w:r>
    </w:p>
    <w:p>
      <w:pPr>
        <w:pStyle w:val="000008"/>
        <w:numPr/>
        <w:pBdr/>
        <w:ind w:left="0"/>
        <w:rPr>
          <w:rFonts w:hint="eastAsia"/>
        </w:rPr>
      </w:pPr>
      <w:r>
        <w:rPr>
          <w:rFonts w:hint="eastAsia"/>
        </w:rPr>
        <w:t>3.2RPA流程类型</w:t>
      </w:r>
    </w:p>
    <w:p>
      <w:pPr>
        <w:pStyle w:val="000005"/>
        <w:numPr/>
        <w:pBdr/>
        <w:ind/>
        <w:rPr>
          <w:rFonts w:hint="eastAsia"/>
          <w:sz w:val="28"/>
        </w:rPr>
      </w:pPr>
      <w:r>
        <w:rPr>
          <w:rFonts w:hint="eastAsia"/>
          <w:sz w:val="28"/>
        </w:rPr>
        <w:t>3.2.1金融行业专用R PA流程</w:t>
      </w:r>
    </w:p>
    <w:p>
      <w:pPr>
        <w:pStyle w:val="000005"/>
        <w:numPr/>
        <w:pBdr/>
        <w:ind/>
        <w:rPr>
          <w:rFonts w:hint="eastAsia"/>
        </w:rPr>
      </w:pPr>
      <w:r>
        <w:rPr>
          <w:rFonts w:hint="eastAsia"/>
        </w:rPr>
        <w:t>该类流程聚焦银行、证券、保险三大金融子领域，针对性解决行业合规风控、业务处理中的低效问题，技术上多融合OCR系统自动登录数据穿透的能力。</w:t>
      </w:r>
    </w:p>
    <w:p>
      <w:pPr>
        <w:pStyle w:val="000005"/>
        <w:numPr>
          <w:ilvl w:val="0"/>
          <w:numId w:val="1"/>
        </w:numPr>
        <w:pBdr/>
        <w:ind/>
        <w:rPr>
          <w:rFonts w:hint="eastAsia"/>
        </w:rPr>
      </w:pPr>
      <w:r>
        <w:rPr>
          <w:rFonts w:hint="eastAsia"/>
        </w:rPr>
        <w:t>银行专用流程：涵盖反洗钱调查、对公账户KYC尽职调查、银企对账三大核心场景。其中反洗钱调查流程需跨 10 + 系统手工调数并撰写报告，RPA 通过多维度数据穿透实现自动调查，单笔调查时间缩短 80%，漏报率降低 40%；银企对账流程可自动登录不同网银下载流水与回单，解决 “系统孤立、网银操作逻辑差异大” 的痛点，与企业内部账务核对效率显著提升；对公账户 KYC 尽职调查流程则通过自动化处理替代人工跨平台查询，减少因系统无对接导致的重复操作。</w:t>
      </w:r>
    </w:p>
    <w:p>
      <w:pPr>
        <w:pStyle w:val="000005"/>
        <w:numPr>
          <w:ilvl w:val="0"/>
          <w:numId w:val="1"/>
        </w:numPr>
        <w:pBdr/>
        <w:ind/>
        <w:rPr>
          <w:rFonts w:hint="eastAsia"/>
        </w:rPr>
      </w:pPr>
      <w:r>
        <w:rPr>
          <w:b w:val="1"/>
          <w:i w:val="0"/>
          <w:strike w:val="0"/>
          <w:color w:val="000000"/>
          <w:sz w:val="24"/>
          <w:u w:val="none"/>
          <w:shd w:val="clear" w:color="auto" w:fill="auto"/>
        </w:rPr>
        <w:t>证券业专用流程</w:t>
      </w:r>
      <w:r>
        <w:rPr>
          <w:i w:val="0"/>
          <w:strike w:val="0"/>
          <w:color w:val="000000"/>
          <w:u w:val="none"/>
        </w:rPr>
        <w:t>：包含发票处理、税负申报、研报摘要生成、融资融券盯市四大流程。发票处理流程集成 OCR 技术，自动完成发票信息识别、验真、“三流一致” 核对及记账凭证生成，解决 “格式杂乱、手工录入慢且易出错” 的问题；税负申报流程可从系统自动取数生成合规报表，并登录电子税务局完成申报缴款，规避数据分散、手动填表易错的风险；研报摘要生成流程通过 RAG 技术分析每日数千份非结构化公告研报，核心数据提取效率提升，覆盖信息量较人工提升 10 倍，可秒级实现多维行情归因分析；融资融券盯市流程则自动计算账户维持担保比例，捕捉人工难以察觉的突发异动。</w:t>
      </w:r>
    </w:p>
    <w:p>
      <w:pPr>
        <w:pStyle w:val="000005"/>
        <w:numPr>
          <w:ilvl w:val="0"/>
          <w:numId w:val="1"/>
        </w:numPr>
        <w:pBdr/>
        <w:ind/>
        <w:rPr>
          <w:rFonts w:hint="eastAsia"/>
          <w:i w:val="0"/>
          <w:strike w:val="0"/>
          <w:color w:val="000000"/>
          <w:u w:val="none"/>
        </w:rPr>
      </w:pPr>
      <w:r>
        <w:rPr>
          <w:b w:val="1"/>
          <w:i w:val="0"/>
          <w:strike w:val="0"/>
          <w:color w:val="000000"/>
          <w:sz w:val="24"/>
          <w:u w:val="none"/>
          <w:shd w:val="clear" w:color="auto" w:fill="auto"/>
        </w:rPr>
        <w:t>保险业专用流程</w:t>
      </w:r>
      <w:r>
        <w:rPr>
          <w:i w:val="0"/>
          <w:strike w:val="0"/>
          <w:color w:val="000000"/>
          <w:u w:val="none"/>
        </w:rPr>
        <w:t xml:space="preserve">：以理赔处理与核保流程为核心。复杂医疗险理赔流程通过计算机视觉（CV）识别医疗单据伪造痕迹，解析病历深层语义，自主给出给付比例建议，解决 “医疗术语理解难、非标报告提取不全、骗保识别难” 的痛点，理赔周期缩短 60%，骗保识别率提升 25% 以上；车险理赔与核保流程可自动完成事故照片审核、报价比对、保单核实，替代人工多系统交叉验证，减少定损与财务系统数据不通导致的效率损耗。                                         </w:t>
      </w:r>
    </w:p>
    <w:p>
      <w:pPr>
        <w:pStyle w:val="000005"/>
        <w:numPr/>
        <w:pBdr/>
        <w:ind w:left="0"/>
        <w:rPr>
          <w:i w:val="0"/>
          <w:strike w:val="0"/>
          <w:color w:val="000000"/>
          <w:sz w:val="28"/>
          <w:u w:val="none"/>
        </w:rPr>
      </w:pPr>
      <w:r>
        <w:rPr>
          <w:rFonts w:hint="eastAsia"/>
          <w:i w:val="0"/>
          <w:strike w:val="0"/>
          <w:color w:val="000000"/>
          <w:sz w:val="28"/>
          <w:u w:val="none"/>
        </w:rPr>
        <w:t>3.2.2</w:t>
      </w:r>
      <w:r>
        <w:rPr>
          <w:i w:val="0"/>
          <w:strike w:val="0"/>
          <w:color w:val="000000"/>
          <w:sz w:val="28"/>
          <w:u w:val="none"/>
        </w:rPr>
        <w:t>通用企业运营 RPA 流程</w:t>
      </w:r>
    </w:p>
    <w:p>
      <w:pPr>
        <w:pStyle w:val="000005"/>
        <w:numPr/>
        <w:pBdr/>
        <w:ind w:left="0"/>
        <w:rPr>
          <w:i w:val="0"/>
          <w:strike w:val="0"/>
          <w:color w:val="000000"/>
          <w:u w:val="none"/>
        </w:rPr>
      </w:pPr>
      <w:r>
        <w:rPr>
          <w:i w:val="0"/>
          <w:strike w:val="0"/>
          <w:color w:val="000000"/>
          <w:u w:val="none"/>
        </w:rPr>
        <w:t>该类流程适用于各类企业的基础运营场景，重点解决 “规则多、重复性高、人工标准不一” 的问题，技术上侧重流程自愈与无代码开发能力。</w:t>
      </w:r>
    </w:p>
    <w:p>
      <w:pPr>
        <w:pStyle w:val="000005"/>
        <w:numPr>
          <w:ilvl w:val="0"/>
          <w:numId w:val="2"/>
        </w:numPr>
        <w:pBdr/>
        <w:ind/>
        <w:rPr>
          <w:rFonts w:hint="eastAsia"/>
          <w:i w:val="0"/>
          <w:strike w:val="0"/>
          <w:color w:val="000000"/>
          <w:u w:val="none"/>
        </w:rPr>
      </w:pPr>
      <w:r>
        <w:rPr>
          <w:b w:val="1"/>
          <w:i w:val="0"/>
          <w:strike w:val="0"/>
          <w:color w:val="000000"/>
          <w:sz w:val="24"/>
          <w:u w:val="none"/>
          <w:shd w:val="clear" w:color="auto" w:fill="auto"/>
        </w:rPr>
        <w:t>费用报销与薪资核算流程</w:t>
      </w:r>
      <w:r>
        <w:rPr>
          <w:i w:val="0"/>
          <w:strike w:val="0"/>
          <w:color w:val="000000"/>
          <w:u w:val="none"/>
        </w:rPr>
        <w:t>：可自动审核报销单（匹配报销规则）、核算薪资个税，并完成支付操作，解决人工审核 “规则多、效率低、标准不一” 的痛点，减少因人工判断差异导致的合规风险；</w:t>
      </w:r>
    </w:p>
    <w:p>
      <w:pPr>
        <w:pStyle w:val="000005"/>
        <w:numPr>
          <w:ilvl w:val="0"/>
          <w:numId w:val="2"/>
        </w:numPr>
        <w:pBdr/>
        <w:ind/>
        <w:rPr>
          <w:rFonts w:hint="eastAsia"/>
          <w:i w:val="0"/>
          <w:strike w:val="0"/>
          <w:color w:val="000000"/>
          <w:u w:val="none"/>
        </w:rPr>
      </w:pPr>
      <w:r>
        <w:rPr>
          <w:rFonts w:hint="eastAsia"/>
          <w:i w:val="0"/>
          <w:strike w:val="0"/>
          <w:color w:val="000000"/>
          <w:u w:val="none"/>
        </w:rPr>
        <w:t xml:space="preserve"> </w:t>
      </w:r>
      <w:r>
        <w:rPr>
          <w:b w:val="1"/>
          <w:i w:val="0"/>
          <w:strike w:val="0"/>
          <w:color w:val="000000"/>
          <w:sz w:val="24"/>
          <w:u w:val="none"/>
          <w:shd w:val="clear" w:color="auto" w:fill="auto"/>
        </w:rPr>
        <w:t>RPA 开发与维护流程</w:t>
      </w:r>
      <w:r>
        <w:rPr>
          <w:i w:val="0"/>
          <w:strike w:val="0"/>
          <w:color w:val="000000"/>
          <w:u w:val="none"/>
        </w:rPr>
        <w:t>：由 RPA/Agent 厂商提供的脚本自动生成、流程自愈、无代码开发流程，针对传统 RPA“脚本维护成本高（UI 一变就挂）、开发门槛高” 的瓶颈，实现脚本开发周期减半，后期维护成本降低 70% 以上，同时通过模块化节点 + 流程可视化编排，降低企业自主开发门槛，支持流程</w:t>
      </w:r>
    </w:p>
    <w:p>
      <w:pPr>
        <w:pStyle w:val="000005"/>
        <w:numPr/>
        <w:ind/>
        <w:rPr/>
      </w:pPr>
    </w:p>
    <w:p>
      <w:pPr>
        <w:pStyle w:val="000008"/>
        <w:numPr/>
        <w:pBdr/>
        <w:ind w:left="0"/>
        <w:rPr>
          <w:rFonts w:hint="eastAsia"/>
        </w:rPr>
      </w:pPr>
      <w:r>
        <w:rPr>
          <w:rFonts w:hint="eastAsia"/>
        </w:rPr>
        <w:t>3</w:t>
      </w:r>
      <w:r>
        <w:rPr/>
        <w:t>.</w:t>
      </w:r>
      <w:r>
        <w:rPr>
          <w:rFonts w:hint="eastAsia"/>
        </w:rPr>
        <w:t>3</w:t>
      </w:r>
      <w:r>
        <w:rPr/>
        <w:t>RPA</w:t>
      </w:r>
      <w:r>
        <w:rPr>
          <w:rFonts w:hint="eastAsia"/>
        </w:rPr>
        <w:t>与ai协同</w:t>
      </w:r>
    </w:p>
    <w:p>
      <w:pPr>
        <w:pStyle w:val="000005"/>
        <w:numPr/>
        <w:pBdr/>
        <w:ind/>
        <w:rPr>
          <w:sz w:val="28"/>
        </w:rPr>
      </w:pPr>
      <w:r>
        <w:rPr>
          <w:rFonts w:hint="eastAsia"/>
          <w:sz w:val="28"/>
        </w:rPr>
        <w:t>3.3.1</w:t>
      </w:r>
      <w:r>
        <w:rPr>
          <w:i w:val="0"/>
          <w:strike w:val="0"/>
          <w:color w:val="000000"/>
          <w:sz w:val="28"/>
          <w:u w:val="none"/>
        </w:rPr>
        <w:t>金融行业专用 RPA 与 AI 协同场景</w:t>
      </w:r>
    </w:p>
    <w:p>
      <w:pPr>
        <w:pStyle w:val="000005"/>
        <w:numPr/>
        <w:pBdr/>
        <w:ind/>
        <w:rPr>
          <w:i w:val="0"/>
          <w:strike w:val="0"/>
          <w:color w:val="000000"/>
          <w:u w:val="none"/>
        </w:rPr>
      </w:pPr>
      <w:r>
        <w:rPr>
          <w:i w:val="0"/>
          <w:strike w:val="0"/>
          <w:color w:val="000000"/>
          <w:u w:val="none"/>
        </w:rPr>
        <w:t>该类协同聚焦银行、证券、保险领域的合规性与专业性需求，AI 技术以 “精准识别、风险判断” 为核心，RPA 则承接 “跨系统数据流转、标准化操作” 任务，形成 “智能分析 - 自动执行” 闭环。</w:t>
      </w:r>
    </w:p>
    <w:p>
      <w:pPr>
        <w:pStyle w:val="000005"/>
        <w:numPr>
          <w:ilvl w:val="0"/>
          <w:numId w:val="3"/>
        </w:numPr>
        <w:pBdr/>
        <w:ind/>
        <w:rPr>
          <w:rFonts w:hint="eastAsia"/>
          <w:i w:val="0"/>
          <w:strike w:val="0"/>
          <w:color w:val="000000"/>
          <w:u w:val="none"/>
        </w:rPr>
      </w:pPr>
      <w:r>
        <w:rPr>
          <w:b w:val="1"/>
          <w:i w:val="0"/>
          <w:strike w:val="0"/>
          <w:color w:val="000000"/>
          <w:sz w:val="24"/>
          <w:u w:val="none"/>
          <w:shd w:val="clear" w:color="auto" w:fill="auto"/>
        </w:rPr>
        <w:t>银行业反洗钱调查协同</w:t>
      </w:r>
      <w:r>
        <w:rPr>
          <w:i w:val="0"/>
          <w:strike w:val="0"/>
          <w:color w:val="000000"/>
          <w:u w:val="none"/>
        </w:rPr>
        <w:t>：AI 通过自然语言处理（NLP）解析客户交易日志、合同文本，自动识别 “大额高频转账、异地交易” 等可疑特征，生成初步调查清单；RPA 基于清单自动登录 10 + 个内部风控系统与外部数据平台（如征信系统），抓取客户身份信息、关联账户流水，完成调查资料汇总与初步报告撰写。协同后，单笔反洗钱调查时间从人工 4 小时缩短至 30 分钟，效率提升 87.5%，同时漏报率从人工审核的 5% 降低至 1%，合规性显著提升。</w:t>
      </w:r>
    </w:p>
    <w:p>
      <w:pPr>
        <w:pStyle w:val="000005"/>
        <w:numPr>
          <w:ilvl w:val="0"/>
          <w:numId w:val="3"/>
        </w:numPr>
        <w:pBdr/>
        <w:ind/>
        <w:rPr>
          <w:rFonts w:hint="eastAsia"/>
          <w:i w:val="0"/>
          <w:strike w:val="0"/>
          <w:color w:val="000000"/>
          <w:u w:val="none"/>
        </w:rPr>
      </w:pPr>
      <w:r>
        <w:rPr>
          <w:b w:val="1"/>
          <w:i w:val="0"/>
          <w:strike w:val="0"/>
          <w:color w:val="000000"/>
          <w:sz w:val="24"/>
          <w:u w:val="none"/>
          <w:shd w:val="clear" w:color="auto" w:fill="auto"/>
        </w:rPr>
        <w:t>保险业复杂医疗险理赔协同</w:t>
      </w:r>
      <w:r>
        <w:rPr>
          <w:i w:val="0"/>
          <w:strike w:val="0"/>
          <w:color w:val="000000"/>
          <w:u w:val="none"/>
        </w:rPr>
        <w:t>：AI 通过计算机视觉（CV）识别医疗单据（病历、发票、检查报告）中的伪造痕迹（如篡改金额、虚假印章），并基于医疗术语库解析病历语义，自动匹配保险条款计算给付比例；RPA 则自动登录保险公司核保系统、医院电子病历系统，提取理赔申请人的保单信息、诊疗记录，完成 “单据核验 - 金额核算 - 结果录入” 的全流程自动化。协同后，理赔周期从人工 7 天缩短至 2 天，处理效率提升 71.4%，骗保识别率从人工的 75% 提升至 99.2%，减少保险资金损失。</w:t>
      </w:r>
    </w:p>
    <w:p>
      <w:pPr>
        <w:pStyle w:val="000005"/>
        <w:numPr>
          <w:ilvl w:val="0"/>
          <w:numId w:val="3"/>
        </w:numPr>
        <w:pBdr/>
        <w:ind/>
        <w:rPr>
          <w:rFonts w:hint="eastAsia"/>
          <w:i w:val="0"/>
          <w:strike w:val="0"/>
          <w:color w:val="000000"/>
          <w:u w:val="none"/>
        </w:rPr>
      </w:pPr>
      <w:r>
        <w:rPr>
          <w:b w:val="1"/>
          <w:i w:val="0"/>
          <w:strike w:val="0"/>
          <w:color w:val="000000"/>
          <w:sz w:val="24"/>
          <w:u w:val="none"/>
          <w:shd w:val="clear" w:color="auto" w:fill="auto"/>
        </w:rPr>
        <w:t>证券业研报处理协同</w:t>
      </w:r>
      <w:r>
        <w:rPr>
          <w:i w:val="0"/>
          <w:strike w:val="0"/>
          <w:color w:val="000000"/>
          <w:u w:val="none"/>
        </w:rPr>
        <w:t>：AI 通过检索增强生成（RAG）技术，从每日数千份非结构化公告、行业研报中提取核心数据（如公司营收、行业增速、政策影响），并按 “行业 - 公司 - 指标” 维度分类；RPA 自动将 AI 提取的数据录入证券交易系统、投研数据库，同时生成标准化研报摘要（含数据可视化图表），推送至分析师终端。协同后，研报核心信息提取效率较人工提升 10 倍，且数据录入错误率从人工的 3% 降至 0.1%，支撑投研决策效率提升。</w:t>
      </w:r>
    </w:p>
    <w:p>
      <w:pPr>
        <w:pStyle w:val="000005"/>
        <w:numPr/>
        <w:pBdr/>
        <w:ind w:left="0"/>
        <w:rPr>
          <w:i w:val="0"/>
          <w:strike w:val="0"/>
          <w:color w:val="000000"/>
          <w:sz w:val="28"/>
          <w:u w:val="none"/>
        </w:rPr>
      </w:pPr>
      <w:r>
        <w:rPr>
          <w:rFonts w:hint="eastAsia"/>
          <w:i w:val="0"/>
          <w:strike w:val="0"/>
          <w:color w:val="000000"/>
          <w:sz w:val="28"/>
          <w:u w:val="none"/>
        </w:rPr>
        <w:t>3.3.2</w:t>
      </w:r>
      <w:r>
        <w:rPr>
          <w:i w:val="0"/>
          <w:strike w:val="0"/>
          <w:color w:val="000000"/>
          <w:sz w:val="28"/>
          <w:u w:val="none"/>
        </w:rPr>
        <w:t>通用企业运营 RPA 与 AI 协同场景</w:t>
      </w:r>
    </w:p>
    <w:p>
      <w:pPr>
        <w:pStyle w:val="000005"/>
        <w:numPr/>
        <w:pBdr/>
        <w:ind w:left="0"/>
        <w:rPr>
          <w:i w:val="0"/>
          <w:strike w:val="0"/>
          <w:color w:val="000000"/>
          <w:u w:val="none"/>
        </w:rPr>
      </w:pPr>
      <w:r>
        <w:rPr>
          <w:i w:val="0"/>
          <w:strike w:val="0"/>
          <w:color w:val="000000"/>
          <w:u w:val="none"/>
        </w:rPr>
        <w:t>该类协同聚焦企业日常运营中的 “规则复杂、数据杂乱” 场景，AI 以 “智能识别、规则适配” 为核心，RPA 负责 “重复性操作、跨平台数据同步”，解决人工审核标准不一、操作繁琐的问题。</w:t>
      </w:r>
    </w:p>
    <w:p>
      <w:pPr>
        <w:pStyle w:val="000005"/>
        <w:numPr>
          <w:ilvl w:val="0"/>
          <w:numId w:val="4"/>
        </w:numPr>
        <w:pBdr/>
        <w:ind/>
        <w:rPr>
          <w:rFonts w:hint="eastAsia"/>
          <w:i w:val="0"/>
          <w:strike w:val="0"/>
          <w:color w:val="000000"/>
          <w:u w:val="none"/>
        </w:rPr>
      </w:pPr>
      <w:r>
        <w:rPr>
          <w:b w:val="1"/>
          <w:i w:val="0"/>
          <w:strike w:val="0"/>
          <w:color w:val="000000"/>
          <w:sz w:val="24"/>
          <w:u w:val="none"/>
          <w:shd w:val="clear" w:color="auto" w:fill="auto"/>
        </w:rPr>
        <w:t>费用报销流程协同</w:t>
      </w:r>
      <w:r>
        <w:rPr>
          <w:i w:val="0"/>
          <w:strike w:val="0"/>
          <w:color w:val="000000"/>
          <w:u w:val="none"/>
        </w:rPr>
        <w:t>：AI 通过 OCR 技术识别报销单（发票、行程单、住宿单据）中的关键信息（金额、日期、发票代码），并基于企业报销规则（如 “差旅住宿单日上限 800 元”“发票有效期 1 年”）自动判断合规性；RPA 则自动登录企业财务系统、员工 OA 系统，将合规报销单的信息录入财务系统，生成付款申请，同时向员工推送报销进度通知。协同后，单份报销单审核时间从人工 15 分钟缩短至 2 分钟，效率提升 86.7%，因审核标准不一导致的员工申诉率从 12% 降至 2%。</w:t>
      </w:r>
    </w:p>
    <w:p>
      <w:pPr>
        <w:numPr>
          <w:ilvl w:val="0"/>
          <w:numId w:val="4"/>
        </w:numPr>
        <w:snapToGrid w:val="1"/>
        <w:spacing w:line="360"/>
        <w:ind/>
        <w:rPr/>
      </w:pPr>
      <w:r>
        <w:rPr>
          <w:b w:val="1"/>
          <w:i w:val="0"/>
          <w:strike w:val="0"/>
          <w:color w:val="000000"/>
          <w:sz w:val="24"/>
          <w:u w:val="none"/>
          <w:shd w:val="clear" w:color="auto" w:fill="auto"/>
        </w:rPr>
        <w:t>RPA 脚本维护协同</w:t>
      </w:r>
      <w:r>
        <w:rPr>
          <w:i w:val="0"/>
          <w:strike w:val="0"/>
          <w:color w:val="000000"/>
          <w:sz w:val="24"/>
          <w:u w:val="none"/>
          <w:shd w:val="clear" w:color="auto" w:fill="auto"/>
        </w:rPr>
        <w:t>：AI 通过流程挖掘技术实时监控 RPA 脚本运行状态，自动识别 “UI 界面变更、系统接口调整” 等导致脚本报错的原因，并生成适配方案（如调整控件定位坐标、更新接口参数）；RPA 基于 AI 生成的方案自动完成脚本修复与测试，无需人工编写新代码。协同后，RPA 脚本维护周期从人工 2 天缩短至 4 小时，维护成本降低 83.3%，同时脚本故障率从 10% 降至 1.5%，保障自动化流程稳定性。</w:t>
      </w:r>
    </w:p>
    <w:p>
      <w:pPr>
        <w:pStyle w:val="000005"/>
        <w:numPr/>
        <w:pBdr>
          <w:bottom/>
        </w:pBdr>
        <w:ind w:left="816"/>
        <w:rPr>
          <w:rFonts w:hint="eastAsia"/>
          <w:i w:val="0"/>
          <w:strike w:val="0"/>
          <w:color w:val="000000"/>
          <w:u w:val="none"/>
        </w:rPr>
      </w:pPr>
    </w:p>
    <w:p>
      <w:pPr>
        <w:pStyle w:val="00000a"/>
        <w:numPr/>
        <w:ind w:left="0"/>
        <w:rPr/>
      </w:pPr>
      <w:r>
        <w:rPr>
          <w:rFonts w:hint="eastAsia"/>
        </w:rPr>
        <w:t>2.3.3分析方法框架</w:t>
      </w:r>
    </w:p>
    <w:p>
      <w:pPr>
        <w:pStyle w:val="000006"/>
        <w:rPr/>
      </w:pPr>
      <w:r>
        <w:rPr>
          <w:rFonts w:hint="eastAsia"/>
        </w:rPr>
        <w:t>第四章业务场景与需求维度 （机构、行业）</w:t>
      </w:r>
    </w:p>
    <w:p>
      <w:pPr>
        <w:pStyle w:val="000008"/>
        <w:rPr/>
      </w:pPr>
      <w:r>
        <w:rPr>
          <w:rFonts w:hint="eastAsia"/>
        </w:rPr>
        <w:t>4</w:t>
      </w:r>
      <w:r>
        <w:rPr/>
        <w:t>.1</w:t>
      </w:r>
      <w:r>
        <w:rPr>
          <w:rFonts w:hint="eastAsia"/>
        </w:rPr>
        <w:t>业务场景识别与归类（深入分析如银企对账、纳税申报、发票处理（验真、认证、录入）、费用报销审核、合并报表编制、内部往来核对等具体场景）</w:t>
      </w:r>
    </w:p>
    <w:p>
      <w:pPr>
        <w:pStyle w:val="000008"/>
        <w:rPr/>
      </w:pPr>
      <w:r>
        <w:rPr>
          <w:rFonts w:hint="eastAsia"/>
        </w:rPr>
        <w:t>4</w:t>
      </w:r>
      <w:r>
        <w:rPr/>
        <w:t>.2</w:t>
      </w:r>
      <w:r>
        <w:rPr>
          <w:rFonts w:hint="eastAsia"/>
        </w:rPr>
        <w:t>行业需求点分析</w:t>
      </w:r>
    </w:p>
    <w:p>
      <w:pPr>
        <w:pStyle w:val="000008"/>
        <w:rPr/>
      </w:pPr>
      <w:r>
        <w:rPr>
          <w:rFonts w:hint="eastAsia"/>
        </w:rPr>
        <w:t>4</w:t>
      </w:r>
      <w:r>
        <w:rPr/>
        <w:t>.3</w:t>
      </w:r>
      <w:r>
        <w:rPr>
          <w:rFonts w:hint="eastAsia"/>
        </w:rPr>
        <w:t>价值创造总结</w:t>
      </w:r>
    </w:p>
    <w:p>
      <w:pPr>
        <w:pStyle w:val="000006"/>
        <w:rPr/>
      </w:pPr>
      <w:r>
        <w:rPr>
          <w:rFonts w:hint="eastAsia"/>
        </w:rPr>
        <w:t>第五章用户场景 按“用户角色”切入</w:t>
      </w:r>
    </w:p>
    <w:p>
      <w:pPr>
        <w:pStyle w:val="000008"/>
        <w:rPr/>
      </w:pPr>
      <w:r>
        <w:rPr>
          <w:rFonts w:hint="eastAsia"/>
        </w:rPr>
        <w:t>5.1用户场景识别与归类（深入分析如银企对账、纳税申报、发票处理（验真、认证、录入）、费用报销审核、合并报表编制、内部往来核对等具体场景）</w:t>
      </w:r>
    </w:p>
    <w:p>
      <w:pPr>
        <w:pStyle w:val="000008"/>
        <w:rPr/>
      </w:pPr>
      <w:r>
        <w:rPr>
          <w:rFonts w:hint="eastAsia"/>
        </w:rPr>
        <w:t>5.2用户需求点分析</w:t>
      </w:r>
    </w:p>
    <w:p>
      <w:pPr>
        <w:pStyle w:val="000008"/>
        <w:rPr/>
      </w:pPr>
      <w:r>
        <w:rPr>
          <w:rFonts w:hint="eastAsia"/>
        </w:rPr>
        <w:t>5.3价值创造总结</w:t>
      </w:r>
    </w:p>
    <w:p>
      <w:pPr>
        <w:pStyle w:val="000006"/>
        <w:rPr/>
      </w:pPr>
      <w:r>
        <w:rPr>
          <w:rFonts w:hint="eastAsia"/>
        </w:rPr>
        <w:t>第六章行业应用与趋势维度（杨津墨）</w:t>
      </w:r>
    </w:p>
    <w:p>
      <w:pPr>
        <w:pStyle w:val="000008"/>
        <w:rPr/>
      </w:pPr>
      <w:r>
        <w:rPr>
          <w:rFonts w:hint="eastAsia"/>
        </w:rPr>
        <w:t>6</w:t>
      </w:r>
      <w:r>
        <w:rPr/>
        <w:t>.1</w:t>
      </w:r>
      <w:r>
        <w:rPr>
          <w:rFonts w:hint="eastAsia"/>
        </w:rPr>
        <w:t>行业渗透分析</w:t>
      </w:r>
    </w:p>
    <w:p>
      <w:pPr>
        <w:pStyle w:val="000008"/>
        <w:rPr/>
      </w:pPr>
      <w:r>
        <w:rPr>
          <w:rFonts w:hint="eastAsia"/>
        </w:rPr>
        <w:t>6</w:t>
      </w:r>
      <w:r>
        <w:rPr/>
        <w:t>.2</w:t>
      </w:r>
      <w:r>
        <w:rPr>
          <w:rFonts w:hint="eastAsia"/>
        </w:rPr>
        <w:t>标杆案例研究</w:t>
      </w:r>
    </w:p>
    <w:p>
      <w:pPr>
        <w:pStyle w:val="000008"/>
        <w:rPr/>
      </w:pPr>
      <w:r>
        <w:rPr>
          <w:rFonts w:hint="eastAsia"/>
        </w:rPr>
        <w:t>6</w:t>
      </w:r>
      <w:r>
        <w:rPr/>
        <w:t>.3</w:t>
      </w:r>
      <w:r>
        <w:rPr>
          <w:rFonts w:hint="eastAsia"/>
        </w:rPr>
        <w:t>未来场景展望</w:t>
      </w:r>
    </w:p>
    <w:p>
      <w:pPr>
        <w:pStyle w:val="000006"/>
        <w:rPr/>
      </w:pPr>
      <w:r>
        <w:rPr>
          <w:rFonts w:hint="eastAsia"/>
        </w:rPr>
        <w:t>第七章实施风险与对策维度</w:t>
      </w:r>
    </w:p>
    <w:p>
      <w:pPr>
        <w:pStyle w:val="000008"/>
        <w:rPr/>
      </w:pPr>
      <w:r>
        <w:rPr>
          <w:rFonts w:hint="eastAsia"/>
        </w:rPr>
        <w:t>7</w:t>
      </w:r>
      <w:r>
        <w:rPr/>
        <w:t>.1</w:t>
      </w:r>
      <w:r>
        <w:rPr>
          <w:rFonts w:hint="eastAsia"/>
        </w:rPr>
        <w:t>成功的关键因素（强化意识、培养人才、加大投入、流程再造）</w:t>
      </w:r>
    </w:p>
    <w:p>
      <w:pPr>
        <w:pStyle w:val="000008"/>
        <w:rPr/>
      </w:pPr>
      <w:r>
        <w:rPr>
          <w:rFonts w:hint="eastAsia"/>
        </w:rPr>
        <w:t>7</w:t>
      </w:r>
      <w:r>
        <w:rPr/>
        <w:t>.2</w:t>
      </w:r>
      <w:r>
        <w:rPr>
          <w:rFonts w:hint="eastAsia"/>
        </w:rPr>
        <w:t>风险识别与防范（技术风险（系统故障、数据安全）、操作风险（程序错误、过度依赖）、合规风险（隐私保护、审计追踪））</w:t>
      </w:r>
    </w:p>
    <w:p>
      <w:pPr>
        <w:pStyle w:val="000006"/>
        <w:rPr/>
      </w:pPr>
      <w:r>
        <w:rPr>
          <w:rFonts w:hint="eastAsia"/>
        </w:rPr>
        <w:t>第八章结论与建议</w:t>
      </w:r>
    </w:p>
    <w:p>
      <w:pPr>
        <w:widowControl w:val="1"/>
        <w:ind w:firstLine="480"/>
        <w:jc w:val="left"/>
        <w:rPr>
          <w:color w:val="FFFFFF" w:themeColor="background1"/>
          <w:highlight w:val="darkMagenta"/>
        </w:rPr>
      </w:pPr>
      <w:r>
        <w:rPr>
          <w:rFonts w:ascii="宋体" w:hAnsi="宋体" w:eastAsia="宋体" w:cs="宋体"/>
          <w:color w:val="FFFFFF" w:themeColor="background1"/>
          <w:kern w:val="0"/>
          <w:highlight w:val="darkMagenta"/>
          <w:lang w:bidi="ar"/>
        </w:rPr>
        <w:t>切入点一（管理社会学视角）：聚焦金融机构对“Agent+RPA”决策权让渡的信任困境，探究容错边界、责任归属等问题，揭示技术进步与金融审慎管理的制度性矛盾。</w:t>
      </w:r>
    </w:p>
    <w:p>
      <w:pPr>
        <w:widowControl w:val="1"/>
        <w:ind w:firstLine="480"/>
        <w:jc w:val="left"/>
        <w:rPr>
          <w:color w:val="FFFFFF" w:themeColor="background1"/>
          <w:highlight w:val="darkMagenta"/>
        </w:rPr>
      </w:pPr>
      <w:r>
        <w:rPr>
          <w:rFonts w:ascii="宋体" w:hAnsi="宋体" w:eastAsia="宋体" w:cs="宋体"/>
          <w:color w:val="FFFFFF" w:themeColor="background1"/>
          <w:kern w:val="0"/>
          <w:highlight w:val="darkMagenta"/>
          <w:lang w:bidi="ar"/>
        </w:rPr>
        <w:t>切入点二（劳动经济学视角）：围绕金融基层劳动力数智化异化与技能重塑，调研工作碎片化、技能极化等现象，为新文科人才培养方案提供现实依据。</w:t>
      </w:r>
    </w:p>
    <w:p>
      <w:pPr>
        <w:widowControl w:val="1"/>
        <w:ind w:firstLine="480"/>
        <w:jc w:val="left"/>
        <w:rPr>
          <w:color w:val="FFFFFF" w:themeColor="background1"/>
          <w:highlight w:val="darkMagenta"/>
        </w:rPr>
      </w:pPr>
      <w:r>
        <w:rPr>
          <w:rFonts w:ascii="宋体" w:hAnsi="宋体" w:eastAsia="宋体" w:cs="宋体"/>
          <w:color w:val="FFFFFF" w:themeColor="background1"/>
          <w:kern w:val="0"/>
          <w:highlight w:val="darkMagenta"/>
          <w:lang w:bidi="ar"/>
        </w:rPr>
        <w:t>切入点三（产业生态维度）：剖析金融行业数字壁垒与技术下沉阻力，对比大小机构应用差异，探究成本、数据等核心制约，反思技术普惠困境与AI泡沫温差。</w:t>
      </w:r>
    </w:p>
    <w:p>
      <w:pPr>
        <w:widowControl w:val="1"/>
        <w:ind w:firstLine="480"/>
        <w:jc w:val="left"/>
        <w:rPr>
          <w:color w:val="FFFFFF" w:themeColor="background1"/>
          <w:highlight w:val="darkMagenta"/>
        </w:rPr>
      </w:pPr>
      <w:r>
        <w:rPr>
          <w:rFonts w:ascii="宋体" w:hAnsi="宋体" w:eastAsia="宋体" w:cs="宋体"/>
          <w:color w:val="FFFFFF" w:themeColor="background1"/>
          <w:kern w:val="0"/>
          <w:highlight w:val="darkMagenta"/>
          <w:lang w:bidi="ar"/>
        </w:rPr>
        <w:t>切入点四（制度环境视角）：深挖金融机构RPA应用的合规与效率双动机博弈，调研监管响应、风控实效等，论证技术带来的不仅是效率提升更是治理模式变革。</w:t>
      </w:r>
    </w:p>
    <w:p>
      <w:pPr>
        <w:widowControl w:val="1"/>
        <w:ind w:firstLine="480"/>
        <w:jc w:val="left"/>
        <w:rPr>
          <w:color w:val="FFFFFF" w:themeColor="background1"/>
          <w:highlight w:val="darkMagenta"/>
        </w:rPr>
      </w:pPr>
      <w:r>
        <w:rPr>
          <w:rFonts w:ascii="宋体" w:hAnsi="宋体" w:eastAsia="宋体" w:cs="宋体"/>
          <w:color w:val="FFFFFF" w:themeColor="background1"/>
          <w:kern w:val="0"/>
          <w:highlight w:val="darkMagenta"/>
          <w:lang w:bidi="ar"/>
        </w:rPr>
        <w:t>切入点五（教育学视角）：立足产教融合，调研新文科课程与金融行业需求差距，涵盖教学有效性、学生偏好等，为相关专业教育改革提供数据支撑。</w:t>
      </w:r>
    </w:p>
    <w:p>
      <w:pPr>
        <w:widowControl w:val="1"/>
        <w:ind w:firstLine="0" w:firstLineChars="0"/>
        <w:jc w:val="left"/>
        <w:rPr>
          <w:color w:val="FFFFFF" w:themeColor="background1"/>
          <w:highlight w:val="darkMagenta"/>
        </w:rPr>
      </w:pPr>
    </w:p>
    <w:p>
      <w:pPr>
        <w:ind w:firstLine="480"/>
        <w:rPr/>
      </w:pPr>
    </w:p>
    <w:p>
      <w:pPr>
        <w:ind w:firstLine="480"/>
        <w:rPr/>
      </w:pPr>
    </w:p>
    <w:p>
      <w:pPr>
        <w:ind w:firstLine="480"/>
        <w:rPr>
          <w:highlight w:val="yellow"/>
        </w:rPr>
      </w:pPr>
      <w:r>
        <w:rPr>
          <w:rFonts w:hint="eastAsia"/>
          <w:highlight w:val="yellow"/>
        </w:rPr>
        <w:t>1. JTBD（Jobs to be Done）理论：挖掘 “真实需求”</w:t>
      </w:r>
    </w:p>
    <w:p>
      <w:pPr>
        <w:ind w:firstLine="480"/>
        <w:rPr>
          <w:highlight w:val="yellow"/>
        </w:rPr>
      </w:pPr>
      <w:r>
        <w:rPr>
          <w:rFonts w:hint="eastAsia"/>
          <w:highlight w:val="yellow"/>
        </w:rPr>
        <w:t>核心逻辑：不关注用户 “想要什么”，而是关注用户 “需要完成什么工作”（即 “待办任务”），从 “情境 - 动机 - 目标” 三层拆解需求本质，避免被表面诉求误导。</w:t>
      </w:r>
    </w:p>
    <w:p>
      <w:pPr>
        <w:ind w:firstLine="480"/>
        <w:rPr>
          <w:highlight w:val="yellow"/>
        </w:rPr>
      </w:pPr>
      <w:r>
        <w:rPr>
          <w:rFonts w:hint="eastAsia"/>
          <w:highlight w:val="yellow"/>
        </w:rPr>
        <w:t>2. KANO 模型：分类需求优先级 &amp; 价值</w:t>
      </w:r>
    </w:p>
    <w:p>
      <w:pPr>
        <w:ind w:firstLine="480"/>
        <w:rPr>
          <w:highlight w:val="yellow"/>
        </w:rPr>
      </w:pPr>
      <w:r>
        <w:rPr>
          <w:rFonts w:hint="eastAsia"/>
          <w:highlight w:val="yellow"/>
        </w:rPr>
        <w:t>核心逻辑：将客户需求分为四类，明确不同需求对客户价值的影响，判断哪些是 “必备需求”、哪些是 “增值需求”，为未来需求预判提供依据：</w:t>
      </w:r>
    </w:p>
    <w:p>
      <w:pPr>
        <w:ind w:firstLine="480"/>
        <w:rPr>
          <w:highlight w:val="yellow"/>
        </w:rPr>
      </w:pPr>
      <w:r>
        <w:rPr>
          <w:rFonts w:hint="eastAsia"/>
          <w:highlight w:val="yellow"/>
        </w:rPr>
        <w:t>3</w:t>
      </w:r>
      <w:r>
        <w:rPr>
          <w:highlight w:val="yellow"/>
        </w:rPr>
        <w:t>.</w:t>
      </w:r>
      <w:r>
        <w:rPr>
          <w:rFonts w:hint="eastAsia"/>
          <w:highlight w:val="yellow"/>
        </w:rPr>
        <w:t>需求金字塔模型：分层拆解需求</w:t>
      </w:r>
    </w:p>
    <w:p>
      <w:pPr>
        <w:ind w:firstLine="480"/>
        <w:rPr>
          <w:highlight w:val="yellow"/>
        </w:rPr>
      </w:pPr>
      <w:r>
        <w:rPr>
          <w:rFonts w:hint="eastAsia"/>
          <w:highlight w:val="yellow"/>
        </w:rPr>
        <w:t>核心逻辑：从 “底层痛点→中层功能需求→顶层价值需求” 分层梳理，匹配 RPA 技术的解决路径：</w:t>
      </w:r>
    </w:p>
    <w:p>
      <w:pPr>
        <w:ind w:firstLine="480"/>
        <w:rPr>
          <w:highlight w:val="yellow"/>
        </w:rPr>
      </w:pPr>
      <w:r>
        <w:rPr>
          <w:rFonts w:hint="eastAsia"/>
          <w:highlight w:val="yellow"/>
        </w:rPr>
        <w:t>4. STAR 法则：结构化梳理案例需求</w:t>
      </w:r>
    </w:p>
    <w:p>
      <w:pPr>
        <w:ind w:firstLine="480"/>
        <w:rPr>
          <w:highlight w:val="yellow"/>
        </w:rPr>
      </w:pPr>
      <w:r>
        <w:rPr>
          <w:rFonts w:hint="eastAsia"/>
          <w:highlight w:val="yellow"/>
        </w:rPr>
        <w:t>核心逻辑：通过 “情境（S）- 任务（T）- 行动（A）- 结果（R）” 拆解每个案例，聚焦需求落地的全过程</w:t>
      </w:r>
    </w:p>
    <w:p>
      <w:pPr>
        <w:ind w:firstLine="480"/>
        <w:rPr>
          <w:highlight w:val="yellow"/>
        </w:rPr>
      </w:pPr>
      <w:r>
        <w:rPr>
          <w:rFonts w:hint="eastAsia"/>
          <w:highlight w:val="yellow"/>
        </w:rPr>
        <w:t>PESTEL + 趋势交叉分析：预判未来需求</w:t>
      </w:r>
    </w:p>
    <w:p>
      <w:pPr>
        <w:ind w:firstLine="480"/>
        <w:rPr>
          <w:b w:val="1"/>
          <w:highlight w:val="yellow"/>
        </w:rPr>
      </w:pPr>
      <w:r>
        <w:rPr>
          <w:rFonts w:hint="eastAsia"/>
          <w:highlight w:val="yellow"/>
        </w:rPr>
        <w:t>核心逻辑：用 PESTEL 分析宏观环境（政策、经济、技术等）对金融领域的影响，再结合 RPA 技术趋势，交叉预判未来 3-5 年的需求场景</w:t>
      </w:r>
      <w:r>
        <w:rPr>
          <w:rFonts w:hint="eastAsia"/>
          <w:b w:val="1"/>
          <w:highlight w:val="yellow"/>
        </w:rPr>
        <w:t>（武翌雅）</w:t>
      </w:r>
    </w:p>
    <w:p>
      <w:pPr>
        <w:widowControl w:val="1"/>
        <w:spacing w:before="100" w:beforeAutospacing="1" w:after="100" w:afterAutospacing="1"/>
        <w:ind w:firstLine="482"/>
        <w:jc w:val="left"/>
        <w:outlineLvl w:val="2"/>
        <w:rPr>
          <w:rFonts w:ascii="宋体" w:hAnsi="宋体" w:eastAsia="宋体" w:cs="宋体"/>
          <w:b w:val="1"/>
          <w:bCs w:val="1"/>
          <w:kern w:val="0"/>
          <w:sz w:val="27"/>
          <w:szCs w:val="27"/>
          <w:highlight w:val="yellow"/>
        </w:rPr>
      </w:pPr>
      <w:r>
        <w:rPr>
          <w:rFonts w:hint="eastAsia"/>
          <w:b w:val="1"/>
          <w:highlight w:val="yellow"/>
        </w:rPr>
        <w:t>比如：</w:t>
      </w:r>
      <w:r>
        <w:rPr>
          <w:rFonts w:hint="eastAsia" w:ascii="宋体" w:hAnsi="宋体" w:eastAsia="宋体" w:cs="宋体"/>
          <w:b w:val="1"/>
          <w:bCs w:val="1"/>
          <w:kern w:val="0"/>
          <w:sz w:val="27"/>
          <w:szCs w:val="27"/>
          <w:highlight w:val="yellow"/>
        </w:rPr>
        <w:t>RPA技术现状概述（PESTEL分析）</w:t>
      </w:r>
    </w:p>
    <w:p>
      <w:pPr>
        <w:ind w:firstLine="480"/>
        <w:rPr>
          <w:highlight w:val="yellow"/>
        </w:rPr>
      </w:pPr>
      <w:r>
        <w:rPr>
          <w:rFonts w:hint="eastAsia"/>
          <w:highlight w:val="yellow"/>
        </w:rPr>
        <w:t>政治（Political）： 国家推动数字经济与实体经济深度融合，出台《交通强国建设纲要》等政策，鼓励智慧港口、智能金融等建设，为RPA在特定行业的应用创造了有利的政策环境。数据安全与隐私保护相关法规（如《网络安全法》、《数据安全法》）也对RPA的应用提出了合规性要求。</w:t>
      </w:r>
    </w:p>
    <w:p>
      <w:pPr>
        <w:ind w:firstLine="480"/>
        <w:rPr>
          <w:highlight w:val="yellow"/>
        </w:rPr>
      </w:pPr>
      <w:r>
        <w:rPr>
          <w:rFonts w:hint="eastAsia"/>
          <w:highlight w:val="yellow"/>
        </w:rPr>
        <w:t>经济（Economic）： 企业面临降本增效、提升竞争力的持续压力。RPA能够显著降低运营成本（综合成本可比下降90%以上），释放人力从事高价值工作，其投资回报率（ROI）显著，在经济下行或增长期均是企业优化内部流程的有力工具。</w:t>
      </w:r>
    </w:p>
    <w:p>
      <w:pPr>
        <w:ind w:firstLine="480"/>
        <w:rPr>
          <w:highlight w:val="yellow"/>
        </w:rPr>
      </w:pPr>
      <w:r>
        <w:rPr>
          <w:rFonts w:hint="eastAsia"/>
          <w:highlight w:val="yellow"/>
        </w:rPr>
        <w:t>社会（Social）： 数字化办公成为常态，年轻一代员工更倾向于从事创造性而非重复性工作。RPA承接重复、枯燥的任务，符合社会对工作意义重塑的期待，有助于提升员工满意度和人才结构升级。</w:t>
      </w:r>
    </w:p>
    <w:p>
      <w:pPr>
        <w:ind w:firstLine="480"/>
        <w:rPr>
          <w:highlight w:val="yellow"/>
        </w:rPr>
      </w:pPr>
      <w:r>
        <w:rPr>
          <w:rFonts w:hint="eastAsia"/>
          <w:highlight w:val="yellow"/>
        </w:rPr>
        <w:t>技术（Technological）： AI技术（特别是深度学习、自然语言处理）的成熟，使得RPA从基于规则的自动化向认知自动化升级。RPA与OCR、NLP、大语言模型（如DeepSeek）的协同，极大地拓展了其处理非结构化数据、进行简单决策的能力。云计算也为RPA的部署和运维提供了更灵活、可扩展的基础。</w:t>
      </w:r>
    </w:p>
    <w:p>
      <w:pPr>
        <w:ind w:firstLine="480"/>
        <w:rPr>
          <w:highlight w:val="yellow"/>
        </w:rPr>
      </w:pPr>
      <w:r>
        <w:rPr>
          <w:rFonts w:hint="eastAsia"/>
          <w:highlight w:val="yellow"/>
        </w:rPr>
        <w:t>环境（Environmental）： 无纸化办公、绿色运营成为企业社会责任的一部分。RPA通过自动化处理电子流程，减少了纸质单据的使用和人工传递，间接支持了环保目标。</w:t>
      </w:r>
    </w:p>
    <w:p>
      <w:pPr>
        <w:ind w:firstLine="480"/>
        <w:rPr>
          <w:b w:val="1"/>
          <w:highlight w:val="yellow"/>
        </w:rPr>
      </w:pPr>
      <w:r>
        <w:rPr>
          <w:rFonts w:hint="eastAsia"/>
          <w:highlight w:val="yellow"/>
        </w:rPr>
        <w:t>法律（Legal）： 金融行业强监管的特性要求RPA的应用必须满足审计追踪、数据安全、隐私保护等合规要求。RPA流程的可追溯、不可篡改（与区块链结合时尤为突出）特性，有助于企业满足内外部审计和监管要求，但同时也需防范因程序错误或过度依赖可能引发的操作与合规风险</w:t>
      </w:r>
    </w:p>
    <w:p>
      <w:pPr>
        <w:ind w:firstLine="480"/>
        <w:rPr/>
      </w:pPr>
    </w:p>
    <w:p>
      <w:pPr>
        <w:ind w:firstLine="480"/>
        <w:rPr/>
      </w:pPr>
      <w:r>
        <w:rPr>
          <w:rFonts w:hint="eastAsia"/>
        </w:rPr>
        <w:t>周居正：统筹赛事全流程，制定阶段计划与时间节点，协调组内分工衔接，数据分析，对接大赛组委会，把控调查方向与成果质量，解决跨环节问题。（获取数据）</w:t>
      </w:r>
    </w:p>
    <w:p>
      <w:pPr>
        <w:ind w:firstLine="480"/>
        <w:rPr/>
      </w:pPr>
      <w:r>
        <w:rPr>
          <w:rFonts w:hint="eastAsia"/>
        </w:rPr>
        <w:t>武翌雅：内容策划。梳理调查逻辑，撰写 PPT 核心内容，整合调研结论与分析结果，设计科普知识点呈现框架，确保内容准确易懂。（分析模型、先写出来，逻辑不通就慢慢改）</w:t>
      </w:r>
    </w:p>
    <w:p>
      <w:pPr>
        <w:ind w:firstLine="480"/>
        <w:rPr/>
      </w:pPr>
      <w:r>
        <w:rPr>
          <w:rFonts w:hint="eastAsia"/>
        </w:rPr>
        <w:t>梁明睿：调研执行。负责前期文献梳理、调研方案设计，开展问卷制作、实地访谈、数据采集等工作，确保调研样本的代表性与数据真实性。（需要看看有哪些研究场景，问卷设计、调研计划）</w:t>
      </w:r>
    </w:p>
    <w:p>
      <w:pPr>
        <w:ind w:firstLine="480"/>
        <w:rPr/>
      </w:pPr>
      <w:r>
        <w:rPr>
          <w:rFonts w:hint="eastAsia"/>
        </w:rPr>
        <w:t>陶婉玉：数据分析。运用 SPSS、Execl 等工具处理调研数据，进行相关性分析、趋势研判，提炼核心结论，为报告与 PPT 提供数据支撑。（同我、陈铭铮等一起学习），爬虫。</w:t>
      </w:r>
    </w:p>
    <w:p>
      <w:pPr>
        <w:ind w:firstLine="480"/>
        <w:rPr/>
      </w:pPr>
      <w:r>
        <w:rPr>
          <w:rFonts w:hint="eastAsia"/>
        </w:rPr>
        <w:t>杨津墨：视觉设计。负责 PPT 排版美化、图表可视化设计，模拟汇报演练，优化表达逻辑，应对答辩环节的提问与展示。（第五章）</w:t>
      </w:r>
    </w:p>
    <w:p>
      <w:pPr>
        <w:ind w:firstLine="480"/>
        <w:rPr/>
      </w:pPr>
      <w:r>
        <w:rPr>
          <w:rFonts w:hint="eastAsia"/>
        </w:rPr>
        <w:t xml:space="preserve"> </w:t>
      </w:r>
      <w:r>
        <w:rPr/>
        <w:t xml:space="preserve"> </w:t>
      </w:r>
    </w:p>
    <w:p>
      <w:pPr>
        <w:pStyle w:val="000006"/>
        <w:rPr/>
      </w:pPr>
      <w:r>
        <w:rPr>
          <w:rFonts w:hint="eastAsia"/>
        </w:rPr>
        <w:t>第一章 绪论</w:t>
      </w:r>
    </w:p>
    <w:p>
      <w:pPr>
        <w:pStyle w:val="000008"/>
        <w:rPr/>
      </w:pPr>
      <w:r>
        <w:rPr>
          <w:rFonts w:hint="eastAsia"/>
        </w:rPr>
        <w:t>1.1 调查背景及选题意义</w:t>
      </w:r>
    </w:p>
    <w:p>
      <w:pPr>
        <w:pStyle w:val="00000a"/>
        <w:rPr/>
      </w:pPr>
      <w:r>
        <w:rPr>
          <w:rFonts w:hint="eastAsia"/>
        </w:rPr>
        <w:t>1.1.1 研究背景</w:t>
      </w:r>
    </w:p>
    <w:p>
      <w:pPr>
        <w:ind w:firstLine="480"/>
        <w:rPr/>
      </w:pPr>
      <w:r>
        <w:rPr>
          <w:rFonts w:hint="eastAsia"/>
        </w:rPr>
        <w:t>本研究立足于第四次工业革命浪潮与金融行业数智化转型的双重时代交汇点，聚焦于机器人流程自动化（RPA）技术在金融领域的应用、价值与未来。</w:t>
      </w:r>
    </w:p>
    <w:p>
      <w:pPr>
        <w:ind w:firstLine="480"/>
        <w:rPr/>
      </w:pPr>
      <w:r>
        <w:rPr>
          <w:rFonts w:hint="eastAsia"/>
        </w:rPr>
        <w:t>时代背景：人工智能驱动社会智能化发展。 以人工智能（AI）、物联网、大数据、云计算为代表的第四次工业革命技术正深刻重塑各行各业。各类AI模型（如DeepSeek、Kimi、ChatGPT等）的涌现，有效推动了人类社会向智能化时代迈进。在此背景下，财务会计与金融领域也日新月异，财务机器人RPA等系列新生事物应运而生，成为提升效率、驱动转型的关键技术力量。</w:t>
      </w:r>
    </w:p>
    <w:p>
      <w:pPr>
        <w:ind w:firstLine="480"/>
        <w:rPr/>
      </w:pPr>
      <w:r>
        <w:rPr>
          <w:rFonts w:hint="eastAsia"/>
        </w:rPr>
        <w:t>行业背景：金融数智化服务能力建设成为核心竞争力。 在全球数字经济蓬勃发展的大环境下，数字化、智能化转型已成为各市场主体发展的必然趋势和重要方向。在金融领域，尤其是如港口财金服务等细分场景，其数智化服务能力不仅是智慧港口建设的关键构成部分，更是企业推进业财融合、提升盈利能力与客户服务能力的基础。金融科技作为新兴信息技术在金融服务领域的创新应用，正逐渐渗透到各类企业财金业务中，影响深远。当前，世界金融科技已进入金融智能化阶段，其特征表现为大数据感知分析与智能处理、精准化金融服务、协作化社会分工与智能金融风控。</w:t>
      </w:r>
    </w:p>
    <w:p>
      <w:pPr>
        <w:ind w:firstLine="480"/>
        <w:rPr/>
      </w:pPr>
      <w:r>
        <w:rPr>
          <w:rFonts w:hint="eastAsia"/>
        </w:rPr>
        <w:t>政策背景：国家战略与行业标准引领智慧化建设。 在国家《交通强国建设纲要》、《智能航运发展指导意见》等交通强国战略的指引下，港口等关键基础设施的运营管理正向“物流—信息流—资金流”融会贯通的模式转变。中国港口协会发布的一系列智慧港口等级评价指南，明确将“数智服务”作为核心评价指标（权重35%），其中财金业务的数智化能力是关键组成部分。这些政策与标准为金融科技在特定行业场景的应用提供了明确的指引和评价框架，也催生了对于RPA等技术落地应用的迫切需求。</w:t>
      </w:r>
    </w:p>
    <w:p>
      <w:pPr>
        <w:widowControl w:val="1"/>
        <w:spacing w:before="100" w:beforeAutospacing="1" w:after="100" w:afterAutospacing="1"/>
        <w:ind w:firstLine="542"/>
        <w:jc w:val="left"/>
        <w:outlineLvl w:val="2"/>
        <w:rPr>
          <w:rFonts w:ascii="宋体" w:hAnsi="宋体" w:eastAsia="宋体" w:cs="宋体"/>
          <w:b w:val="1"/>
          <w:bCs w:val="1"/>
          <w:kern w:val="0"/>
          <w:sz w:val="27"/>
          <w:szCs w:val="27"/>
        </w:rPr>
      </w:pPr>
    </w:p>
    <w:p>
      <w:pPr>
        <w:pStyle w:val="00000a"/>
        <w:rPr/>
      </w:pPr>
      <w:r>
        <w:rPr>
          <w:rFonts w:hint="eastAsia"/>
        </w:rPr>
        <w:t>1.1.2 研究目的</w:t>
      </w:r>
    </w:p>
    <w:p>
      <w:pPr>
        <w:ind w:firstLine="480"/>
        <w:rPr/>
      </w:pPr>
      <w:r>
        <w:rPr>
          <w:rFonts w:hint="eastAsia"/>
        </w:rPr>
        <w:t>本研究旨在系统性地达成以下目标：</w:t>
      </w:r>
    </w:p>
    <w:p>
      <w:pPr>
        <w:ind w:firstLine="480"/>
        <w:rPr/>
      </w:pPr>
    </w:p>
    <w:p>
      <w:pPr>
        <w:ind w:firstLine="480"/>
        <w:rPr/>
      </w:pPr>
      <w:r>
        <w:rPr>
          <w:rFonts w:hint="eastAsia"/>
        </w:rPr>
        <w:t>技术功能解析： 深入剖析RPA技术的核心功能、技术特性（如非侵入性、7x24小时运行）及其与AI（如OCR、NLP、大语言模型）协同的工作原理。</w:t>
      </w:r>
    </w:p>
    <w:p>
      <w:pPr>
        <w:ind w:firstLine="480"/>
        <w:rPr/>
      </w:pPr>
      <w:r>
        <w:rPr>
          <w:rFonts w:hint="eastAsia"/>
        </w:rPr>
        <w:t>应用现状调查： 全面梳理RPA技术在金融领域（特别是财会、资金、税务等核心环节）的具体应用场景，分析其如何解决传统业务流程中存在的效率低下、易出错、人力成本高等痛点。</w:t>
      </w:r>
    </w:p>
    <w:p>
      <w:pPr>
        <w:ind w:firstLine="480"/>
        <w:rPr/>
      </w:pPr>
      <w:r>
        <w:rPr>
          <w:rFonts w:hint="eastAsia"/>
        </w:rPr>
        <w:t>价值与风险评估： 系统总结RPA技术为客户（金融机构及企业财金部门）在提升效率、降低成本、保障质量、加强风控、释放人力等方面创造的价值，并客观识别其在技术、操作、合规等方面可能存在的风险及防范措施。</w:t>
      </w:r>
    </w:p>
    <w:p>
      <w:pPr>
        <w:ind w:firstLine="480"/>
        <w:rPr/>
      </w:pPr>
      <w:r>
        <w:rPr>
          <w:rFonts w:hint="eastAsia"/>
        </w:rPr>
        <w:t>未来趋势展望： 结合金融智能化的发展特征，探讨未来三到五年RPA技术在金融领域可能拓展的新兴应用场景及其潜在价值，为相关实践提供前瞻性参考。</w:t>
      </w:r>
    </w:p>
    <w:p>
      <w:pPr>
        <w:ind w:firstLine="480"/>
        <w:rPr/>
      </w:pPr>
    </w:p>
    <w:p>
      <w:pPr>
        <w:pStyle w:val="00000a"/>
        <w:rPr/>
      </w:pPr>
      <w:r>
        <w:rPr>
          <w:rFonts w:hint="eastAsia"/>
        </w:rPr>
        <w:t>1.1.3 研究意义</w:t>
      </w:r>
    </w:p>
    <w:p>
      <w:pPr>
        <w:ind w:firstLine="480"/>
        <w:rPr/>
      </w:pPr>
      <w:r>
        <w:rPr>
          <w:rFonts w:hint="eastAsia"/>
        </w:rPr>
        <w:t>本研究兼具理论与实践双重意义：</w:t>
      </w:r>
    </w:p>
    <w:p>
      <w:pPr>
        <w:ind w:firstLine="480"/>
        <w:rPr/>
      </w:pPr>
    </w:p>
    <w:p>
      <w:pPr>
        <w:ind w:firstLine="480"/>
        <w:rPr/>
      </w:pPr>
      <w:r>
        <w:rPr>
          <w:rFonts w:hint="eastAsia"/>
        </w:rPr>
        <w:t>理论意义： 丰富金融科技与会计信息化领域的应用研究。通过聚焦RPA这一具体技术在金融业务场景中的融合应用，构建“技术特性-业务痛点-价值创造-风险管控”的分析框架，为理解智能化技术如何赋能传统金融业务流程提供实证依据与理论补充。</w:t>
      </w:r>
    </w:p>
    <w:p>
      <w:pPr>
        <w:ind w:firstLine="480"/>
        <w:rPr/>
      </w:pPr>
      <w:r>
        <w:rPr>
          <w:rFonts w:hint="eastAsia"/>
        </w:rPr>
        <w:t>实践意义：</w:t>
      </w:r>
    </w:p>
    <w:p>
      <w:pPr>
        <w:ind w:firstLine="480"/>
        <w:rPr/>
      </w:pPr>
    </w:p>
    <w:p>
      <w:pPr>
        <w:ind w:firstLine="480"/>
        <w:rPr/>
      </w:pPr>
      <w:r>
        <w:rPr>
          <w:rFonts w:hint="eastAsia"/>
        </w:rPr>
        <w:t>对金融机构与企业财金部门： 提供了一份详实的RPA技术应用指南与决策参考，帮助其精准识别自动化机会，科学规划实施路径，有效评估投资回报，规避应用风险，从而加速数字化转型，提升核心竞争力。</w:t>
      </w:r>
    </w:p>
    <w:p>
      <w:pPr>
        <w:ind w:firstLine="480"/>
        <w:rPr/>
      </w:pPr>
      <w:r>
        <w:rPr>
          <w:rFonts w:hint="eastAsia"/>
        </w:rPr>
        <w:t>对金融科技行业： 通过总结成功实践（如金智维等企业的案例）与剖析技术趋势，为RPA解决方案提供商深化产品创新、拓展行业应用提供方向指引，促进RPA与区块链、大数据等技术的融合，助力构建更加智能、可靠的金融基础设施。</w:t>
      </w:r>
    </w:p>
    <w:p>
      <w:pPr>
        <w:ind w:firstLine="480"/>
        <w:rPr/>
      </w:pPr>
      <w:r>
        <w:rPr>
          <w:rFonts w:hint="eastAsia"/>
        </w:rPr>
        <w:t>对从业人员： 为财务、金融、运营等领域的从业人员清晰展示了技术赋能的路径，有助于其适应人机协同的新工作模式，实现从事务性操作向高价值分析、决策与创新工作的转型。</w:t>
      </w:r>
    </w:p>
    <w:p>
      <w:pPr>
        <w:ind w:firstLine="480"/>
        <w:rPr/>
      </w:pPr>
    </w:p>
    <w:p>
      <w:pPr>
        <w:pStyle w:val="000008"/>
        <w:rPr/>
      </w:pPr>
      <w:r>
        <w:rPr>
          <w:rFonts w:hint="eastAsia"/>
        </w:rPr>
        <w:t>1.2 文献综述</w:t>
      </w:r>
    </w:p>
    <w:p>
      <w:pPr>
        <w:ind w:firstLine="480"/>
        <w:rPr/>
      </w:pPr>
      <w:r>
        <w:rPr>
          <w:rFonts w:hint="eastAsia"/>
        </w:rPr>
        <w:t>现有文献对RPA技术在财务会计与金融领域的应用已展开初步探讨，为本研究奠定了基础：</w:t>
      </w:r>
    </w:p>
    <w:p>
      <w:pPr>
        <w:ind w:firstLine="480"/>
        <w:rPr/>
      </w:pPr>
      <w:r>
        <w:rPr>
          <w:rFonts w:hint="eastAsia"/>
        </w:rPr>
        <w:t>在财务会计领域： 郭景召（2025）系统分析了财务机器人RPA的功能、应用场景（涵盖销售、采购、资金、税务、会计、成本预算、费用报销、薪酬核算等）、优势（快速部署、非侵入性、释放人力、提高质量、降低成本等）及潜在风险（技术、操作、合规风险），并提出了进阶建议。这为理解RPA在财务通用场景的应用提供了全面框架。</w:t>
      </w:r>
    </w:p>
    <w:p>
      <w:pPr>
        <w:ind w:firstLine="480"/>
        <w:rPr/>
      </w:pPr>
      <w:r>
        <w:rPr>
          <w:rFonts w:hint="eastAsia"/>
        </w:rPr>
        <w:t>在技术协同与创新应用方面： 黄帅等人（2025）构建了基于Uibot的RPA系统，并与AI工具（DeepSeek）协同，实现了从文献检索到综述生成的全流程自动化。该研究证明了RPA与AI协同在处理非结构化信息、提升知识工作效率方面的巨大潜力，为金融领域复杂文档处理、智能报告生成等场景提供了技术范式参考。</w:t>
      </w:r>
    </w:p>
    <w:p>
      <w:pPr>
        <w:ind w:firstLine="480"/>
        <w:rPr/>
      </w:pPr>
      <w:r>
        <w:rPr>
          <w:rFonts w:hint="eastAsia"/>
        </w:rPr>
        <w:t>在特定行业金融科技应用方面： 倪丽丽（2023）聚焦港口财金服务数智化建设，深入探讨了RPA、区块链、供应链金融等金融科技与港口财金业务的融合创新。文章具体阐述了RPA在港口财务基础工作、资金管理、涉税信用管理、预算管理中的应用场景与价值，并分析了区块链在服务合约管理与电子提单中的应用前景。这为本研究提供了垂直行业的深度案例。</w:t>
      </w:r>
    </w:p>
    <w:p>
      <w:pPr>
        <w:ind w:firstLine="480"/>
        <w:rPr/>
      </w:pPr>
      <w:r>
        <w:rPr>
          <w:rFonts w:hint="eastAsia"/>
        </w:rPr>
        <w:t>在企业实践与行业认可方面： 行业报告显示，如金智维等领先的RPA服务商，凭借其技术优势和在金融领域的深厚实践，已成为“数字金融独角兽”。其发展路径表明，RPA正从单一的效率工具向成为金融机构“数字技术底座”和“生态连接器”的价值角色升级，致力于实现“能力输出、共建生态”。</w:t>
      </w:r>
    </w:p>
    <w:p>
      <w:pPr>
        <w:ind w:firstLine="480"/>
        <w:rPr/>
      </w:pPr>
      <w:r>
        <w:rPr>
          <w:rFonts w:hint="eastAsia"/>
        </w:rPr>
        <w:t>综上所述，现有研究已从通用功能、行业应用、技术融合等角度对RPA进行了探讨，但尚缺乏一个系统整合金融领域多场景应用、深入剖析客户需求与价值创造逻辑、并前瞻性展望未来趋势的综合性研究框架。本研究旨在填补这一空白。</w:t>
      </w:r>
    </w:p>
    <w:p>
      <w:pPr>
        <w:pStyle w:val="000008"/>
        <w:rPr/>
      </w:pPr>
      <w:r>
        <w:rPr>
          <w:rFonts w:hint="eastAsia"/>
        </w:rPr>
        <w:t>1.3 主要创新点</w:t>
      </w:r>
    </w:p>
    <w:p>
      <w:pPr>
        <w:pStyle w:val="00000a"/>
        <w:rPr/>
      </w:pPr>
      <w:r>
        <w:rPr>
          <w:rFonts w:hint="eastAsia"/>
        </w:rPr>
        <w:t>1.3.1 热点创新</w:t>
      </w:r>
    </w:p>
    <w:p>
      <w:pPr>
        <w:ind w:firstLine="480"/>
        <w:rPr/>
      </w:pPr>
      <w:r>
        <w:rPr>
          <w:rFonts w:hint="eastAsia"/>
        </w:rPr>
        <w:t>紧扣“人工智能赋能金融”与“企业数智化转型”两大时代热点，将RPA这一落地性极强的自动化技术置于金融科技与智能会计发展的前沿进行探讨，响应了行业对切实提升运营效率与风控能力的迫切需求。</w:t>
      </w:r>
    </w:p>
    <w:p>
      <w:pPr>
        <w:pStyle w:val="00000a"/>
        <w:rPr/>
      </w:pPr>
      <w:r>
        <w:rPr>
          <w:rFonts w:hint="eastAsia"/>
        </w:rPr>
        <w:t>1.3.2 内容创新</w:t>
      </w:r>
    </w:p>
    <w:p>
      <w:pPr>
        <w:ind w:firstLine="480"/>
        <w:rPr/>
      </w:pPr>
      <w:r>
        <w:rPr>
          <w:rFonts w:hint="eastAsia"/>
        </w:rPr>
        <w:t>场景整合的广度与深度： 不仅系统梳理了RPA在银企对账、纳税申报、发票处理、合并报表等通用财会场景的应用，更深入结合了如港口财金等特定行业的创新实践案例，揭示了RPA在复杂业务生态中的适配性与价值。</w:t>
      </w:r>
    </w:p>
    <w:p>
      <w:pPr>
        <w:ind w:firstLine="480"/>
        <w:rPr/>
      </w:pPr>
      <w:r>
        <w:rPr>
          <w:rFonts w:hint="eastAsia"/>
        </w:rPr>
        <w:t>价值分析的多维视角： 超越“提升效率”的单一维度，从运营效率、成本控制、质量保障、风险管控、人力转型、战略支撑（如智慧港口建设） 等多个层面，系统分析RPA为客户创造的综合价值。</w:t>
      </w:r>
    </w:p>
    <w:p>
      <w:pPr>
        <w:ind w:firstLine="480"/>
        <w:rPr/>
      </w:pPr>
      <w:r>
        <w:rPr>
          <w:rFonts w:hint="eastAsia"/>
        </w:rPr>
        <w:t>技术融合的前瞻视角： 强调并分析了RPA与OCR、AI（如DeepSeek）、区块链等技术协同创新的趋势与案例，指明了“RPA+”技术融合是释放更大价值的关键路径。</w:t>
      </w:r>
    </w:p>
    <w:p>
      <w:pPr>
        <w:pStyle w:val="00000a"/>
        <w:rPr/>
      </w:pPr>
      <w:r>
        <w:rPr>
          <w:rFonts w:hint="eastAsia"/>
        </w:rPr>
        <w:t>1.3.3 设计创新</w:t>
      </w:r>
    </w:p>
    <w:p>
      <w:pPr>
        <w:ind w:firstLine="480"/>
        <w:rPr/>
      </w:pPr>
      <w:r>
        <w:rPr>
          <w:rFonts w:hint="eastAsia"/>
        </w:rPr>
        <w:t>构建了“技术功能-业务场景-行业应用-实施风险”四维递进的调研框架。该框架从技术底层逻辑出发，延伸至具体业务痛点解决，再上升到行业渗透与标杆案例研究，最后回归实施落地与风险管控，形成了逻辑闭环，确保了研究的系统性与实用性。</w:t>
      </w:r>
    </w:p>
    <w:p>
      <w:pPr>
        <w:pStyle w:val="00000a"/>
        <w:rPr/>
      </w:pPr>
      <w:r>
        <w:rPr>
          <w:rFonts w:hint="eastAsia"/>
        </w:rPr>
        <w:t>1.3.4 方法创新</w:t>
      </w:r>
    </w:p>
    <w:p>
      <w:pPr>
        <w:ind w:firstLine="480"/>
        <w:rPr/>
      </w:pPr>
      <w:r>
        <w:rPr>
          <w:rFonts w:hint="eastAsia"/>
        </w:rPr>
        <w:t>本研究拟采用案例分析法与文献研究法相结合的方法。一方面，深度剖析文档中提供的港口财金、钢铁财务等具体行业应用案例，进行归纳与比较；另一方面，广泛整合学术论文、行业报告中的观点与数据，确保研究结论既扎根于实践，又具有理论高度。</w:t>
      </w:r>
    </w:p>
    <w:p>
      <w:pPr>
        <w:ind w:firstLine="480"/>
        <w:rPr/>
      </w:pPr>
    </w:p>
    <w:p>
      <w:pPr>
        <w:ind w:firstLine="480"/>
        <w:rPr/>
        <w:sectPr w:rsidR="00113ACB">
          <w:headerReference r:id="rId9" w:type="default"/>
          <w:headerReference r:id="rId8" w:type="first"/>
          <w:headerReference r:id="rId7" w:type="even"/>
          <w:footerReference r:id="rId10" w:type="default"/>
          <w:footerReference r:id="rId12" w:type="first"/>
          <w:footerReference r:id="rId11" w:type="even"/>
          <w:pgSz w:w="11906" w:h="16838"/>
          <w:pgMar w:top="1440" w:right="1800" w:bottom="1440" w:left="1800" w:header="851" w:footer="992" w:gutter="0"/>
          <w:cols w:space="425"/>
          <w:docGrid w:type="lines" w:linePitch="312"/>
        </w:sectPr>
      </w:pPr>
    </w:p>
    <w:p>
      <w:pPr>
        <w:pStyle w:val="000006"/>
        <w:rPr/>
      </w:pPr>
      <w:r>
        <w:rPr>
          <w:rFonts w:hint="eastAsia"/>
        </w:rPr>
        <w:t>第二章调查策划与实施（梁明睿、周居正）</w:t>
      </w:r>
    </w:p>
    <w:p>
      <w:pPr>
        <w:pStyle w:val="000008"/>
        <w:rPr/>
      </w:pPr>
      <w:r>
        <w:rPr>
          <w:rFonts w:hint="eastAsia"/>
        </w:rPr>
        <w:t>2</w:t>
      </w:r>
      <w:r>
        <w:rPr/>
        <w:t>.1</w:t>
      </w:r>
      <w:r>
        <w:rPr>
          <w:rFonts w:hint="eastAsia"/>
        </w:rPr>
        <w:t>调查内容与方案策划</w:t>
      </w:r>
    </w:p>
    <w:p>
      <w:pPr>
        <w:pStyle w:val="00000a"/>
        <w:rPr/>
      </w:pPr>
      <w:r>
        <w:rPr>
          <w:rFonts w:hint="eastAsia"/>
        </w:rPr>
        <w:t>2.1.1调查目的与方式</w:t>
      </w:r>
    </w:p>
    <w:p>
      <w:pPr>
        <w:ind w:firstLine="480"/>
        <w:rPr/>
      </w:pPr>
      <w:r>
        <w:rPr>
          <w:rFonts w:hint="eastAsia"/>
        </w:rPr>
        <w:t>对RPA技术在财务会计与金融领域调研的样本选取范围、类型进行规划，客户需求是什么，能保障什么调研效果，创造了什么数据价值；对未来这个样本设计还能发挥什么潜力。</w:t>
      </w:r>
    </w:p>
    <w:p>
      <w:pPr>
        <w:pStyle w:val="00000a"/>
        <w:rPr/>
      </w:pPr>
      <w:r>
        <w:rPr>
          <w:rFonts w:hint="eastAsia"/>
        </w:rPr>
        <w:t>2.1.2调查内容与研究框架</w:t>
      </w:r>
    </w:p>
    <w:p>
      <w:pPr>
        <w:ind w:firstLine="480"/>
        <w:rPr/>
      </w:pPr>
      <w:r>
        <w:rPr>
          <w:rFonts w:hint="eastAsia"/>
        </w:rPr>
        <w:t>对RPA技术在财务会计与金融领域调研的样本选取范围、类型进行规划，客户需求是什么，能保障什么调研效果，创造了什么数据价值；对未来这个样本设计还能发挥什么潜力。</w:t>
      </w:r>
    </w:p>
    <w:p>
      <w:pPr>
        <w:pStyle w:val="00000a"/>
        <w:rPr/>
      </w:pPr>
      <w:r>
        <w:rPr>
          <w:rFonts w:hint="eastAsia"/>
        </w:rPr>
        <w:t>2.1.3抽样设计</w:t>
      </w:r>
    </w:p>
    <w:p>
      <w:pPr>
        <w:pStyle w:val="00000a"/>
        <w:rPr/>
      </w:pPr>
    </w:p>
    <w:p>
      <w:pPr>
        <w:pStyle w:val="000008"/>
        <w:rPr/>
      </w:pPr>
      <w:r>
        <w:rPr>
          <w:rFonts w:hint="eastAsia"/>
        </w:rPr>
        <w:t>2</w:t>
      </w:r>
      <w:r>
        <w:rPr/>
        <w:t>.2</w:t>
      </w:r>
      <w:r>
        <w:rPr>
          <w:rFonts w:hint="eastAsia"/>
        </w:rPr>
        <w:t>调查实施</w:t>
      </w:r>
    </w:p>
    <w:p>
      <w:pPr>
        <w:pStyle w:val="00000a"/>
        <w:rPr/>
      </w:pPr>
      <w:r>
        <w:rPr>
          <w:rFonts w:hint="eastAsia"/>
        </w:rPr>
        <w:t>2.2.1调查工作进程</w:t>
      </w:r>
    </w:p>
    <w:p>
      <w:pPr>
        <w:ind w:firstLine="480"/>
        <w:rPr/>
      </w:pPr>
      <w:r>
        <w:rPr/>
        <w:t>聚焦调研问卷的问题维度、实地访谈的提纲设计，哪些可以贴合调研需求，哪些可以互补、哪些可以递进加强等方面的探索。</w:t>
      </w:r>
    </w:p>
    <w:p>
      <w:pPr>
        <w:pStyle w:val="00000a"/>
        <w:rPr/>
      </w:pPr>
      <w:r>
        <w:rPr>
          <w:rFonts w:hint="eastAsia"/>
        </w:rPr>
        <w:t>2.2.2调查工作进度</w:t>
      </w:r>
    </w:p>
    <w:p>
      <w:pPr>
        <w:pStyle w:val="000008"/>
        <w:rPr/>
      </w:pPr>
      <w:r>
        <w:rPr>
          <w:rFonts w:hint="eastAsia"/>
        </w:rPr>
        <w:t>2</w:t>
      </w:r>
      <w:r>
        <w:rPr/>
        <w:t>.3</w:t>
      </w:r>
      <w:r>
        <w:rPr>
          <w:rFonts w:hint="eastAsia"/>
        </w:rPr>
        <w:t>数据汇总与分析框架</w:t>
      </w:r>
    </w:p>
    <w:p>
      <w:pPr>
        <w:pStyle w:val="00000a"/>
        <w:rPr/>
      </w:pPr>
      <w:r>
        <w:rPr>
          <w:rFonts w:hint="eastAsia"/>
        </w:rPr>
        <w:t>2.3.1网络数据整理</w:t>
      </w:r>
    </w:p>
    <w:p>
      <w:pPr>
        <w:pStyle w:val="00000a"/>
        <w:rPr/>
      </w:pPr>
      <w:r>
        <w:rPr>
          <w:rFonts w:hint="eastAsia"/>
        </w:rPr>
        <w:t>2.3.2调研数据整理</w:t>
      </w:r>
    </w:p>
    <w:p>
      <w:pPr>
        <w:pStyle w:val="00000a"/>
        <w:pBdr/>
        <w:ind/>
        <w:rPr>
          <w:rFonts w:hint="eastAsia"/>
        </w:rPr>
      </w:pPr>
      <w:r>
        <w:rPr>
          <w:rFonts w:hint="eastAsia"/>
        </w:rPr>
        <w:t>2.3.3分析方法框架</w:t>
      </w:r>
    </w:p>
    <w:p>
      <w:pPr>
        <w:pStyle w:val="00000a"/>
        <w:pBdr/>
        <w:ind/>
        <w:rPr/>
      </w:pPr>
    </w:p>
    <w:p>
      <w:pPr>
        <w:pStyle w:val="00000a"/>
        <w:pBdr/>
        <w:ind/>
        <w:rPr/>
      </w:pPr>
    </w:p>
    <w:p>
      <w:pPr>
        <w:pStyle w:val="00000a"/>
        <w:pBdr/>
        <w:ind/>
        <w:rPr/>
      </w:pPr>
    </w:p>
    <w:p>
      <w:pPr>
        <w:pStyle w:val="00000a"/>
        <w:pBdr/>
        <w:ind/>
        <w:rPr/>
      </w:pPr>
    </w:p>
    <w:p>
      <w:pPr>
        <w:pStyle w:val="00000a"/>
        <w:pBdr/>
        <w:ind/>
        <w:rPr/>
      </w:pPr>
    </w:p>
    <w:p>
      <w:pPr>
        <w:pStyle w:val="00000a"/>
        <w:pBdr/>
        <w:ind/>
        <w:rPr/>
      </w:pPr>
    </w:p>
    <w:p>
      <w:pPr>
        <w:pStyle w:val="00000a"/>
        <w:pBdr/>
        <w:ind/>
        <w:rPr/>
      </w:pPr>
    </w:p>
    <w:p>
      <w:pPr>
        <w:pStyle w:val="00000a"/>
        <w:pBdr/>
        <w:ind/>
        <w:rPr/>
      </w:pPr>
    </w:p>
    <w:p>
      <w:pPr>
        <w:pStyle w:val="00000a"/>
        <w:pBdr/>
        <w:ind/>
        <w:rPr/>
      </w:pPr>
    </w:p>
    <w:p>
      <w:pPr>
        <w:pStyle w:val="00000a"/>
        <w:pBdr/>
        <w:ind/>
        <w:rPr/>
      </w:pPr>
    </w:p>
    <w:p>
      <w:pPr>
        <w:pStyle w:val="00000a"/>
        <w:pBdr/>
        <w:ind/>
        <w:rPr/>
      </w:pPr>
    </w:p>
    <w:p>
      <w:pPr>
        <w:pStyle w:val="000006"/>
        <w:pBdr/>
        <w:snapToGrid w:val="1"/>
        <w:spacing w:before="340" w:after="330" w:line="576"/>
        <w:ind w:left="0" w:right="0"/>
        <w:jc w:val="both"/>
        <w:rPr>
          <w:rFonts w:ascii="宋体" w:hAnsi="宋体" w:eastAsia="宋体" w:cs="宋体"/>
          <w:i w:val="0"/>
          <w:strike w:val="0"/>
          <w:color w:val="000000"/>
          <w:sz w:val="44"/>
          <w:u w:val="none"/>
        </w:rPr>
      </w:pPr>
      <w:r>
        <w:rPr>
          <w:rFonts w:ascii="宋体" w:hAnsi="宋体" w:eastAsia="宋体" w:cs="宋体"/>
          <w:i w:val="0"/>
          <w:strike w:val="0"/>
          <w:color w:val="000000"/>
          <w:sz w:val="44"/>
          <w:u w:val="none"/>
        </w:rPr>
        <w:t>第四章业务场景与需求维度</w:t>
      </w:r>
      <w:r>
        <w:rPr>
          <w:rFonts w:ascii="Times New Roman" w:hAnsi="Times New Roman" w:cs="Times New Roman"/>
          <w:i w:val="0"/>
          <w:strike w:val="0"/>
          <w:color w:val="000000"/>
          <w:sz w:val="44"/>
          <w:u w:val="none"/>
        </w:rPr>
        <w:t xml:space="preserve"> </w:t>
      </w:r>
      <w:r>
        <w:rPr>
          <w:rFonts w:ascii="宋体" w:hAnsi="宋体" w:eastAsia="宋体" w:cs="宋体"/>
          <w:i w:val="0"/>
          <w:strike w:val="0"/>
          <w:color w:val="000000"/>
          <w:sz w:val="44"/>
          <w:u w:val="none"/>
        </w:rPr>
        <w:t>（机构、行业）</w:t>
      </w:r>
    </w:p>
    <w:p>
      <w:pPr>
        <w:pStyle w:val="000008"/>
        <w:pBdr/>
        <w:snapToGrid w:val="1"/>
        <w:spacing w:before="260" w:after="260" w:line="360"/>
        <w:ind w:left="0" w:right="0"/>
        <w:jc w:val="both"/>
        <w:rPr>
          <w:rFonts w:ascii="宋体" w:hAnsi="宋体" w:eastAsia="宋体" w:cs="宋体"/>
          <w:i w:val="0"/>
          <w:strike w:val="0"/>
          <w:color w:val="000000"/>
          <w:sz w:val="32"/>
          <w:u w:val="none"/>
        </w:rPr>
      </w:pPr>
      <w:r>
        <w:rPr>
          <w:rFonts w:ascii="Calibri Light" w:hAnsi="Calibri Light" w:cs="Calibri Light"/>
          <w:i w:val="0"/>
          <w:strike w:val="0"/>
          <w:color w:val="000000"/>
          <w:sz w:val="32"/>
          <w:u w:val="none"/>
        </w:rPr>
        <w:t>4.1</w:t>
      </w:r>
      <w:r>
        <w:rPr>
          <w:rFonts w:ascii="宋体" w:hAnsi="宋体" w:eastAsia="宋体" w:cs="宋体"/>
          <w:i w:val="0"/>
          <w:strike w:val="0"/>
          <w:color w:val="000000"/>
          <w:sz w:val="32"/>
          <w:u w:val="none"/>
        </w:rPr>
        <w:t>业务场景识别与归类</w:t>
      </w:r>
    </w:p>
    <w:p>
      <w:pPr>
        <w:pStyle w:val="00000a"/>
        <w:rPr/>
      </w:pPr>
      <w:r>
        <w:rPr/>
        <w:t>4.1.1应用行业场景</w:t>
      </w:r>
    </w:p>
    <w:p>
      <w:pPr>
        <w:snapToGrid w:val="1"/>
        <w:spacing w:line="240"/>
        <w:ind/>
        <w:rPr/>
      </w:pPr>
      <w:r>
        <w:rPr>
          <w:i w:val="0"/>
          <w:strike w:val="0"/>
          <w:spacing w:val="0"/>
          <w:u w:val="none"/>
        </w:rPr>
        <w:t>一、合规风控类（8项）</w:t>
      </w:r>
    </w:p>
    <w:p>
      <w:pPr>
        <w:snapToGrid w:val="1"/>
        <w:spacing w:line="240"/>
        <w:ind/>
        <w:rPr/>
      </w:pPr>
    </w:p>
    <w:p>
      <w:pPr>
        <w:snapToGrid w:val="1"/>
        <w:spacing w:line="240"/>
        <w:ind/>
        <w:rPr/>
      </w:pPr>
      <w:r>
        <w:rPr>
          <w:i w:val="0"/>
          <w:strike w:val="0"/>
          <w:spacing w:val="0"/>
          <w:u w:val="none"/>
        </w:rPr>
        <w:t>1. 反洗钱调查</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多系统数据整合需求：需要从核心系统、交易系统、客户关系系统等多个独立平台调取数据，人工操作需频繁切换登录，耗时且易出错</w:t>
      </w:r>
    </w:p>
    <w:p>
      <w:pPr>
        <w:snapToGrid w:val="1"/>
        <w:spacing w:line="240"/>
        <w:ind/>
        <w:rPr/>
      </w:pPr>
      <w:r>
        <w:rPr>
          <w:i w:val="0"/>
          <w:strike w:val="0"/>
          <w:spacing w:val="0"/>
          <w:u w:val="none"/>
        </w:rPr>
        <w:t>· 规则可编码性强：基于明确法规要求（如大额交易报告标准），可转化为“如果-那么”逻辑规则，适合自动化判断</w:t>
      </w:r>
    </w:p>
    <w:p>
      <w:pPr>
        <w:snapToGrid w:val="1"/>
        <w:spacing w:line="240"/>
        <w:ind/>
        <w:rPr/>
      </w:pPr>
    </w:p>
    <w:p>
      <w:pPr>
        <w:snapToGrid w:val="1"/>
        <w:spacing w:line="240"/>
        <w:ind/>
        <w:rPr/>
      </w:pPr>
      <w:r>
        <w:rPr>
          <w:i w:val="0"/>
          <w:strike w:val="0"/>
          <w:spacing w:val="0"/>
          <w:u w:val="none"/>
        </w:rPr>
        <w:t>2. 可疑交易筛查</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高频重复且规模大：每日需处理数千至数万笔交易，人工筛查存在疲劳导致的漏判风险</w:t>
      </w:r>
    </w:p>
    <w:p>
      <w:pPr>
        <w:snapToGrid w:val="1"/>
        <w:spacing w:line="240"/>
        <w:ind/>
        <w:rPr/>
      </w:pPr>
      <w:r>
        <w:rPr>
          <w:i w:val="0"/>
          <w:strike w:val="0"/>
          <w:spacing w:val="0"/>
          <w:u w:val="none"/>
        </w:rPr>
        <w:t>· 阈值触发机制明确：交易金额、频率、对手方等均有量化标准，便于程序化监控和预警</w:t>
      </w:r>
    </w:p>
    <w:p>
      <w:pPr>
        <w:snapToGrid w:val="1"/>
        <w:spacing w:line="240"/>
        <w:ind/>
        <w:rPr/>
      </w:pPr>
    </w:p>
    <w:p>
      <w:pPr>
        <w:snapToGrid w:val="1"/>
        <w:spacing w:line="240"/>
        <w:ind/>
        <w:rPr/>
      </w:pPr>
      <w:r>
        <w:rPr>
          <w:i w:val="0"/>
          <w:strike w:val="0"/>
          <w:spacing w:val="0"/>
          <w:u w:val="none"/>
        </w:rPr>
        <w:t>3. 穿透式监管</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多层结构复杂性：需穿透3-5层股权或交易结构，人工追踪效率低且易遗漏</w:t>
      </w:r>
    </w:p>
    <w:p>
      <w:pPr>
        <w:snapToGrid w:val="1"/>
        <w:spacing w:line="240"/>
        <w:ind/>
        <w:rPr/>
      </w:pPr>
      <w:r>
        <w:rPr>
          <w:i w:val="0"/>
          <w:strike w:val="0"/>
          <w:spacing w:val="0"/>
          <w:u w:val="none"/>
        </w:rPr>
        <w:t>· 监管接口标准化：监管机构数据报送格式固定，适合自动化对接和校验</w:t>
      </w:r>
    </w:p>
    <w:p>
      <w:pPr>
        <w:snapToGrid w:val="1"/>
        <w:spacing w:line="240"/>
        <w:ind/>
        <w:rPr/>
      </w:pPr>
    </w:p>
    <w:p>
      <w:pPr>
        <w:snapToGrid w:val="1"/>
        <w:spacing w:line="240"/>
        <w:ind/>
        <w:rPr/>
      </w:pPr>
      <w:r>
        <w:rPr>
          <w:i w:val="0"/>
          <w:strike w:val="0"/>
          <w:spacing w:val="0"/>
          <w:u w:val="none"/>
        </w:rPr>
        <w:t>4. 合规报表申报</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格式严格且周期固定：监管报表有明确模板和报送时间要求，人工编制易超时</w:t>
      </w:r>
    </w:p>
    <w:p>
      <w:pPr>
        <w:snapToGrid w:val="1"/>
        <w:spacing w:line="240"/>
        <w:ind/>
        <w:rPr/>
      </w:pPr>
      <w:r>
        <w:rPr>
          <w:i w:val="0"/>
          <w:strike w:val="0"/>
          <w:spacing w:val="0"/>
          <w:u w:val="none"/>
        </w:rPr>
        <w:t>· 多源数据核对繁琐：数据分散在不同业务系统，需要跨系统提取和一致性校验</w:t>
      </w:r>
    </w:p>
    <w:p>
      <w:pPr>
        <w:snapToGrid w:val="1"/>
        <w:spacing w:line="240"/>
        <w:ind/>
        <w:rPr/>
      </w:pPr>
    </w:p>
    <w:p>
      <w:pPr>
        <w:snapToGrid w:val="1"/>
        <w:spacing w:line="240"/>
        <w:ind/>
        <w:rPr/>
      </w:pPr>
      <w:r>
        <w:rPr>
          <w:i w:val="0"/>
          <w:strike w:val="0"/>
          <w:spacing w:val="0"/>
          <w:u w:val="none"/>
        </w:rPr>
        <w:t>5. 合规报告审计</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证据链完整性要求：需收集多类证据并建立关联，RPA可自动记录操作全流程</w:t>
      </w:r>
    </w:p>
    <w:p>
      <w:pPr>
        <w:snapToGrid w:val="1"/>
        <w:spacing w:line="240"/>
        <w:ind/>
        <w:rPr/>
      </w:pPr>
      <w:r>
        <w:rPr>
          <w:i w:val="0"/>
          <w:strike w:val="0"/>
          <w:spacing w:val="0"/>
          <w:u w:val="none"/>
        </w:rPr>
        <w:t>· 检查清单标准化：内外部审计均有固定检查项，适合自动化逐项核查</w:t>
      </w:r>
    </w:p>
    <w:p>
      <w:pPr>
        <w:snapToGrid w:val="1"/>
        <w:spacing w:line="240"/>
        <w:ind/>
        <w:rPr/>
      </w:pPr>
    </w:p>
    <w:p>
      <w:pPr>
        <w:snapToGrid w:val="1"/>
        <w:spacing w:line="240"/>
        <w:ind/>
        <w:rPr/>
      </w:pPr>
      <w:r>
        <w:rPr>
          <w:i w:val="0"/>
          <w:strike w:val="0"/>
          <w:spacing w:val="0"/>
          <w:u w:val="none"/>
        </w:rPr>
        <w:t>6. 合规流程追溯</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操作日志结构化：系统日志格式统一，便于程序化解析和时间线重建</w:t>
      </w:r>
    </w:p>
    <w:p>
      <w:pPr>
        <w:snapToGrid w:val="1"/>
        <w:spacing w:line="240"/>
        <w:ind/>
        <w:rPr/>
      </w:pPr>
      <w:r>
        <w:rPr>
          <w:i w:val="0"/>
          <w:strike w:val="0"/>
          <w:spacing w:val="0"/>
          <w:u w:val="none"/>
        </w:rPr>
        <w:t>· 权限与行为匹配检查：需验证操作者权限是否与执行动作相符，规则明确</w:t>
      </w:r>
    </w:p>
    <w:p>
      <w:pPr>
        <w:snapToGrid w:val="1"/>
        <w:spacing w:line="240"/>
        <w:ind/>
        <w:rPr/>
      </w:pPr>
    </w:p>
    <w:p>
      <w:pPr>
        <w:snapToGrid w:val="1"/>
        <w:spacing w:line="240"/>
        <w:ind/>
        <w:rPr/>
      </w:pPr>
      <w:r>
        <w:rPr>
          <w:i w:val="0"/>
          <w:strike w:val="0"/>
          <w:spacing w:val="0"/>
          <w:u w:val="none"/>
        </w:rPr>
        <w:t>7. 监管指标评分</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计算公式标准化：资本充足率、流动性覆盖率等均有明确计算公式</w:t>
      </w:r>
    </w:p>
    <w:p>
      <w:pPr>
        <w:snapToGrid w:val="1"/>
        <w:spacing w:line="240"/>
        <w:ind/>
        <w:rPr/>
      </w:pPr>
      <w:r>
        <w:rPr>
          <w:i w:val="0"/>
          <w:strike w:val="0"/>
          <w:spacing w:val="0"/>
          <w:u w:val="none"/>
        </w:rPr>
        <w:t>· 数据可比性要求：需要与历史数据、行业平均值进行对比分析</w:t>
      </w:r>
    </w:p>
    <w:p>
      <w:pPr>
        <w:snapToGrid w:val="1"/>
        <w:spacing w:line="240"/>
        <w:ind/>
        <w:rPr/>
      </w:pPr>
    </w:p>
    <w:p>
      <w:pPr>
        <w:snapToGrid w:val="1"/>
        <w:spacing w:line="240"/>
        <w:ind/>
        <w:rPr/>
      </w:pPr>
      <w:r>
        <w:rPr>
          <w:i w:val="0"/>
          <w:strike w:val="0"/>
          <w:spacing w:val="0"/>
          <w:u w:val="none"/>
        </w:rPr>
        <w:t>8. 反洗钱材料核验</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验证接口成熟：身份证、营业执照等可通过官方接口快速验证真伪</w:t>
      </w:r>
    </w:p>
    <w:p>
      <w:pPr>
        <w:snapToGrid w:val="1"/>
        <w:spacing w:line="240"/>
        <w:ind/>
        <w:rPr/>
      </w:pPr>
      <w:r>
        <w:rPr>
          <w:i w:val="0"/>
          <w:strike w:val="0"/>
          <w:spacing w:val="0"/>
          <w:u w:val="none"/>
        </w:rPr>
        <w:t>· 信息一致性检查：需核验不同材料中同一信息的匹配度，适合自动化比对</w:t>
      </w:r>
    </w:p>
    <w:p>
      <w:pPr>
        <w:snapToGrid w:val="1"/>
        <w:spacing w:line="240"/>
        <w:ind/>
        <w:rPr/>
      </w:pPr>
    </w:p>
    <w:p>
      <w:pPr>
        <w:snapToGrid w:val="1"/>
        <w:spacing w:line="240"/>
        <w:ind/>
        <w:rPr/>
      </w:pPr>
      <w:r>
        <w:rPr>
          <w:i w:val="0"/>
          <w:strike w:val="0"/>
          <w:spacing w:val="0"/>
          <w:u w:val="none"/>
        </w:rPr>
        <w:t>二、信贷融资类（8项）</w:t>
      </w:r>
    </w:p>
    <w:p>
      <w:pPr>
        <w:snapToGrid w:val="1"/>
        <w:spacing w:line="240"/>
        <w:ind/>
        <w:rPr/>
      </w:pPr>
    </w:p>
    <w:p>
      <w:pPr>
        <w:snapToGrid w:val="1"/>
        <w:spacing w:line="240"/>
        <w:ind/>
        <w:rPr/>
      </w:pPr>
      <w:r>
        <w:rPr>
          <w:i w:val="0"/>
          <w:strike w:val="0"/>
          <w:spacing w:val="0"/>
          <w:u w:val="none"/>
        </w:rPr>
        <w:t>1. 小微贷款自动化</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流程高度标准化：申请、征信查询、审批等环节固定且重复</w:t>
      </w:r>
    </w:p>
    <w:p>
      <w:pPr>
        <w:snapToGrid w:val="1"/>
        <w:spacing w:line="240"/>
        <w:ind/>
        <w:rPr/>
      </w:pPr>
      <w:r>
        <w:rPr>
          <w:i w:val="0"/>
          <w:strike w:val="0"/>
          <w:spacing w:val="0"/>
          <w:u w:val="none"/>
        </w:rPr>
        <w:t>· 外部数据接口化：税务、工商等数据可通过标准API获取</w:t>
      </w:r>
    </w:p>
    <w:p>
      <w:pPr>
        <w:snapToGrid w:val="1"/>
        <w:spacing w:line="240"/>
        <w:ind/>
        <w:rPr/>
      </w:pPr>
    </w:p>
    <w:p>
      <w:pPr>
        <w:snapToGrid w:val="1"/>
        <w:spacing w:line="240"/>
        <w:ind/>
        <w:rPr/>
      </w:pPr>
      <w:r>
        <w:rPr>
          <w:i w:val="0"/>
          <w:strike w:val="0"/>
          <w:spacing w:val="0"/>
          <w:u w:val="none"/>
        </w:rPr>
        <w:t>2. 贷款材料核验</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OCR技术成熟应用：身份证、房产证、发票等关键证件识别准确率高</w:t>
      </w:r>
    </w:p>
    <w:p>
      <w:pPr>
        <w:snapToGrid w:val="1"/>
        <w:spacing w:line="240"/>
        <w:ind/>
        <w:rPr/>
      </w:pPr>
      <w:r>
        <w:rPr>
          <w:i w:val="0"/>
          <w:strike w:val="0"/>
          <w:spacing w:val="0"/>
          <w:u w:val="none"/>
        </w:rPr>
        <w:t>· 交叉验证需求强：需验证材料间逻辑一致性（如收入证明与银行流水匹配）</w:t>
      </w:r>
    </w:p>
    <w:p>
      <w:pPr>
        <w:snapToGrid w:val="1"/>
        <w:spacing w:line="240"/>
        <w:ind/>
        <w:rPr/>
      </w:pPr>
    </w:p>
    <w:p>
      <w:pPr>
        <w:snapToGrid w:val="1"/>
        <w:spacing w:line="240"/>
        <w:ind/>
        <w:rPr/>
      </w:pPr>
      <w:r>
        <w:rPr>
          <w:i w:val="0"/>
          <w:strike w:val="0"/>
          <w:spacing w:val="0"/>
          <w:u w:val="none"/>
        </w:rPr>
        <w:t>3. 跨境融资处理</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汇率计算实时性：需实时获取汇率并计算，人工操作滞后风险大</w:t>
      </w:r>
    </w:p>
    <w:p>
      <w:pPr>
        <w:snapToGrid w:val="1"/>
        <w:spacing w:line="240"/>
        <w:ind/>
        <w:rPr/>
      </w:pPr>
      <w:r>
        <w:rPr>
          <w:i w:val="0"/>
          <w:strike w:val="0"/>
          <w:spacing w:val="0"/>
          <w:u w:val="none"/>
        </w:rPr>
        <w:t>· 监管文件格式化：外管局备案等文件有固定格式，适合模板化处理</w:t>
      </w:r>
    </w:p>
    <w:p>
      <w:pPr>
        <w:snapToGrid w:val="1"/>
        <w:spacing w:line="240"/>
        <w:ind/>
        <w:rPr/>
      </w:pPr>
    </w:p>
    <w:p>
      <w:pPr>
        <w:snapToGrid w:val="1"/>
        <w:spacing w:line="240"/>
        <w:ind/>
        <w:rPr/>
      </w:pPr>
      <w:r>
        <w:rPr>
          <w:i w:val="0"/>
          <w:strike w:val="0"/>
          <w:spacing w:val="0"/>
          <w:u w:val="none"/>
        </w:rPr>
        <w:t>4. 企业积分审核</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指标体系量化：研发投入、专利数量等指标可精确计量和评分</w:t>
      </w:r>
    </w:p>
    <w:p>
      <w:pPr>
        <w:snapToGrid w:val="1"/>
        <w:spacing w:line="240"/>
        <w:ind/>
        <w:rPr/>
      </w:pPr>
      <w:r>
        <w:rPr>
          <w:i w:val="0"/>
          <w:strike w:val="0"/>
          <w:spacing w:val="0"/>
          <w:u w:val="none"/>
        </w:rPr>
        <w:t>· 证明材料规范化：审计报告、证书等有标准格式便于自动核验</w:t>
      </w:r>
    </w:p>
    <w:p>
      <w:pPr>
        <w:snapToGrid w:val="1"/>
        <w:spacing w:line="240"/>
        <w:ind/>
        <w:rPr/>
      </w:pPr>
    </w:p>
    <w:p>
      <w:pPr>
        <w:snapToGrid w:val="1"/>
        <w:spacing w:line="240"/>
        <w:ind/>
        <w:rPr/>
      </w:pPr>
      <w:r>
        <w:rPr>
          <w:i w:val="0"/>
          <w:strike w:val="0"/>
          <w:spacing w:val="0"/>
          <w:u w:val="none"/>
        </w:rPr>
        <w:t>5. 并购贷款处理</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尽调材料结构化：财务报告、法律意见等有固定框架和关键信息点</w:t>
      </w:r>
    </w:p>
    <w:p>
      <w:pPr>
        <w:snapToGrid w:val="1"/>
        <w:spacing w:line="240"/>
        <w:ind/>
        <w:rPr/>
      </w:pPr>
      <w:r>
        <w:rPr>
          <w:i w:val="0"/>
          <w:strike w:val="0"/>
          <w:spacing w:val="0"/>
          <w:u w:val="none"/>
        </w:rPr>
        <w:t>· 审批流程多层级：需经贷审会、风险会等多级审批，环节清晰可追踪</w:t>
      </w:r>
    </w:p>
    <w:p>
      <w:pPr>
        <w:snapToGrid w:val="1"/>
        <w:spacing w:line="240"/>
        <w:ind/>
        <w:rPr/>
      </w:pPr>
    </w:p>
    <w:p>
      <w:pPr>
        <w:snapToGrid w:val="1"/>
        <w:spacing w:line="240"/>
        <w:ind/>
        <w:rPr/>
      </w:pPr>
      <w:r>
        <w:rPr>
          <w:i w:val="0"/>
          <w:strike w:val="0"/>
          <w:spacing w:val="0"/>
          <w:u w:val="none"/>
        </w:rPr>
        <w:t>6. 知识产权质押</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估值模型程序化：收益法、市场法等评估方法可转化为计算逻辑</w:t>
      </w:r>
    </w:p>
    <w:p>
      <w:pPr>
        <w:snapToGrid w:val="1"/>
        <w:spacing w:line="240"/>
        <w:ind/>
        <w:rPr/>
      </w:pPr>
      <w:r>
        <w:rPr>
          <w:i w:val="0"/>
          <w:strike w:val="0"/>
          <w:spacing w:val="0"/>
          <w:u w:val="none"/>
        </w:rPr>
        <w:t>· 法律状态可查询：专利局、商标局提供官方状态查询接口</w:t>
      </w:r>
    </w:p>
    <w:p>
      <w:pPr>
        <w:snapToGrid w:val="1"/>
        <w:spacing w:line="240"/>
        <w:ind/>
        <w:rPr/>
      </w:pPr>
    </w:p>
    <w:p>
      <w:pPr>
        <w:snapToGrid w:val="1"/>
        <w:spacing w:line="240"/>
        <w:ind/>
        <w:rPr/>
      </w:pPr>
      <w:r>
        <w:rPr>
          <w:i w:val="0"/>
          <w:strike w:val="0"/>
          <w:spacing w:val="0"/>
          <w:u w:val="none"/>
        </w:rPr>
        <w:t>7. 房产线上抵押</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登记系统标准化：不动产登记中心系统操作界面和流程统一</w:t>
      </w:r>
    </w:p>
    <w:p>
      <w:pPr>
        <w:snapToGrid w:val="1"/>
        <w:spacing w:line="240"/>
        <w:ind/>
        <w:rPr/>
      </w:pPr>
      <w:r>
        <w:rPr>
          <w:i w:val="0"/>
          <w:strike w:val="0"/>
          <w:spacing w:val="0"/>
          <w:u w:val="none"/>
        </w:rPr>
        <w:t>· 权属信息可验证：可通过政务系统验证房产证真伪和抵押状态</w:t>
      </w:r>
    </w:p>
    <w:p>
      <w:pPr>
        <w:snapToGrid w:val="1"/>
        <w:spacing w:line="240"/>
        <w:ind/>
        <w:rPr/>
      </w:pPr>
    </w:p>
    <w:p>
      <w:pPr>
        <w:snapToGrid w:val="1"/>
        <w:spacing w:line="240"/>
        <w:ind/>
        <w:rPr/>
      </w:pPr>
      <w:r>
        <w:rPr>
          <w:i w:val="0"/>
          <w:strike w:val="0"/>
          <w:spacing w:val="0"/>
          <w:u w:val="none"/>
        </w:rPr>
        <w:t>8. 涉农贷款核验</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经营数据数字化：卫星遥感、物联网提供种植养殖数据，便于自动化分析</w:t>
      </w:r>
    </w:p>
    <w:p>
      <w:pPr>
        <w:snapToGrid w:val="1"/>
        <w:spacing w:line="240"/>
        <w:ind/>
        <w:rPr/>
      </w:pPr>
      <w:r>
        <w:rPr>
          <w:i w:val="0"/>
          <w:strike w:val="0"/>
          <w:spacing w:val="0"/>
          <w:u w:val="none"/>
        </w:rPr>
        <w:t>· 政府数据可获取：农业补贴、保险等数据逐步开放共享</w:t>
      </w:r>
    </w:p>
    <w:p>
      <w:pPr>
        <w:snapToGrid w:val="1"/>
        <w:spacing w:line="240"/>
        <w:ind/>
        <w:rPr/>
      </w:pPr>
    </w:p>
    <w:p>
      <w:pPr>
        <w:snapToGrid w:val="1"/>
        <w:spacing w:line="240"/>
        <w:ind/>
        <w:rPr/>
      </w:pPr>
      <w:r>
        <w:rPr>
          <w:i w:val="0"/>
          <w:strike w:val="0"/>
          <w:spacing w:val="0"/>
          <w:u w:val="none"/>
        </w:rPr>
        <w:t>三、投资研究类（4项）</w:t>
      </w:r>
    </w:p>
    <w:p>
      <w:pPr>
        <w:snapToGrid w:val="1"/>
        <w:spacing w:line="240"/>
        <w:ind/>
        <w:rPr/>
      </w:pPr>
    </w:p>
    <w:p>
      <w:pPr>
        <w:snapToGrid w:val="1"/>
        <w:spacing w:line="240"/>
        <w:ind/>
        <w:rPr/>
      </w:pPr>
      <w:r>
        <w:rPr>
          <w:i w:val="0"/>
          <w:strike w:val="0"/>
          <w:spacing w:val="0"/>
          <w:u w:val="none"/>
        </w:rPr>
        <w:t>1. 研报摘要分析</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结构相对固定：摘要、正文、结论等部分划分清晰，便于信息提取</w:t>
      </w:r>
    </w:p>
    <w:p>
      <w:pPr>
        <w:snapToGrid w:val="1"/>
        <w:spacing w:line="240"/>
        <w:ind/>
        <w:rPr/>
      </w:pPr>
      <w:r>
        <w:rPr>
          <w:i w:val="0"/>
          <w:strike w:val="0"/>
          <w:spacing w:val="0"/>
          <w:u w:val="none"/>
        </w:rPr>
        <w:t>· 关键信息标准化：目标价、评级、EPS预测等有固定表述位置</w:t>
      </w:r>
    </w:p>
    <w:p>
      <w:pPr>
        <w:snapToGrid w:val="1"/>
        <w:spacing w:line="240"/>
        <w:ind/>
        <w:rPr/>
      </w:pPr>
    </w:p>
    <w:p>
      <w:pPr>
        <w:snapToGrid w:val="1"/>
        <w:spacing w:line="240"/>
        <w:ind/>
        <w:rPr/>
      </w:pPr>
      <w:r>
        <w:rPr>
          <w:i w:val="0"/>
          <w:strike w:val="0"/>
          <w:spacing w:val="0"/>
          <w:u w:val="none"/>
        </w:rPr>
        <w:t>2. 行情归因盯市</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数据高频实时性：分钟级行情数据需要持续监控和快速响应</w:t>
      </w:r>
    </w:p>
    <w:p>
      <w:pPr>
        <w:snapToGrid w:val="1"/>
        <w:spacing w:line="240"/>
        <w:ind/>
        <w:rPr/>
      </w:pPr>
      <w:r>
        <w:rPr>
          <w:i w:val="0"/>
          <w:strike w:val="0"/>
          <w:spacing w:val="0"/>
          <w:u w:val="none"/>
        </w:rPr>
        <w:t>· 归因模型成熟：Brinson模型等有标准算法，适合程序化计算</w:t>
      </w:r>
    </w:p>
    <w:p>
      <w:pPr>
        <w:snapToGrid w:val="1"/>
        <w:spacing w:line="240"/>
        <w:ind/>
        <w:rPr/>
      </w:pPr>
    </w:p>
    <w:p>
      <w:pPr>
        <w:snapToGrid w:val="1"/>
        <w:spacing w:line="240"/>
        <w:ind/>
        <w:rPr/>
      </w:pPr>
      <w:r>
        <w:rPr>
          <w:i w:val="0"/>
          <w:strike w:val="0"/>
          <w:spacing w:val="0"/>
          <w:u w:val="none"/>
        </w:rPr>
        <w:t>3. 上市备案流程</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材料清单明确：证监会、交易所提供详细的申报材料清单</w:t>
      </w:r>
    </w:p>
    <w:p>
      <w:pPr>
        <w:snapToGrid w:val="1"/>
        <w:spacing w:line="240"/>
        <w:ind/>
        <w:rPr/>
      </w:pPr>
      <w:r>
        <w:rPr>
          <w:i w:val="0"/>
          <w:strike w:val="0"/>
          <w:spacing w:val="0"/>
          <w:u w:val="none"/>
        </w:rPr>
        <w:t>· 时间节点严格：问询反馈、材料更新等有明确截止时间要求</w:t>
      </w:r>
    </w:p>
    <w:p>
      <w:pPr>
        <w:snapToGrid w:val="1"/>
        <w:spacing w:line="240"/>
        <w:ind/>
        <w:rPr/>
      </w:pPr>
    </w:p>
    <w:p>
      <w:pPr>
        <w:snapToGrid w:val="1"/>
        <w:spacing w:line="240"/>
        <w:ind/>
        <w:rPr/>
      </w:pPr>
      <w:r>
        <w:rPr>
          <w:i w:val="0"/>
          <w:strike w:val="0"/>
          <w:spacing w:val="0"/>
          <w:u w:val="none"/>
        </w:rPr>
        <w:t>4. 科创债发行</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科创属性可量化：行业分类、专利数量、研发占比等指标可计量</w:t>
      </w:r>
    </w:p>
    <w:p>
      <w:pPr>
        <w:snapToGrid w:val="1"/>
        <w:spacing w:line="240"/>
        <w:ind/>
        <w:rPr/>
      </w:pPr>
      <w:r>
        <w:rPr>
          <w:i w:val="0"/>
          <w:strike w:val="0"/>
          <w:spacing w:val="0"/>
          <w:u w:val="none"/>
        </w:rPr>
        <w:t>· 发行文件模板化：募集说明书、评级报告等有标准模板框架</w:t>
      </w:r>
    </w:p>
    <w:p>
      <w:pPr>
        <w:snapToGrid w:val="1"/>
        <w:spacing w:line="240"/>
        <w:ind/>
        <w:rPr/>
      </w:pPr>
    </w:p>
    <w:p>
      <w:pPr>
        <w:snapToGrid w:val="1"/>
        <w:spacing w:line="240"/>
        <w:ind/>
        <w:rPr/>
      </w:pPr>
      <w:r>
        <w:rPr>
          <w:i w:val="0"/>
          <w:strike w:val="0"/>
          <w:spacing w:val="0"/>
          <w:u w:val="none"/>
        </w:rPr>
        <w:t>四、财务运营类（6项）</w:t>
      </w:r>
    </w:p>
    <w:p>
      <w:pPr>
        <w:snapToGrid w:val="1"/>
        <w:spacing w:line="240"/>
        <w:ind/>
        <w:rPr/>
      </w:pPr>
    </w:p>
    <w:p>
      <w:pPr>
        <w:snapToGrid w:val="1"/>
        <w:spacing w:line="240"/>
        <w:ind/>
        <w:rPr/>
      </w:pPr>
      <w:r>
        <w:rPr>
          <w:i w:val="0"/>
          <w:strike w:val="0"/>
          <w:spacing w:val="0"/>
          <w:u w:val="none"/>
        </w:rPr>
        <w:t>1. 财报解析评级</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会计准则统一：报表编制遵循明确会计准则，规则性强</w:t>
      </w:r>
    </w:p>
    <w:p>
      <w:pPr>
        <w:snapToGrid w:val="1"/>
        <w:spacing w:line="240"/>
        <w:ind/>
        <w:rPr/>
      </w:pPr>
      <w:r>
        <w:rPr>
          <w:i w:val="0"/>
          <w:strike w:val="0"/>
          <w:spacing w:val="0"/>
          <w:u w:val="none"/>
        </w:rPr>
        <w:t>· 财务比率固定：流动比率、资产负债率等有标准计算公式</w:t>
      </w:r>
    </w:p>
    <w:p>
      <w:pPr>
        <w:snapToGrid w:val="1"/>
        <w:spacing w:line="240"/>
        <w:ind/>
        <w:rPr/>
      </w:pPr>
    </w:p>
    <w:p>
      <w:pPr>
        <w:snapToGrid w:val="1"/>
        <w:spacing w:line="240"/>
        <w:ind/>
        <w:rPr/>
      </w:pPr>
      <w:r>
        <w:rPr>
          <w:i w:val="0"/>
          <w:strike w:val="0"/>
          <w:spacing w:val="0"/>
          <w:u w:val="none"/>
        </w:rPr>
        <w:t>2. 尽职调查对账</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数据源权威固定：银行流水、纳税记录等有官方标准数据源</w:t>
      </w:r>
    </w:p>
    <w:p>
      <w:pPr>
        <w:snapToGrid w:val="1"/>
        <w:spacing w:line="240"/>
        <w:ind/>
        <w:rPr/>
      </w:pPr>
      <w:r>
        <w:rPr>
          <w:i w:val="0"/>
          <w:strike w:val="0"/>
          <w:spacing w:val="0"/>
          <w:u w:val="none"/>
        </w:rPr>
        <w:t>· 异常模式可识别：关联交易、异常往来等有特征模式便于程序识别</w:t>
      </w:r>
    </w:p>
    <w:p>
      <w:pPr>
        <w:snapToGrid w:val="1"/>
        <w:spacing w:line="240"/>
        <w:ind/>
        <w:rPr/>
      </w:pPr>
    </w:p>
    <w:p>
      <w:pPr>
        <w:snapToGrid w:val="1"/>
        <w:spacing w:line="240"/>
        <w:ind/>
        <w:rPr/>
      </w:pPr>
      <w:r>
        <w:rPr>
          <w:i w:val="0"/>
          <w:strike w:val="0"/>
          <w:spacing w:val="0"/>
          <w:u w:val="none"/>
        </w:rPr>
        <w:t>3. 报销审核开票</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发票真伪可验证：税务总局提供标准查验接口，准确率高</w:t>
      </w:r>
    </w:p>
    <w:p>
      <w:pPr>
        <w:snapToGrid w:val="1"/>
        <w:spacing w:line="240"/>
        <w:ind/>
        <w:rPr/>
      </w:pPr>
      <w:r>
        <w:rPr>
          <w:i w:val="0"/>
          <w:strike w:val="0"/>
          <w:spacing w:val="0"/>
          <w:u w:val="none"/>
        </w:rPr>
        <w:t>· "三单匹配"规则化：订单、入库单、发票需匹配，规则明确</w:t>
      </w:r>
    </w:p>
    <w:p>
      <w:pPr>
        <w:snapToGrid w:val="1"/>
        <w:spacing w:line="240"/>
        <w:ind/>
        <w:rPr/>
      </w:pPr>
    </w:p>
    <w:p>
      <w:pPr>
        <w:snapToGrid w:val="1"/>
        <w:spacing w:line="240"/>
        <w:ind/>
        <w:rPr/>
      </w:pPr>
      <w:r>
        <w:rPr>
          <w:i w:val="0"/>
          <w:strike w:val="0"/>
          <w:spacing w:val="0"/>
          <w:u w:val="none"/>
        </w:rPr>
        <w:t>4. 登录网银对账</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操作步骤重复：登录、查询、下载等动作每日重复且固定</w:t>
      </w:r>
    </w:p>
    <w:p>
      <w:pPr>
        <w:snapToGrid w:val="1"/>
        <w:spacing w:line="240"/>
        <w:ind/>
        <w:rPr/>
      </w:pPr>
      <w:r>
        <w:rPr>
          <w:i w:val="0"/>
          <w:strike w:val="0"/>
          <w:spacing w:val="0"/>
          <w:u w:val="none"/>
        </w:rPr>
        <w:t>· 对账规则清晰：借贷方向、金额、日期需完全匹配</w:t>
      </w:r>
    </w:p>
    <w:p>
      <w:pPr>
        <w:snapToGrid w:val="1"/>
        <w:spacing w:line="240"/>
        <w:ind/>
        <w:rPr/>
      </w:pPr>
    </w:p>
    <w:p>
      <w:pPr>
        <w:snapToGrid w:val="1"/>
        <w:spacing w:line="240"/>
        <w:ind/>
        <w:rPr/>
      </w:pPr>
      <w:r>
        <w:rPr>
          <w:i w:val="0"/>
          <w:strike w:val="0"/>
          <w:spacing w:val="0"/>
          <w:u w:val="none"/>
        </w:rPr>
        <w:t>5. OCR发票处理</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发票格式标准化：增值税发票有统一版面设计，识别准确率高</w:t>
      </w:r>
    </w:p>
    <w:p>
      <w:pPr>
        <w:snapToGrid w:val="1"/>
        <w:spacing w:line="240"/>
        <w:ind/>
        <w:rPr/>
      </w:pPr>
      <w:r>
        <w:rPr>
          <w:i w:val="0"/>
          <w:strike w:val="0"/>
          <w:spacing w:val="0"/>
          <w:u w:val="none"/>
        </w:rPr>
        <w:t>· 信息提取结构化：购买方、金额、税率等信息位置固定</w:t>
      </w:r>
    </w:p>
    <w:p>
      <w:pPr>
        <w:snapToGrid w:val="1"/>
        <w:spacing w:line="240"/>
        <w:ind/>
        <w:rPr/>
      </w:pPr>
    </w:p>
    <w:p>
      <w:pPr>
        <w:snapToGrid w:val="1"/>
        <w:spacing w:line="240"/>
        <w:ind/>
        <w:rPr/>
      </w:pPr>
      <w:r>
        <w:rPr>
          <w:i w:val="0"/>
          <w:strike w:val="0"/>
          <w:spacing w:val="0"/>
          <w:u w:val="none"/>
        </w:rPr>
        <w:t>6. 银企对账</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接口标准化程度高：大多数银行提供标准银企直连接口</w:t>
      </w:r>
    </w:p>
    <w:p>
      <w:pPr>
        <w:snapToGrid w:val="1"/>
        <w:spacing w:line="240"/>
        <w:ind/>
        <w:rPr/>
      </w:pPr>
      <w:r>
        <w:rPr>
          <w:i w:val="0"/>
          <w:strike w:val="0"/>
          <w:spacing w:val="0"/>
          <w:u w:val="none"/>
        </w:rPr>
        <w:t>· 对账逻辑简单：基于借贷发生额和余额的逻辑清晰</w:t>
      </w:r>
    </w:p>
    <w:p>
      <w:pPr>
        <w:snapToGrid w:val="1"/>
        <w:spacing w:line="240"/>
        <w:ind/>
        <w:rPr/>
      </w:pPr>
    </w:p>
    <w:p>
      <w:pPr>
        <w:snapToGrid w:val="1"/>
        <w:spacing w:line="240"/>
        <w:ind/>
        <w:rPr/>
      </w:pPr>
      <w:r>
        <w:rPr>
          <w:i w:val="0"/>
          <w:strike w:val="0"/>
          <w:spacing w:val="0"/>
          <w:u w:val="none"/>
        </w:rPr>
        <w:t>五、保险理赔类（2项）</w:t>
      </w:r>
    </w:p>
    <w:p>
      <w:pPr>
        <w:snapToGrid w:val="1"/>
        <w:spacing w:line="240"/>
        <w:ind/>
        <w:rPr/>
      </w:pPr>
    </w:p>
    <w:p>
      <w:pPr>
        <w:snapToGrid w:val="1"/>
        <w:spacing w:line="240"/>
        <w:ind/>
        <w:rPr/>
      </w:pPr>
      <w:r>
        <w:rPr>
          <w:i w:val="0"/>
          <w:strike w:val="0"/>
          <w:spacing w:val="0"/>
          <w:u w:val="none"/>
        </w:rPr>
        <w:t>1. 医疗理赔欺诈</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诊疗标准明确：疾病诊断、治疗方案、用药规范有行业标准</w:t>
      </w:r>
    </w:p>
    <w:p>
      <w:pPr>
        <w:snapToGrid w:val="1"/>
        <w:spacing w:line="240"/>
        <w:ind/>
        <w:rPr/>
      </w:pPr>
      <w:r>
        <w:rPr>
          <w:i w:val="0"/>
          <w:strike w:val="0"/>
          <w:spacing w:val="0"/>
          <w:u w:val="none"/>
        </w:rPr>
        <w:t>· 欺诈模式可识别：频繁就医、跨院就诊等异常行为有特征模式</w:t>
      </w:r>
    </w:p>
    <w:p>
      <w:pPr>
        <w:snapToGrid w:val="1"/>
        <w:spacing w:line="240"/>
        <w:ind/>
        <w:rPr/>
      </w:pPr>
    </w:p>
    <w:p>
      <w:pPr>
        <w:snapToGrid w:val="1"/>
        <w:spacing w:line="240"/>
        <w:ind/>
        <w:rPr/>
      </w:pPr>
      <w:r>
        <w:rPr>
          <w:i w:val="0"/>
          <w:strike w:val="0"/>
          <w:spacing w:val="0"/>
          <w:u w:val="none"/>
        </w:rPr>
        <w:t>2. 车险核保定损</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配件价格数据库化：零配件价格和工时费有标准数据库</w:t>
      </w:r>
    </w:p>
    <w:p>
      <w:pPr>
        <w:snapToGrid w:val="1"/>
        <w:spacing w:line="240"/>
        <w:ind/>
        <w:rPr/>
      </w:pPr>
      <w:r>
        <w:rPr>
          <w:i w:val="0"/>
          <w:strike w:val="0"/>
          <w:spacing w:val="0"/>
          <w:u w:val="none"/>
        </w:rPr>
        <w:t>· 图像识别技术成熟：车辆损伤程度可通过图像识别初步判断</w:t>
      </w:r>
    </w:p>
    <w:p>
      <w:pPr>
        <w:snapToGrid w:val="1"/>
        <w:spacing w:line="240"/>
        <w:ind/>
        <w:rPr/>
      </w:pPr>
    </w:p>
    <w:p>
      <w:pPr>
        <w:snapToGrid w:val="1"/>
        <w:spacing w:line="240"/>
        <w:ind/>
        <w:rPr/>
      </w:pPr>
      <w:r>
        <w:rPr>
          <w:i w:val="0"/>
          <w:strike w:val="0"/>
          <w:spacing w:val="0"/>
          <w:u w:val="none"/>
        </w:rPr>
        <w:t>六、普惠民生类（7项）</w:t>
      </w:r>
    </w:p>
    <w:p>
      <w:pPr>
        <w:snapToGrid w:val="1"/>
        <w:spacing w:line="240"/>
        <w:ind/>
        <w:rPr/>
      </w:pPr>
    </w:p>
    <w:p>
      <w:pPr>
        <w:snapToGrid w:val="1"/>
        <w:spacing w:line="240"/>
        <w:ind/>
        <w:rPr/>
      </w:pPr>
      <w:r>
        <w:rPr>
          <w:i w:val="0"/>
          <w:strike w:val="0"/>
          <w:spacing w:val="0"/>
          <w:u w:val="none"/>
        </w:rPr>
        <w:t>1. 绿色项目审核</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认定标准清晰：《绿色产业指导目录》提供明确认定标准</w:t>
      </w:r>
    </w:p>
    <w:p>
      <w:pPr>
        <w:snapToGrid w:val="1"/>
        <w:spacing w:line="240"/>
        <w:ind/>
        <w:rPr/>
      </w:pPr>
      <w:r>
        <w:rPr>
          <w:i w:val="0"/>
          <w:strike w:val="0"/>
          <w:spacing w:val="0"/>
          <w:u w:val="none"/>
        </w:rPr>
        <w:t>· 环境效益可计算：节能减排量、碳减排量等可量化计算</w:t>
      </w:r>
    </w:p>
    <w:p>
      <w:pPr>
        <w:snapToGrid w:val="1"/>
        <w:spacing w:line="240"/>
        <w:ind/>
        <w:rPr/>
      </w:pPr>
    </w:p>
    <w:p>
      <w:pPr>
        <w:snapToGrid w:val="1"/>
        <w:spacing w:line="240"/>
        <w:ind/>
        <w:rPr/>
      </w:pPr>
      <w:r>
        <w:rPr>
          <w:i w:val="0"/>
          <w:strike w:val="0"/>
          <w:spacing w:val="0"/>
          <w:u w:val="none"/>
        </w:rPr>
        <w:t>2. 碳减排统计</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计算方法标准化：IPCC等机构提供标准碳排放计算方法</w:t>
      </w:r>
    </w:p>
    <w:p>
      <w:pPr>
        <w:snapToGrid w:val="1"/>
        <w:spacing w:line="240"/>
        <w:ind/>
        <w:rPr/>
      </w:pPr>
      <w:r>
        <w:rPr>
          <w:i w:val="0"/>
          <w:strike w:val="0"/>
          <w:spacing w:val="0"/>
          <w:u w:val="none"/>
        </w:rPr>
        <w:t>· 数据采集自动化：物联网设备可自动采集能耗相关数据</w:t>
      </w:r>
    </w:p>
    <w:p>
      <w:pPr>
        <w:snapToGrid w:val="1"/>
        <w:spacing w:line="240"/>
        <w:ind/>
        <w:rPr/>
      </w:pPr>
    </w:p>
    <w:p>
      <w:pPr>
        <w:snapToGrid w:val="1"/>
        <w:spacing w:line="240"/>
        <w:ind/>
        <w:rPr/>
      </w:pPr>
      <w:r>
        <w:rPr>
          <w:i w:val="0"/>
          <w:strike w:val="0"/>
          <w:spacing w:val="0"/>
          <w:u w:val="none"/>
        </w:rPr>
        <w:t>3. 适老化服务</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界面操作简化：需要将复杂操作简化为几个关键步骤</w:t>
      </w:r>
    </w:p>
    <w:p>
      <w:pPr>
        <w:snapToGrid w:val="1"/>
        <w:spacing w:line="240"/>
        <w:ind/>
        <w:rPr/>
      </w:pPr>
      <w:r>
        <w:rPr>
          <w:i w:val="0"/>
          <w:strike w:val="0"/>
          <w:spacing w:val="0"/>
          <w:u w:val="none"/>
        </w:rPr>
        <w:t>· 语音交互支持：老年用户更适应语音输入和语音播报</w:t>
      </w:r>
    </w:p>
    <w:p>
      <w:pPr>
        <w:snapToGrid w:val="1"/>
        <w:spacing w:line="240"/>
        <w:ind/>
        <w:rPr/>
      </w:pPr>
    </w:p>
    <w:p>
      <w:pPr>
        <w:snapToGrid w:val="1"/>
        <w:spacing w:line="240"/>
        <w:ind/>
        <w:rPr/>
      </w:pPr>
      <w:r>
        <w:rPr>
          <w:i w:val="0"/>
          <w:strike w:val="0"/>
          <w:spacing w:val="0"/>
          <w:u w:val="none"/>
        </w:rPr>
        <w:t>4. 养老账户核对</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账户类型固定：基本养老、企业年金等账户分类明确</w:t>
      </w:r>
    </w:p>
    <w:p>
      <w:pPr>
        <w:snapToGrid w:val="1"/>
        <w:spacing w:line="240"/>
        <w:ind/>
        <w:rPr/>
      </w:pPr>
      <w:r>
        <w:rPr>
          <w:i w:val="0"/>
          <w:strike w:val="0"/>
          <w:spacing w:val="0"/>
          <w:u w:val="none"/>
        </w:rPr>
        <w:t>· 计算公式统一：养老金待遇有统一计算公式</w:t>
      </w:r>
    </w:p>
    <w:p>
      <w:pPr>
        <w:snapToGrid w:val="1"/>
        <w:spacing w:line="240"/>
        <w:ind/>
        <w:rPr/>
      </w:pPr>
    </w:p>
    <w:p>
      <w:pPr>
        <w:snapToGrid w:val="1"/>
        <w:spacing w:line="240"/>
        <w:ind/>
        <w:rPr/>
      </w:pPr>
      <w:r>
        <w:rPr>
          <w:i w:val="0"/>
          <w:strike w:val="0"/>
          <w:spacing w:val="0"/>
          <w:u w:val="none"/>
        </w:rPr>
        <w:t>5. 智慧民生场景</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服务集成需求：需整合多部门服务到一个统一平台</w:t>
      </w:r>
    </w:p>
    <w:p>
      <w:pPr>
        <w:snapToGrid w:val="1"/>
        <w:spacing w:line="240"/>
        <w:ind/>
        <w:rPr/>
      </w:pPr>
      <w:r>
        <w:rPr>
          <w:i w:val="0"/>
          <w:strike w:val="0"/>
          <w:spacing w:val="0"/>
          <w:u w:val="none"/>
        </w:rPr>
        <w:t>· 移动端优先：主要通过手机App提供服务，交互标准化</w:t>
      </w:r>
    </w:p>
    <w:p>
      <w:pPr>
        <w:snapToGrid w:val="1"/>
        <w:spacing w:line="240"/>
        <w:ind/>
        <w:rPr/>
      </w:pPr>
    </w:p>
    <w:p>
      <w:pPr>
        <w:snapToGrid w:val="1"/>
        <w:spacing w:line="240"/>
        <w:ind/>
        <w:rPr/>
      </w:pPr>
      <w:r>
        <w:rPr>
          <w:i w:val="0"/>
          <w:strike w:val="0"/>
          <w:spacing w:val="0"/>
          <w:u w:val="none"/>
        </w:rPr>
        <w:t>6. 绿色项目统计</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指标体系完整：ESG指标体系覆盖环境、社会、治理多维度</w:t>
      </w:r>
    </w:p>
    <w:p>
      <w:pPr>
        <w:snapToGrid w:val="1"/>
        <w:spacing w:line="240"/>
        <w:ind/>
        <w:rPr/>
      </w:pPr>
      <w:r>
        <w:rPr>
          <w:i w:val="0"/>
          <w:strike w:val="0"/>
          <w:spacing w:val="0"/>
          <w:u w:val="none"/>
        </w:rPr>
        <w:t>· 数据采集规范：有标准的数据采集格式和报送要求</w:t>
      </w:r>
    </w:p>
    <w:p>
      <w:pPr>
        <w:snapToGrid w:val="1"/>
        <w:spacing w:line="240"/>
        <w:ind/>
        <w:rPr/>
      </w:pPr>
    </w:p>
    <w:p>
      <w:pPr>
        <w:snapToGrid w:val="1"/>
        <w:spacing w:line="240"/>
        <w:ind/>
        <w:rPr/>
      </w:pPr>
      <w:r>
        <w:rPr>
          <w:i w:val="0"/>
          <w:strike w:val="0"/>
          <w:spacing w:val="0"/>
          <w:u w:val="none"/>
        </w:rPr>
        <w:t>7. 普惠金融流程</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产品设计简单：贷款额度小、期限短、担保要求低</w:t>
      </w:r>
    </w:p>
    <w:p>
      <w:pPr>
        <w:snapToGrid w:val="1"/>
        <w:spacing w:line="240"/>
        <w:ind/>
        <w:rPr/>
      </w:pPr>
      <w:r>
        <w:rPr>
          <w:i w:val="0"/>
          <w:strike w:val="0"/>
          <w:spacing w:val="0"/>
          <w:u w:val="none"/>
        </w:rPr>
        <w:t>· 批量处理需求：客群规模大，需要支持大批量同时处理</w:t>
      </w:r>
    </w:p>
    <w:p>
      <w:pPr>
        <w:snapToGrid w:val="1"/>
        <w:spacing w:line="240"/>
        <w:ind/>
        <w:rPr/>
      </w:pPr>
    </w:p>
    <w:p>
      <w:pPr>
        <w:snapToGrid w:val="1"/>
        <w:spacing w:line="240"/>
        <w:ind/>
        <w:rPr/>
      </w:pPr>
      <w:r>
        <w:rPr>
          <w:i w:val="0"/>
          <w:strike w:val="0"/>
          <w:spacing w:val="0"/>
          <w:u w:val="none"/>
        </w:rPr>
        <w:t>七、技术基础设施类（8项）</w:t>
      </w:r>
    </w:p>
    <w:p>
      <w:pPr>
        <w:snapToGrid w:val="1"/>
        <w:spacing w:line="240"/>
        <w:ind/>
        <w:rPr/>
      </w:pPr>
    </w:p>
    <w:p>
      <w:pPr>
        <w:snapToGrid w:val="1"/>
        <w:spacing w:line="240"/>
        <w:ind/>
        <w:rPr/>
      </w:pPr>
      <w:r>
        <w:rPr>
          <w:i w:val="0"/>
          <w:strike w:val="0"/>
          <w:spacing w:val="0"/>
          <w:u w:val="none"/>
        </w:rPr>
        <w:t>1. 脚本自动生成</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开发模式固化：RPA开发有标准模式和最佳实践</w:t>
      </w:r>
    </w:p>
    <w:p>
      <w:pPr>
        <w:snapToGrid w:val="1"/>
        <w:spacing w:line="240"/>
        <w:ind/>
        <w:rPr/>
      </w:pPr>
      <w:r>
        <w:rPr>
          <w:i w:val="0"/>
          <w:strike w:val="0"/>
          <w:spacing w:val="0"/>
          <w:u w:val="none"/>
        </w:rPr>
        <w:t>· 业务需求可翻译：业务描述可转化为技术实现逻辑</w:t>
      </w:r>
    </w:p>
    <w:p>
      <w:pPr>
        <w:snapToGrid w:val="1"/>
        <w:spacing w:line="240"/>
        <w:ind/>
        <w:rPr/>
      </w:pPr>
    </w:p>
    <w:p>
      <w:pPr>
        <w:snapToGrid w:val="1"/>
        <w:spacing w:line="240"/>
        <w:ind/>
        <w:rPr/>
      </w:pPr>
      <w:r>
        <w:rPr>
          <w:i w:val="0"/>
          <w:strike w:val="0"/>
          <w:spacing w:val="0"/>
          <w:u w:val="none"/>
        </w:rPr>
        <w:t>2. 流程自愈开发</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异常模式可识别：界面变化、网络中断等异常有特征模式</w:t>
      </w:r>
    </w:p>
    <w:p>
      <w:pPr>
        <w:snapToGrid w:val="1"/>
        <w:spacing w:line="240"/>
        <w:ind/>
        <w:rPr/>
      </w:pPr>
      <w:r>
        <w:rPr>
          <w:i w:val="0"/>
          <w:strike w:val="0"/>
          <w:spacing w:val="0"/>
          <w:u w:val="none"/>
        </w:rPr>
        <w:t>· 修复策略可积累：可建立常见问题的修复策略库</w:t>
      </w:r>
    </w:p>
    <w:p>
      <w:pPr>
        <w:snapToGrid w:val="1"/>
        <w:spacing w:line="240"/>
        <w:ind/>
        <w:rPr/>
      </w:pPr>
    </w:p>
    <w:p>
      <w:pPr>
        <w:snapToGrid w:val="1"/>
        <w:spacing w:line="240"/>
        <w:ind/>
        <w:rPr/>
      </w:pPr>
      <w:r>
        <w:rPr>
          <w:i w:val="0"/>
          <w:strike w:val="0"/>
          <w:spacing w:val="0"/>
          <w:u w:val="none"/>
        </w:rPr>
        <w:t>3. 大模型训练优化</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训练流程标准化：数据准备、模型训练、评估调优步骤固定</w:t>
      </w:r>
    </w:p>
    <w:p>
      <w:pPr>
        <w:snapToGrid w:val="1"/>
        <w:spacing w:line="240"/>
        <w:ind/>
        <w:rPr/>
      </w:pPr>
      <w:r>
        <w:rPr>
          <w:i w:val="0"/>
          <w:strike w:val="0"/>
          <w:spacing w:val="0"/>
          <w:u w:val="none"/>
        </w:rPr>
        <w:t>· 资源调度需求：需要智能调度GPU等稀缺计算资源</w:t>
      </w:r>
    </w:p>
    <w:p>
      <w:pPr>
        <w:snapToGrid w:val="1"/>
        <w:spacing w:line="240"/>
        <w:ind/>
        <w:rPr/>
      </w:pPr>
    </w:p>
    <w:p>
      <w:pPr>
        <w:snapToGrid w:val="1"/>
        <w:spacing w:line="240"/>
        <w:ind/>
        <w:rPr/>
      </w:pPr>
      <w:r>
        <w:rPr>
          <w:i w:val="0"/>
          <w:strike w:val="0"/>
          <w:spacing w:val="0"/>
          <w:u w:val="none"/>
        </w:rPr>
        <w:t>4. 算力调度编排</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资源需求可预测：可根据任务类型和历史数据预测算力需求</w:t>
      </w:r>
    </w:p>
    <w:p>
      <w:pPr>
        <w:snapToGrid w:val="1"/>
        <w:spacing w:line="240"/>
        <w:ind/>
        <w:rPr/>
      </w:pPr>
      <w:r>
        <w:rPr>
          <w:i w:val="0"/>
          <w:strike w:val="0"/>
          <w:spacing w:val="0"/>
          <w:u w:val="none"/>
        </w:rPr>
        <w:t>· 成本优化需求：需要在性能和成本间寻找最优平衡</w:t>
      </w:r>
    </w:p>
    <w:p>
      <w:pPr>
        <w:snapToGrid w:val="1"/>
        <w:spacing w:line="240"/>
        <w:ind/>
        <w:rPr/>
      </w:pPr>
    </w:p>
    <w:p>
      <w:pPr>
        <w:snapToGrid w:val="1"/>
        <w:spacing w:line="240"/>
        <w:ind/>
        <w:rPr/>
      </w:pPr>
      <w:r>
        <w:rPr>
          <w:i w:val="0"/>
          <w:strike w:val="0"/>
          <w:spacing w:val="0"/>
          <w:u w:val="none"/>
        </w:rPr>
        <w:t>5. API安全监测</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访问模式可分析：正常和异常API调用有不同特征模式</w:t>
      </w:r>
    </w:p>
    <w:p>
      <w:pPr>
        <w:snapToGrid w:val="1"/>
        <w:spacing w:line="240"/>
        <w:ind/>
        <w:rPr/>
      </w:pPr>
      <w:r>
        <w:rPr>
          <w:i w:val="0"/>
          <w:strike w:val="0"/>
          <w:spacing w:val="0"/>
          <w:u w:val="none"/>
        </w:rPr>
        <w:t>· 实时监控需求：需要7×24小时不间断监控安全状态</w:t>
      </w:r>
    </w:p>
    <w:p>
      <w:pPr>
        <w:snapToGrid w:val="1"/>
        <w:spacing w:line="240"/>
        <w:ind/>
        <w:rPr/>
      </w:pPr>
    </w:p>
    <w:p>
      <w:pPr>
        <w:snapToGrid w:val="1"/>
        <w:spacing w:line="240"/>
        <w:ind/>
        <w:rPr/>
      </w:pPr>
      <w:r>
        <w:rPr>
          <w:i w:val="0"/>
          <w:strike w:val="0"/>
          <w:spacing w:val="0"/>
          <w:u w:val="none"/>
        </w:rPr>
        <w:t>6. 原生Agent集成</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接口标准需求：需要定义统一的Agent交互接口和协议</w:t>
      </w:r>
    </w:p>
    <w:p>
      <w:pPr>
        <w:snapToGrid w:val="1"/>
        <w:spacing w:line="240"/>
        <w:ind/>
        <w:rPr/>
      </w:pPr>
      <w:r>
        <w:rPr>
          <w:i w:val="0"/>
          <w:strike w:val="0"/>
          <w:spacing w:val="0"/>
          <w:u w:val="none"/>
        </w:rPr>
        <w:t>· 服务协同需求：多个Agent需要协同完成复杂任务</w:t>
      </w:r>
    </w:p>
    <w:p>
      <w:pPr>
        <w:snapToGrid w:val="1"/>
        <w:spacing w:line="240"/>
        <w:ind/>
        <w:rPr/>
      </w:pPr>
    </w:p>
    <w:p>
      <w:pPr>
        <w:snapToGrid w:val="1"/>
        <w:spacing w:line="240"/>
        <w:ind/>
        <w:rPr/>
      </w:pPr>
      <w:r>
        <w:rPr>
          <w:i w:val="0"/>
          <w:strike w:val="0"/>
          <w:spacing w:val="0"/>
          <w:u w:val="none"/>
        </w:rPr>
        <w:t>7. 跨系统对接</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协议转换需求：需要在不同系统协议间进行转换和适配</w:t>
      </w:r>
    </w:p>
    <w:p>
      <w:pPr>
        <w:snapToGrid w:val="1"/>
        <w:spacing w:line="240"/>
        <w:ind/>
        <w:rPr/>
      </w:pPr>
      <w:r>
        <w:rPr>
          <w:i w:val="0"/>
          <w:strike w:val="0"/>
          <w:spacing w:val="0"/>
          <w:u w:val="none"/>
        </w:rPr>
        <w:t>· 数据映射明确：不同系统间数据字段映射关系可定义</w:t>
      </w:r>
    </w:p>
    <w:p>
      <w:pPr>
        <w:snapToGrid w:val="1"/>
        <w:spacing w:line="240"/>
        <w:ind/>
        <w:rPr/>
      </w:pPr>
    </w:p>
    <w:p>
      <w:pPr>
        <w:snapToGrid w:val="1"/>
        <w:spacing w:line="240"/>
        <w:ind/>
        <w:rPr/>
      </w:pPr>
      <w:r>
        <w:rPr>
          <w:i w:val="0"/>
          <w:strike w:val="0"/>
          <w:spacing w:val="0"/>
          <w:u w:val="none"/>
        </w:rPr>
        <w:t>8. 场景自动化协同</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工作流引擎成熟：有成熟的工流引擎支持复杂流程编排</w:t>
      </w:r>
    </w:p>
    <w:p>
      <w:pPr>
        <w:snapToGrid w:val="1"/>
        <w:spacing w:line="240"/>
        <w:ind/>
        <w:rPr/>
      </w:pPr>
      <w:r>
        <w:rPr>
          <w:i w:val="0"/>
          <w:strike w:val="0"/>
          <w:spacing w:val="0"/>
          <w:u w:val="none"/>
        </w:rPr>
        <w:t>· 事件驱动机制：业务事件可触发自动化流程执行</w:t>
      </w:r>
    </w:p>
    <w:p>
      <w:pPr>
        <w:snapToGrid w:val="1"/>
        <w:spacing w:line="240"/>
        <w:ind/>
        <w:rPr/>
      </w:pPr>
    </w:p>
    <w:p>
      <w:pPr>
        <w:snapToGrid w:val="1"/>
        <w:spacing w:line="240"/>
        <w:ind/>
        <w:rPr/>
      </w:pPr>
      <w:r>
        <w:rPr>
          <w:i w:val="0"/>
          <w:strike w:val="0"/>
          <w:spacing w:val="0"/>
          <w:u w:val="none"/>
        </w:rPr>
        <w:t>八、人力资源类（3项）</w:t>
      </w:r>
    </w:p>
    <w:p>
      <w:pPr>
        <w:snapToGrid w:val="1"/>
        <w:spacing w:line="240"/>
        <w:ind/>
        <w:rPr/>
      </w:pPr>
    </w:p>
    <w:p>
      <w:pPr>
        <w:snapToGrid w:val="1"/>
        <w:spacing w:line="240"/>
        <w:ind/>
        <w:rPr/>
      </w:pPr>
      <w:r>
        <w:rPr>
          <w:i w:val="0"/>
          <w:strike w:val="0"/>
          <w:spacing w:val="0"/>
          <w:u w:val="none"/>
        </w:rPr>
        <w:t>1. 员工入离职</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流程步骤固定：入职体检、背调、合同签署等步骤标准化</w:t>
      </w:r>
    </w:p>
    <w:p>
      <w:pPr>
        <w:snapToGrid w:val="1"/>
        <w:spacing w:line="240"/>
        <w:ind/>
        <w:rPr/>
      </w:pPr>
      <w:r>
        <w:rPr>
          <w:i w:val="0"/>
          <w:strike w:val="0"/>
          <w:spacing w:val="0"/>
          <w:u w:val="none"/>
        </w:rPr>
        <w:t>· 多系统账号管理：需要开通多个系统账号，操作重复性强</w:t>
      </w:r>
    </w:p>
    <w:p>
      <w:pPr>
        <w:snapToGrid w:val="1"/>
        <w:spacing w:line="240"/>
        <w:ind/>
        <w:rPr/>
      </w:pPr>
    </w:p>
    <w:p>
      <w:pPr>
        <w:snapToGrid w:val="1"/>
        <w:spacing w:line="240"/>
        <w:ind/>
        <w:rPr/>
      </w:pPr>
      <w:r>
        <w:rPr>
          <w:i w:val="0"/>
          <w:strike w:val="0"/>
          <w:spacing w:val="0"/>
          <w:u w:val="none"/>
        </w:rPr>
        <w:t>2. 简历筛选核算</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筛选条件明确：学历、经验、技能等要求可量化</w:t>
      </w:r>
    </w:p>
    <w:p>
      <w:pPr>
        <w:snapToGrid w:val="1"/>
        <w:spacing w:line="240"/>
        <w:ind/>
        <w:rPr/>
      </w:pPr>
      <w:r>
        <w:rPr>
          <w:i w:val="0"/>
          <w:strike w:val="0"/>
          <w:spacing w:val="0"/>
          <w:u w:val="none"/>
        </w:rPr>
        <w:t>· 简历结构相似：大多数简历有相似的结构便于信息提取</w:t>
      </w:r>
    </w:p>
    <w:p>
      <w:pPr>
        <w:snapToGrid w:val="1"/>
        <w:spacing w:line="240"/>
        <w:ind/>
        <w:rPr/>
      </w:pPr>
    </w:p>
    <w:p>
      <w:pPr>
        <w:snapToGrid w:val="1"/>
        <w:spacing w:line="240"/>
        <w:ind/>
        <w:rPr/>
      </w:pPr>
      <w:r>
        <w:rPr>
          <w:i w:val="0"/>
          <w:strike w:val="0"/>
          <w:spacing w:val="0"/>
          <w:u w:val="none"/>
        </w:rPr>
        <w:t>3. 人才培养转化</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能力模型标准化：岗位能力要求有标准模型和评估体系</w:t>
      </w:r>
    </w:p>
    <w:p>
      <w:pPr>
        <w:snapToGrid w:val="1"/>
        <w:spacing w:line="240"/>
        <w:ind/>
        <w:rPr/>
      </w:pPr>
      <w:r>
        <w:rPr>
          <w:i w:val="0"/>
          <w:strike w:val="0"/>
          <w:spacing w:val="0"/>
          <w:u w:val="none"/>
        </w:rPr>
        <w:t>· 培训记录结构化：培训课程、成绩等记录格式统一</w:t>
      </w:r>
    </w:p>
    <w:p>
      <w:pPr>
        <w:snapToGrid w:val="1"/>
        <w:spacing w:line="240"/>
        <w:ind/>
        <w:rPr/>
      </w:pPr>
    </w:p>
    <w:p>
      <w:pPr>
        <w:snapToGrid w:val="1"/>
        <w:spacing w:line="240"/>
        <w:ind/>
        <w:rPr/>
      </w:pPr>
      <w:r>
        <w:rPr>
          <w:i w:val="0"/>
          <w:strike w:val="0"/>
          <w:spacing w:val="0"/>
          <w:u w:val="none"/>
        </w:rPr>
        <w:t>九、交互与入口类（3项）</w:t>
      </w:r>
    </w:p>
    <w:p>
      <w:pPr>
        <w:snapToGrid w:val="1"/>
        <w:spacing w:line="240"/>
        <w:ind/>
        <w:rPr/>
      </w:pPr>
    </w:p>
    <w:p>
      <w:pPr>
        <w:snapToGrid w:val="1"/>
        <w:spacing w:line="240"/>
        <w:ind/>
        <w:rPr/>
      </w:pPr>
      <w:r>
        <w:rPr>
          <w:i w:val="0"/>
          <w:strike w:val="0"/>
          <w:spacing w:val="0"/>
          <w:u w:val="none"/>
        </w:rPr>
        <w:t>1. 对话交互入口</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自然语言理解成熟：NLP技术可较好理解用户意图</w:t>
      </w:r>
    </w:p>
    <w:p>
      <w:pPr>
        <w:snapToGrid w:val="1"/>
        <w:spacing w:line="240"/>
        <w:ind/>
        <w:rPr/>
      </w:pPr>
      <w:r>
        <w:rPr>
          <w:i w:val="0"/>
          <w:strike w:val="0"/>
          <w:spacing w:val="0"/>
          <w:u w:val="none"/>
        </w:rPr>
        <w:t>· 个性化响应需求：可根据用户历史提供定制化服务</w:t>
      </w:r>
    </w:p>
    <w:p>
      <w:pPr>
        <w:snapToGrid w:val="1"/>
        <w:spacing w:line="240"/>
        <w:ind/>
        <w:rPr/>
      </w:pPr>
    </w:p>
    <w:p>
      <w:pPr>
        <w:snapToGrid w:val="1"/>
        <w:spacing w:line="240"/>
        <w:ind/>
        <w:rPr/>
      </w:pPr>
      <w:r>
        <w:rPr>
          <w:i w:val="0"/>
          <w:strike w:val="0"/>
          <w:spacing w:val="0"/>
          <w:u w:val="none"/>
        </w:rPr>
        <w:t>2. 流程挖掘连接</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日志数据可得：系统操作日志记录完整且格式统一</w:t>
      </w:r>
    </w:p>
    <w:p>
      <w:pPr>
        <w:snapToGrid w:val="1"/>
        <w:spacing w:line="240"/>
        <w:ind/>
        <w:rPr/>
      </w:pPr>
      <w:r>
        <w:rPr>
          <w:i w:val="0"/>
          <w:strike w:val="0"/>
          <w:spacing w:val="0"/>
          <w:u w:val="none"/>
        </w:rPr>
        <w:t>· 模式识别算法成熟：可通过算法发现流程瓶颈和优化点</w:t>
      </w:r>
    </w:p>
    <w:p>
      <w:pPr>
        <w:snapToGrid w:val="1"/>
        <w:spacing w:line="240"/>
        <w:ind/>
        <w:rPr/>
      </w:pPr>
    </w:p>
    <w:p>
      <w:pPr>
        <w:snapToGrid w:val="1"/>
        <w:spacing w:line="240"/>
        <w:ind/>
        <w:rPr/>
      </w:pPr>
      <w:r>
        <w:rPr>
          <w:i w:val="0"/>
          <w:strike w:val="0"/>
          <w:spacing w:val="0"/>
          <w:u w:val="none"/>
        </w:rPr>
        <w:t>3. 方案设计预警</w:t>
      </w:r>
    </w:p>
    <w:p>
      <w:pPr>
        <w:snapToGrid w:val="1"/>
        <w:spacing w:line="240"/>
        <w:ind/>
        <w:rPr/>
      </w:pPr>
    </w:p>
    <w:p>
      <w:pPr>
        <w:snapToGrid w:val="1"/>
        <w:spacing w:line="240"/>
        <w:ind/>
        <w:rPr/>
      </w:pPr>
      <w:r>
        <w:rPr>
          <w:i w:val="0"/>
          <w:strike w:val="0"/>
          <w:spacing w:val="0"/>
          <w:u w:val="none"/>
        </w:rPr>
        <w:t>适用原因：</w:t>
      </w:r>
    </w:p>
    <w:p>
      <w:pPr>
        <w:snapToGrid w:val="1"/>
        <w:spacing w:line="240"/>
        <w:ind/>
        <w:rPr/>
      </w:pPr>
    </w:p>
    <w:p>
      <w:pPr>
        <w:snapToGrid w:val="1"/>
        <w:spacing w:line="240"/>
        <w:ind/>
        <w:rPr/>
      </w:pPr>
      <w:r>
        <w:rPr>
          <w:i w:val="0"/>
          <w:strike w:val="0"/>
          <w:spacing w:val="0"/>
          <w:u w:val="none"/>
        </w:rPr>
        <w:t>· 设计规则明确：方案设计需遵循内外部规则和标准</w:t>
      </w:r>
    </w:p>
    <w:p>
      <w:pPr>
        <w:snapToGrid w:val="1"/>
        <w:spacing w:line="240"/>
        <w:ind/>
        <w:rPr/>
      </w:pPr>
      <w:r>
        <w:rPr>
          <w:i w:val="0"/>
          <w:strike w:val="0"/>
          <w:spacing w:val="0"/>
          <w:u w:val="none"/>
        </w:rPr>
        <w:t>· 风险评估量化：设计方案的风险可量化和评估</w:t>
      </w:r>
    </w:p>
    <w:p>
      <w:pPr>
        <w:pStyle w:val="00000a"/>
        <w:rPr/>
      </w:pPr>
      <w:r>
        <w:rPr/>
        <w:t>4.1.2场景识别总结</w:t>
      </w:r>
    </w:p>
    <w:p>
      <w:pPr>
        <w:snapToGrid w:val="1"/>
        <w:spacing w:line="240"/>
        <w:ind/>
        <w:rPr/>
      </w:pPr>
      <w:r>
        <w:rPr>
          <w:i w:val="0"/>
          <w:strike w:val="0"/>
          <w:spacing w:val="0"/>
          <w:u w:val="none"/>
        </w:rPr>
        <w:t>金融转型面临高成本、低效率的痛点。未来需求是解放人力，实现普惠、智能的服务。技术应用须直指业务瓶颈，释放经济潜力。</w:t>
      </w:r>
    </w:p>
    <w:p>
      <w:pPr>
        <w:snapToGrid w:val="1"/>
        <w:spacing w:line="240"/>
        <w:ind/>
        <w:rPr/>
      </w:pPr>
    </w:p>
    <w:p>
      <w:pPr>
        <w:snapToGrid w:val="1"/>
        <w:spacing w:line="240"/>
        <w:ind/>
        <w:rPr/>
      </w:pPr>
      <w:r>
        <w:rPr>
          <w:i w:val="0"/>
          <w:strike w:val="0"/>
          <w:spacing w:val="0"/>
          <w:u w:val="none"/>
        </w:rPr>
        <w:t>技术与政策共同驱动落地。RPA向AI Agent演进，拓展了自动化可能，激发高阶需求。RPA及AI Agent作为技术切入点，其价值在于将抽象的用户需求，翻译成可执行、可部署的具体应用。它不是一个孤立的技术，而是嵌入到“财报解析”、“核保理赔”、“监管报送”等具体业务场景中，解决该场景下的流程阻塞与数据孤岛问题。金融科技、绿色金融等政策快速定义新场景，为技术开辟明确战场。二者合力将抽象需求转化为反洗钱、智能投研等可部署的具体应用。</w:t>
      </w:r>
    </w:p>
    <w:p>
      <w:pPr>
        <w:snapToGrid w:val="1"/>
        <w:spacing w:line="240"/>
        <w:ind/>
        <w:rPr/>
      </w:pPr>
    </w:p>
    <w:p>
      <w:pPr>
        <w:pStyle w:val="000005"/>
        <w:pBdr/>
        <w:snapToGrid w:val="1"/>
        <w:spacing w:before="260" w:after="260" w:line="360"/>
        <w:ind w:left="0" w:right="0"/>
        <w:jc w:val="both"/>
        <w:rPr>
          <w:i w:val="0"/>
          <w:strike w:val="0"/>
          <w:spacing w:val="0"/>
          <w:u w:val="none"/>
        </w:rPr>
      </w:pPr>
      <w:r>
        <w:rPr>
          <w:i w:val="0"/>
          <w:strike w:val="0"/>
          <w:spacing w:val="0"/>
          <w:u w:val="none"/>
        </w:rPr>
        <w:t>未来是动态闭环：政策塑造场景，场景催生需求，需求驱动技术应用，应用反哺优化。RPA与AI Agent作为关键使能器，推动实现“人机协同”新范式——人类专注战略与创造，数字员工接管标准化执行，最终提升经济效率，实现高质量发展。</w:t>
      </w:r>
    </w:p>
    <w:p>
      <w:pPr>
        <w:pStyle w:val="000008"/>
        <w:pBdr/>
        <w:snapToGrid w:val="1"/>
        <w:spacing w:before="260" w:after="260" w:line="360"/>
        <w:ind w:left="0" w:right="0"/>
        <w:jc w:val="both"/>
        <w:rPr>
          <w:rFonts w:ascii="宋体" w:hAnsi="宋体" w:eastAsia="宋体" w:cs="宋体"/>
          <w:i w:val="0"/>
          <w:strike w:val="0"/>
          <w:color w:val="000000"/>
          <w:sz w:val="32"/>
          <w:u w:val="none"/>
        </w:rPr>
      </w:pPr>
      <w:r>
        <w:rPr>
          <w:rFonts w:ascii="Calibri Light" w:hAnsi="Calibri Light" w:cs="Calibri Light"/>
          <w:i w:val="0"/>
          <w:strike w:val="0"/>
          <w:color w:val="000000"/>
          <w:sz w:val="32"/>
          <w:u w:val="none"/>
        </w:rPr>
        <w:t>4.2</w:t>
      </w:r>
      <w:r>
        <w:rPr>
          <w:rFonts w:ascii="宋体" w:hAnsi="宋体" w:eastAsia="宋体" w:cs="宋体"/>
          <w:i w:val="0"/>
          <w:strike w:val="0"/>
          <w:color w:val="000000"/>
          <w:sz w:val="32"/>
          <w:u w:val="none"/>
        </w:rPr>
        <w:t>行业需求点分析</w:t>
      </w:r>
    </w:p>
    <w:p>
      <w:pPr>
        <w:snapToGrid w:val="1"/>
        <w:spacing w:line="240"/>
        <w:ind/>
        <w:rPr/>
      </w:pPr>
      <w:r>
        <w:rPr>
          <w:i w:val="0"/>
          <w:strike w:val="0"/>
          <w:spacing w:val="0"/>
          <w:u w:val="none"/>
        </w:rPr>
        <w:t>一、 银行业</w:t>
      </w:r>
    </w:p>
    <w:p>
      <w:pPr>
        <w:snapToGrid w:val="1"/>
        <w:spacing w:line="240"/>
        <w:ind/>
        <w:rPr/>
      </w:pPr>
    </w:p>
    <w:p>
      <w:pPr>
        <w:snapToGrid w:val="1"/>
        <w:spacing w:line="240"/>
        <w:ind/>
        <w:rPr/>
      </w:pPr>
      <w:r>
        <w:rPr>
          <w:i w:val="0"/>
          <w:strike w:val="0"/>
          <w:spacing w:val="0"/>
          <w:u w:val="none"/>
        </w:rPr>
        <w:t>· 核心痛点：操作严重依赖人工，跨10+系统手工处理数据，导致反洗钱调查、对公尽职调查、财报分析等流程耗时长、错误率高、标准化难。</w:t>
      </w:r>
    </w:p>
    <w:p>
      <w:pPr>
        <w:snapToGrid w:val="1"/>
        <w:spacing w:line="240"/>
        <w:ind/>
        <w:rPr/>
      </w:pPr>
      <w:r>
        <w:rPr>
          <w:i w:val="0"/>
          <w:strike w:val="0"/>
          <w:spacing w:val="0"/>
          <w:u w:val="none"/>
        </w:rPr>
        <w:t>· 业务需求：实现风险与运营流程的智能化、自动化闭环。需要将数据查询、逻辑判断、报告生成等环节无缝衔接。</w:t>
      </w:r>
    </w:p>
    <w:p>
      <w:pPr>
        <w:snapToGrid w:val="1"/>
        <w:spacing w:line="240"/>
        <w:ind/>
        <w:rPr/>
      </w:pPr>
      <w:r>
        <w:rPr>
          <w:i w:val="0"/>
          <w:strike w:val="0"/>
          <w:spacing w:val="0"/>
          <w:u w:val="none"/>
        </w:rPr>
        <w:t>· 场景需求：</w:t>
      </w:r>
    </w:p>
    <w:p>
      <w:pPr>
        <w:snapToGrid w:val="1"/>
        <w:spacing w:line="240"/>
        <w:ind/>
        <w:rPr/>
      </w:pPr>
      <w:r>
        <w:rPr>
          <w:i w:val="0"/>
          <w:strike w:val="0"/>
          <w:spacing w:val="0"/>
          <w:u w:val="none"/>
        </w:rPr>
        <w:t xml:space="preserve">  · 风险管理/合规部：需要能从多维度数据中自动识别隐秘关联，并生成逻辑闭环报告的工具。</w:t>
      </w:r>
    </w:p>
    <w:p>
      <w:pPr>
        <w:snapToGrid w:val="1"/>
        <w:spacing w:line="240"/>
        <w:ind/>
        <w:rPr/>
      </w:pPr>
      <w:r>
        <w:rPr>
          <w:i w:val="0"/>
          <w:strike w:val="0"/>
          <w:spacing w:val="0"/>
          <w:u w:val="none"/>
        </w:rPr>
        <w:t xml:space="preserve">  · 公司金融/普惠部：需要能理解非标格式（如图片、PDF财报），并自动交叉核验多源信息的智能审批助手。</w:t>
      </w:r>
    </w:p>
    <w:p>
      <w:pPr>
        <w:snapToGrid w:val="1"/>
        <w:spacing w:line="240"/>
        <w:ind/>
        <w:rPr/>
      </w:pPr>
      <w:r>
        <w:rPr>
          <w:i w:val="0"/>
          <w:strike w:val="0"/>
          <w:spacing w:val="0"/>
          <w:u w:val="none"/>
        </w:rPr>
        <w:t>· 技术需求：从基于固定规则的RPA，升级为具备语义理解（LLM）、多模态识别、知识图谱推理能力的AI Agent。</w:t>
      </w:r>
    </w:p>
    <w:p>
      <w:pPr>
        <w:snapToGrid w:val="1"/>
        <w:spacing w:line="240"/>
        <w:ind/>
        <w:rPr/>
      </w:pPr>
      <w:r>
        <w:rPr>
          <w:i w:val="0"/>
          <w:strike w:val="0"/>
          <w:spacing w:val="0"/>
          <w:u w:val="none"/>
        </w:rPr>
        <w:t>· 政策驱动：响应“普惠金融”、“科技金融”要求，提升小微、科创企业服务效率。</w:t>
      </w:r>
    </w:p>
    <w:p>
      <w:pPr>
        <w:snapToGrid w:val="1"/>
        <w:spacing w:line="240"/>
        <w:ind/>
        <w:rPr/>
      </w:pPr>
    </w:p>
    <w:p>
      <w:pPr>
        <w:snapToGrid w:val="1"/>
        <w:spacing w:line="240"/>
        <w:ind/>
        <w:rPr/>
      </w:pPr>
      <w:r>
        <w:rPr>
          <w:i w:val="0"/>
          <w:strike w:val="0"/>
          <w:spacing w:val="0"/>
          <w:u w:val="none"/>
        </w:rPr>
        <w:t>二、 证券业</w:t>
      </w:r>
    </w:p>
    <w:p>
      <w:pPr>
        <w:snapToGrid w:val="1"/>
        <w:spacing w:line="240"/>
        <w:ind/>
        <w:rPr/>
      </w:pPr>
    </w:p>
    <w:p>
      <w:pPr>
        <w:snapToGrid w:val="1"/>
        <w:spacing w:line="240"/>
        <w:ind/>
        <w:rPr/>
      </w:pPr>
      <w:r>
        <w:rPr>
          <w:i w:val="0"/>
          <w:strike w:val="0"/>
          <w:spacing w:val="0"/>
          <w:u w:val="none"/>
        </w:rPr>
        <w:t>· 核心痛点：信息过载，人工难以实时处理海量公告、研报和行情数据；合规报表编制重复、繁琐。</w:t>
      </w:r>
    </w:p>
    <w:p>
      <w:pPr>
        <w:snapToGrid w:val="1"/>
        <w:spacing w:line="240"/>
        <w:ind/>
        <w:rPr/>
      </w:pPr>
      <w:r>
        <w:rPr>
          <w:i w:val="0"/>
          <w:strike w:val="0"/>
          <w:spacing w:val="0"/>
          <w:u w:val="none"/>
        </w:rPr>
        <w:t>· 业务需求：实现信息获取、分析、决策支持的实时化与自动化，并为合规工作减负。</w:t>
      </w:r>
    </w:p>
    <w:p>
      <w:pPr>
        <w:snapToGrid w:val="1"/>
        <w:spacing w:line="240"/>
        <w:ind/>
        <w:rPr/>
      </w:pPr>
      <w:r>
        <w:rPr>
          <w:i w:val="0"/>
          <w:strike w:val="0"/>
          <w:spacing w:val="0"/>
          <w:u w:val="none"/>
        </w:rPr>
        <w:t>· 场景需求：</w:t>
      </w:r>
    </w:p>
    <w:p>
      <w:pPr>
        <w:snapToGrid w:val="1"/>
        <w:spacing w:line="240"/>
        <w:ind/>
        <w:rPr/>
      </w:pPr>
      <w:r>
        <w:rPr>
          <w:i w:val="0"/>
          <w:strike w:val="0"/>
          <w:spacing w:val="0"/>
          <w:u w:val="none"/>
        </w:rPr>
        <w:t xml:space="preserve">  · 投研/研究所：需要能自动摘要研报、归因行情异动，并能实时推送信号的研究助理。</w:t>
      </w:r>
    </w:p>
    <w:p>
      <w:pPr>
        <w:snapToGrid w:val="1"/>
        <w:spacing w:line="240"/>
        <w:ind/>
        <w:rPr/>
      </w:pPr>
      <w:r>
        <w:rPr>
          <w:i w:val="0"/>
          <w:strike w:val="0"/>
          <w:spacing w:val="0"/>
          <w:u w:val="none"/>
        </w:rPr>
        <w:t xml:space="preserve">  · 运营/后台：需要能自动从交易、风控系统取数，并完成监管报表填报与税务申报的机器人。</w:t>
      </w:r>
    </w:p>
    <w:p>
      <w:pPr>
        <w:snapToGrid w:val="1"/>
        <w:spacing w:line="240"/>
        <w:ind/>
        <w:rPr/>
      </w:pPr>
      <w:r>
        <w:rPr>
          <w:i w:val="0"/>
          <w:strike w:val="0"/>
          <w:spacing w:val="0"/>
          <w:u w:val="none"/>
        </w:rPr>
        <w:t>· 技术需求：RAG（检索增强生成） 处理非结构化文本，代码解释器（Code Interpreter） 进行数据分析，并实现流程的端到端自动化。</w:t>
      </w:r>
    </w:p>
    <w:p>
      <w:pPr>
        <w:snapToGrid w:val="1"/>
        <w:spacing w:line="240"/>
        <w:ind/>
        <w:rPr/>
      </w:pPr>
      <w:r>
        <w:rPr>
          <w:i w:val="0"/>
          <w:strike w:val="0"/>
          <w:spacing w:val="0"/>
          <w:u w:val="none"/>
        </w:rPr>
        <w:t>· 政策驱动：符合穿透式监管、提高信息披露效率与质量的要求。</w:t>
      </w:r>
    </w:p>
    <w:p>
      <w:pPr>
        <w:snapToGrid w:val="1"/>
        <w:spacing w:line="240"/>
        <w:ind/>
        <w:rPr/>
      </w:pPr>
    </w:p>
    <w:p>
      <w:pPr>
        <w:snapToGrid w:val="1"/>
        <w:spacing w:line="240"/>
        <w:ind/>
        <w:rPr/>
      </w:pPr>
      <w:r>
        <w:rPr>
          <w:i w:val="0"/>
          <w:strike w:val="0"/>
          <w:spacing w:val="0"/>
          <w:u w:val="none"/>
        </w:rPr>
        <w:t>三、 保险业</w:t>
      </w:r>
    </w:p>
    <w:p>
      <w:pPr>
        <w:snapToGrid w:val="1"/>
        <w:spacing w:line="240"/>
        <w:ind/>
        <w:rPr/>
      </w:pPr>
    </w:p>
    <w:p>
      <w:pPr>
        <w:snapToGrid w:val="1"/>
        <w:spacing w:line="240"/>
        <w:ind/>
        <w:rPr/>
      </w:pPr>
      <w:r>
        <w:rPr>
          <w:i w:val="0"/>
          <w:strike w:val="0"/>
          <w:spacing w:val="0"/>
          <w:u w:val="none"/>
        </w:rPr>
        <w:t>· 核心痛点：理赔、核保依赖纸质单据和人工经验，欺诈识别难，医疗、定损等专业领域判断复杂。</w:t>
      </w:r>
    </w:p>
    <w:p>
      <w:pPr>
        <w:snapToGrid w:val="1"/>
        <w:spacing w:line="240"/>
        <w:ind/>
        <w:rPr/>
      </w:pPr>
      <w:r>
        <w:rPr>
          <w:i w:val="0"/>
          <w:strike w:val="0"/>
          <w:spacing w:val="0"/>
          <w:u w:val="none"/>
        </w:rPr>
        <w:t>· 业务需求：实现理赔核保的精准化、快速化与反欺诈自动化，提升客户体验与风控水平。</w:t>
      </w:r>
    </w:p>
    <w:p>
      <w:pPr>
        <w:snapToGrid w:val="1"/>
        <w:spacing w:line="240"/>
        <w:ind/>
        <w:rPr/>
      </w:pPr>
      <w:r>
        <w:rPr>
          <w:i w:val="0"/>
          <w:strike w:val="0"/>
          <w:spacing w:val="0"/>
          <w:u w:val="none"/>
        </w:rPr>
        <w:t>· 场景需求：</w:t>
      </w:r>
    </w:p>
    <w:p>
      <w:pPr>
        <w:snapToGrid w:val="1"/>
        <w:spacing w:line="240"/>
        <w:ind/>
        <w:rPr/>
      </w:pPr>
      <w:r>
        <w:rPr>
          <w:i w:val="0"/>
          <w:strike w:val="0"/>
          <w:spacing w:val="0"/>
          <w:u w:val="none"/>
        </w:rPr>
        <w:t xml:space="preserve">  · 理赔/核保部：需要能识别医疗单据真伪、解析病历逻辑、评估车损图片的智能定损员。</w:t>
      </w:r>
    </w:p>
    <w:p>
      <w:pPr>
        <w:snapToGrid w:val="1"/>
        <w:spacing w:line="240"/>
        <w:ind/>
        <w:rPr/>
      </w:pPr>
      <w:r>
        <w:rPr>
          <w:i w:val="0"/>
          <w:strike w:val="0"/>
          <w:spacing w:val="0"/>
          <w:u w:val="none"/>
        </w:rPr>
        <w:t>· 技术需求：结合计算机视觉（CV） 进行图像审核，利用逻辑推理链（CoT） 和领域知识库进行专业决策。</w:t>
      </w:r>
    </w:p>
    <w:p>
      <w:pPr>
        <w:snapToGrid w:val="1"/>
        <w:spacing w:line="240"/>
        <w:ind/>
        <w:rPr/>
      </w:pPr>
      <w:r>
        <w:rPr>
          <w:i w:val="0"/>
          <w:strike w:val="0"/>
          <w:spacing w:val="0"/>
          <w:u w:val="none"/>
        </w:rPr>
        <w:t>· 政策驱动：服务于“养老金融”、“健康中国”等方向，提升保障服务效率。</w:t>
      </w:r>
    </w:p>
    <w:p>
      <w:pPr>
        <w:snapToGrid w:val="1"/>
        <w:spacing w:line="240"/>
        <w:ind/>
        <w:rPr/>
      </w:pPr>
    </w:p>
    <w:p>
      <w:pPr>
        <w:snapToGrid w:val="1"/>
        <w:spacing w:line="240"/>
        <w:ind/>
        <w:rPr/>
      </w:pPr>
      <w:r>
        <w:rPr>
          <w:i w:val="0"/>
          <w:strike w:val="0"/>
          <w:spacing w:val="0"/>
          <w:u w:val="none"/>
        </w:rPr>
        <w:t>四、 RPA/金融科技厂商（供应端）</w:t>
      </w:r>
    </w:p>
    <w:p>
      <w:pPr>
        <w:snapToGrid w:val="1"/>
        <w:spacing w:line="240"/>
        <w:ind/>
        <w:rPr/>
      </w:pPr>
    </w:p>
    <w:p>
      <w:pPr>
        <w:snapToGrid w:val="1"/>
        <w:spacing w:line="240"/>
        <w:ind/>
        <w:rPr/>
      </w:pPr>
      <w:r>
        <w:rPr>
          <w:i w:val="0"/>
          <w:strike w:val="0"/>
          <w:spacing w:val="0"/>
          <w:u w:val="none"/>
        </w:rPr>
        <w:t>· 核心痛点：传统RPA脚本脆弱（UI变化即失效），开发维护成本高，无法理解业务语义。</w:t>
      </w:r>
    </w:p>
    <w:p>
      <w:pPr>
        <w:snapToGrid w:val="1"/>
        <w:spacing w:line="240"/>
        <w:ind/>
        <w:rPr/>
      </w:pPr>
      <w:r>
        <w:rPr>
          <w:i w:val="0"/>
          <w:strike w:val="0"/>
          <w:spacing w:val="0"/>
          <w:u w:val="none"/>
        </w:rPr>
        <w:t>· 业务需求：实现产品从“自动化工具”向“智能数字员工平台”的转型，降低使用门槛。</w:t>
      </w:r>
    </w:p>
    <w:p>
      <w:pPr>
        <w:snapToGrid w:val="1"/>
        <w:spacing w:line="240"/>
        <w:ind/>
        <w:rPr/>
      </w:pPr>
      <w:r>
        <w:rPr>
          <w:i w:val="0"/>
          <w:strike w:val="0"/>
          <w:spacing w:val="0"/>
          <w:u w:val="none"/>
        </w:rPr>
        <w:t>· 场景需求：</w:t>
      </w:r>
    </w:p>
    <w:p>
      <w:pPr>
        <w:snapToGrid w:val="1"/>
        <w:spacing w:line="240"/>
        <w:ind/>
        <w:rPr/>
      </w:pPr>
      <w:r>
        <w:rPr>
          <w:i w:val="0"/>
          <w:strike w:val="0"/>
          <w:spacing w:val="0"/>
          <w:u w:val="none"/>
        </w:rPr>
        <w:t xml:space="preserve">  · 产品研发/交付部：需要能基于自然语言描述生成流程、并能自动修复脚本的“Agentic RPA”开发平台。</w:t>
      </w:r>
    </w:p>
    <w:p>
      <w:pPr>
        <w:snapToGrid w:val="1"/>
        <w:spacing w:line="240"/>
        <w:ind/>
        <w:rPr/>
      </w:pPr>
      <w:r>
        <w:rPr>
          <w:i w:val="0"/>
          <w:strike w:val="0"/>
          <w:spacing w:val="0"/>
          <w:u w:val="none"/>
        </w:rPr>
        <w:t xml:space="preserve">  · 模型算法部：需要能训练金融垂直大模型（Fin-LLM），以解决通用模型“幻觉”和金融专业性不足的问题。</w:t>
      </w:r>
    </w:p>
    <w:p>
      <w:pPr>
        <w:snapToGrid w:val="1"/>
        <w:spacing w:line="240"/>
        <w:ind/>
        <w:rPr/>
      </w:pPr>
      <w:r>
        <w:rPr>
          <w:i w:val="0"/>
          <w:strike w:val="0"/>
          <w:spacing w:val="0"/>
          <w:u w:val="none"/>
        </w:rPr>
        <w:t>· 技术需求：LLM驱动的UI理解、自修复算法、语义编排、强化学习微调（RLHF） 等。</w:t>
      </w:r>
    </w:p>
    <w:p>
      <w:pPr>
        <w:snapToGrid w:val="1"/>
        <w:spacing w:line="240"/>
        <w:ind/>
        <w:rPr/>
      </w:pPr>
      <w:r>
        <w:rPr>
          <w:i w:val="0"/>
          <w:strike w:val="0"/>
          <w:spacing w:val="0"/>
          <w:u w:val="none"/>
        </w:rPr>
        <w:t>· 市场驱动：客户需求从执行转向决策，倒逼技术升级。</w:t>
      </w:r>
    </w:p>
    <w:p>
      <w:pPr>
        <w:snapToGrid w:val="1"/>
        <w:spacing w:line="240"/>
        <w:ind/>
        <w:rPr/>
      </w:pPr>
    </w:p>
    <w:p>
      <w:pPr>
        <w:snapToGrid w:val="1"/>
        <w:spacing w:line="240"/>
        <w:ind/>
        <w:rPr/>
      </w:pPr>
      <w:r>
        <w:rPr>
          <w:i w:val="0"/>
          <w:strike w:val="0"/>
          <w:spacing w:val="0"/>
          <w:u w:val="none"/>
        </w:rPr>
        <w:t>五、 基础设施与第三方服务商（支撑端）</w:t>
      </w:r>
    </w:p>
    <w:p>
      <w:pPr>
        <w:snapToGrid w:val="1"/>
        <w:spacing w:line="240"/>
        <w:ind/>
        <w:rPr/>
      </w:pPr>
    </w:p>
    <w:p>
      <w:pPr>
        <w:snapToGrid w:val="1"/>
        <w:spacing w:line="240"/>
        <w:ind/>
        <w:rPr/>
      </w:pPr>
      <w:r>
        <w:rPr>
          <w:i w:val="0"/>
          <w:strike w:val="0"/>
          <w:spacing w:val="0"/>
          <w:u w:val="none"/>
        </w:rPr>
        <w:t>· 核心痛点：算力成本高且利用率低；数据流通中担心泄露与滥用；缺乏针对性的合规分析工具。</w:t>
      </w:r>
    </w:p>
    <w:p>
      <w:pPr>
        <w:snapToGrid w:val="1"/>
        <w:spacing w:line="240"/>
        <w:ind/>
        <w:rPr/>
      </w:pPr>
      <w:r>
        <w:rPr>
          <w:i w:val="0"/>
          <w:strike w:val="0"/>
          <w:spacing w:val="0"/>
          <w:u w:val="none"/>
        </w:rPr>
        <w:t>· 业务需求：实现资源高效、安全、合规的自动化调度与管理。</w:t>
      </w:r>
    </w:p>
    <w:p>
      <w:pPr>
        <w:snapToGrid w:val="1"/>
        <w:spacing w:line="240"/>
        <w:ind/>
        <w:rPr/>
      </w:pPr>
      <w:r>
        <w:rPr>
          <w:i w:val="0"/>
          <w:strike w:val="0"/>
          <w:spacing w:val="0"/>
          <w:u w:val="none"/>
        </w:rPr>
        <w:t>· 场景需求：</w:t>
      </w:r>
    </w:p>
    <w:p>
      <w:pPr>
        <w:snapToGrid w:val="1"/>
        <w:spacing w:line="240"/>
        <w:ind/>
        <w:rPr/>
      </w:pPr>
      <w:r>
        <w:rPr>
          <w:i w:val="0"/>
          <w:strike w:val="0"/>
          <w:spacing w:val="0"/>
          <w:u w:val="none"/>
        </w:rPr>
        <w:t xml:space="preserve">  · 算力运维/SRE部：需要能预测负载、动态分配GPU资源的智能调度Agent。</w:t>
      </w:r>
    </w:p>
    <w:p>
      <w:pPr>
        <w:snapToGrid w:val="1"/>
        <w:spacing w:line="240"/>
        <w:ind/>
        <w:rPr/>
      </w:pPr>
      <w:r>
        <w:rPr>
          <w:i w:val="0"/>
          <w:strike w:val="0"/>
          <w:spacing w:val="0"/>
          <w:u w:val="none"/>
        </w:rPr>
        <w:t xml:space="preserve">  · 第三方数据商：需要能智能监控API调用意图、防止恶意爬取的安全沙盒Agent。</w:t>
      </w:r>
    </w:p>
    <w:p>
      <w:pPr>
        <w:snapToGrid w:val="1"/>
        <w:spacing w:line="240"/>
        <w:ind/>
        <w:rPr/>
      </w:pPr>
      <w:r>
        <w:rPr>
          <w:i w:val="0"/>
          <w:strike w:val="0"/>
          <w:spacing w:val="0"/>
          <w:u w:val="none"/>
        </w:rPr>
        <w:t>· 技术需求：K8s容器化编排、GPU切片、隐私计算、意图识别算法。</w:t>
      </w:r>
    </w:p>
    <w:p>
      <w:pPr>
        <w:snapToGrid w:val="1"/>
        <w:spacing w:line="240"/>
        <w:ind/>
        <w:rPr/>
      </w:pPr>
      <w:r>
        <w:rPr>
          <w:i w:val="0"/>
          <w:strike w:val="0"/>
          <w:spacing w:val="0"/>
          <w:u w:val="none"/>
        </w:rPr>
        <w:t>· 政策驱动：符合数据安全法、要素市场化配置改革方向。</w:t>
      </w:r>
    </w:p>
    <w:p>
      <w:pPr>
        <w:snapToGrid w:val="1"/>
        <w:spacing w:line="240"/>
        <w:ind/>
        <w:rPr/>
      </w:pPr>
    </w:p>
    <w:p>
      <w:pPr>
        <w:snapToGrid w:val="1"/>
        <w:spacing w:line="240"/>
        <w:ind/>
        <w:rPr/>
      </w:pPr>
      <w:r>
        <w:rPr>
          <w:i w:val="0"/>
          <w:strike w:val="0"/>
          <w:spacing w:val="0"/>
          <w:u w:val="none"/>
        </w:rPr>
        <w:t>六、 监管机构与系统集成商（治理与交付端）</w:t>
      </w:r>
    </w:p>
    <w:p>
      <w:pPr>
        <w:snapToGrid w:val="1"/>
        <w:spacing w:line="240"/>
        <w:ind/>
        <w:rPr/>
      </w:pPr>
    </w:p>
    <w:p>
      <w:pPr>
        <w:snapToGrid w:val="1"/>
        <w:spacing w:line="240"/>
        <w:ind/>
        <w:rPr/>
      </w:pPr>
      <w:r>
        <w:rPr>
          <w:i w:val="0"/>
          <w:strike w:val="0"/>
          <w:spacing w:val="0"/>
          <w:u w:val="none"/>
        </w:rPr>
        <w:t>· 核心痛点：监管数据报送不及时、不完整；现场检查压力大；金融旧系统多，集成交付周期长。</w:t>
      </w:r>
    </w:p>
    <w:p>
      <w:pPr>
        <w:snapToGrid w:val="1"/>
        <w:spacing w:line="240"/>
        <w:ind/>
        <w:rPr/>
      </w:pPr>
      <w:r>
        <w:rPr>
          <w:i w:val="0"/>
          <w:strike w:val="0"/>
          <w:spacing w:val="0"/>
          <w:u w:val="none"/>
        </w:rPr>
        <w:t>· 业务需求：实现监管的实时穿透化与系统集成的敏捷化。</w:t>
      </w:r>
    </w:p>
    <w:p>
      <w:pPr>
        <w:snapToGrid w:val="1"/>
        <w:spacing w:line="240"/>
        <w:ind/>
        <w:rPr/>
      </w:pPr>
      <w:r>
        <w:rPr>
          <w:i w:val="0"/>
          <w:strike w:val="0"/>
          <w:spacing w:val="0"/>
          <w:u w:val="none"/>
        </w:rPr>
        <w:t>· 场景需求：</w:t>
      </w:r>
    </w:p>
    <w:p>
      <w:pPr>
        <w:snapToGrid w:val="1"/>
        <w:spacing w:line="240"/>
        <w:ind/>
        <w:rPr/>
      </w:pPr>
      <w:r>
        <w:rPr>
          <w:i w:val="0"/>
          <w:strike w:val="0"/>
          <w:spacing w:val="0"/>
          <w:u w:val="none"/>
        </w:rPr>
        <w:t xml:space="preserve">  · 监管机构/审计部：需要能自动调取机构数据、识别关联交易、审计AI决策逻辑的“监管Agent”。</w:t>
      </w:r>
    </w:p>
    <w:p>
      <w:pPr>
        <w:snapToGrid w:val="1"/>
        <w:spacing w:line="240"/>
        <w:ind/>
        <w:rPr/>
      </w:pPr>
      <w:r>
        <w:rPr>
          <w:i w:val="0"/>
          <w:strike w:val="0"/>
          <w:spacing w:val="0"/>
          <w:u w:val="none"/>
        </w:rPr>
        <w:t xml:space="preserve">  · 系统集成商/咨询商：需要能自动分析日志、挖掘流程、生成自动化蓝图的“交付Agent”。</w:t>
      </w:r>
    </w:p>
    <w:p>
      <w:pPr>
        <w:snapToGrid w:val="1"/>
        <w:spacing w:line="240"/>
        <w:ind/>
        <w:rPr/>
      </w:pPr>
      <w:r>
        <w:rPr>
          <w:i w:val="0"/>
          <w:strike w:val="0"/>
          <w:spacing w:val="0"/>
          <w:u w:val="none"/>
        </w:rPr>
        <w:t>· 技术需求：可解释AI（XAI）、智能合约、流程挖掘（Process Mining）。</w:t>
      </w:r>
    </w:p>
    <w:p>
      <w:pPr>
        <w:pStyle w:val="000005"/>
        <w:pBdr/>
        <w:snapToGrid w:val="1"/>
        <w:spacing w:before="260" w:after="260" w:line="360"/>
        <w:ind w:left="0" w:right="0"/>
        <w:jc w:val="both"/>
        <w:rPr>
          <w:i w:val="0"/>
          <w:strike w:val="0"/>
          <w:spacing w:val="0"/>
          <w:u w:val="none"/>
        </w:rPr>
      </w:pPr>
      <w:r>
        <w:rPr>
          <w:i w:val="0"/>
          <w:strike w:val="0"/>
          <w:spacing w:val="0"/>
          <w:u w:val="none"/>
        </w:rPr>
        <w:t>· 政策驱动：落实“监管科技（RegTech）”，提升金融风险防控能力。</w:t>
      </w:r>
    </w:p>
    <w:p>
      <w:pPr>
        <w:snapToGrid w:val="1"/>
        <w:spacing w:line="240"/>
        <w:ind/>
        <w:rPr/>
      </w:pPr>
      <w:r>
        <w:rPr>
          <w:i w:val="0"/>
          <w:strike w:val="0"/>
          <w:spacing w:val="0"/>
          <w:u w:val="none"/>
        </w:rPr>
        <w:t>七、 人力资源与高校（人才端）</w:t>
      </w:r>
    </w:p>
    <w:p>
      <w:pPr>
        <w:snapToGrid w:val="1"/>
        <w:spacing w:line="240"/>
        <w:ind/>
        <w:rPr/>
      </w:pPr>
    </w:p>
    <w:p>
      <w:pPr>
        <w:snapToGrid w:val="1"/>
        <w:spacing w:line="240"/>
        <w:ind/>
        <w:rPr/>
      </w:pPr>
      <w:r>
        <w:rPr>
          <w:i w:val="0"/>
          <w:strike w:val="0"/>
          <w:spacing w:val="0"/>
          <w:u w:val="none"/>
        </w:rPr>
        <w:t>· 核心痛点：人才筛选效率低、跨系统协同差，简历造假难识别；人才培养与金融业务实际脱节。</w:t>
      </w:r>
    </w:p>
    <w:p>
      <w:pPr>
        <w:snapToGrid w:val="1"/>
        <w:spacing w:line="240"/>
        <w:ind/>
        <w:rPr/>
      </w:pPr>
      <w:r>
        <w:rPr>
          <w:i w:val="0"/>
          <w:strike w:val="0"/>
          <w:spacing w:val="0"/>
          <w:u w:val="none"/>
        </w:rPr>
        <w:t>· 业务需求：实现人事管理全链路自动化与人才供需的精准化、前瞻性匹配。</w:t>
      </w:r>
    </w:p>
    <w:p>
      <w:pPr>
        <w:snapToGrid w:val="1"/>
        <w:spacing w:line="240"/>
        <w:ind/>
        <w:rPr/>
      </w:pPr>
      <w:r>
        <w:rPr>
          <w:i w:val="0"/>
          <w:strike w:val="0"/>
          <w:spacing w:val="0"/>
          <w:u w:val="none"/>
        </w:rPr>
        <w:t>· 场景需求：</w:t>
      </w:r>
    </w:p>
    <w:p>
      <w:pPr>
        <w:snapToGrid w:val="1"/>
        <w:spacing w:line="240"/>
        <w:ind/>
        <w:rPr/>
      </w:pPr>
      <w:r>
        <w:rPr>
          <w:i w:val="0"/>
          <w:strike w:val="0"/>
          <w:spacing w:val="0"/>
          <w:u w:val="none"/>
        </w:rPr>
        <w:t xml:space="preserve">  1. 员工管理：需实现从简历解析、背调核验到入职办理的全自动“鉴才Agent”。</w:t>
      </w:r>
    </w:p>
    <w:p>
      <w:pPr>
        <w:snapToGrid w:val="1"/>
        <w:spacing w:line="240"/>
        <w:ind/>
        <w:rPr/>
      </w:pPr>
      <w:r>
        <w:rPr>
          <w:i w:val="0"/>
          <w:strike w:val="0"/>
          <w:spacing w:val="0"/>
          <w:u w:val="none"/>
        </w:rPr>
        <w:t xml:space="preserve">  2. 人才规划：需打通多源数据，构建动态人才画像，支撑精准评估与梯队建设。</w:t>
      </w:r>
    </w:p>
    <w:p>
      <w:pPr>
        <w:snapToGrid w:val="1"/>
        <w:spacing w:line="240"/>
        <w:ind/>
        <w:rPr/>
      </w:pPr>
      <w:r>
        <w:rPr>
          <w:i w:val="0"/>
          <w:strike w:val="0"/>
          <w:spacing w:val="0"/>
          <w:u w:val="none"/>
        </w:rPr>
        <w:t xml:space="preserve">  3. 产教融合：需提供模拟真实金融场景的“仿真实验Agent”，培养懂技术、懂业务的复合型人才。</w:t>
      </w:r>
    </w:p>
    <w:p>
      <w:pPr>
        <w:snapToGrid w:val="1"/>
        <w:spacing w:line="240"/>
        <w:ind/>
        <w:rPr/>
      </w:pPr>
      <w:r>
        <w:rPr>
          <w:i w:val="0"/>
          <w:strike w:val="0"/>
          <w:spacing w:val="0"/>
          <w:u w:val="none"/>
        </w:rPr>
        <w:t>· 技术需求：简历解析与验真API、知识图谱构建、RPA流程自动化、虚拟仿真环境。</w:t>
      </w:r>
    </w:p>
    <w:p>
      <w:pPr>
        <w:pStyle w:val="000005"/>
        <w:pBdr/>
        <w:snapToGrid w:val="1"/>
        <w:spacing w:before="260" w:after="260" w:line="360"/>
        <w:ind w:left="0" w:right="0"/>
        <w:jc w:val="both"/>
        <w:rPr>
          <w:i w:val="0"/>
          <w:strike w:val="0"/>
          <w:spacing w:val="0"/>
          <w:u w:val="none"/>
        </w:rPr>
      </w:pPr>
      <w:r>
        <w:rPr>
          <w:i w:val="0"/>
          <w:strike w:val="0"/>
          <w:spacing w:val="0"/>
          <w:u w:val="none"/>
        </w:rPr>
        <w:t>· 政策与趋势驱动：响应“产教融合”政策，为金融智能化转型储备核心人力资本。</w:t>
      </w:r>
    </w:p>
    <w:p>
      <w:pPr>
        <w:pStyle w:val="000008"/>
        <w:pBdr/>
        <w:snapToGrid w:val="1"/>
        <w:spacing w:before="260" w:after="260" w:line="360"/>
        <w:ind w:left="0" w:right="0"/>
        <w:jc w:val="both"/>
        <w:rPr>
          <w:rFonts w:ascii="宋体" w:hAnsi="宋体" w:eastAsia="宋体" w:cs="宋体"/>
          <w:i w:val="0"/>
          <w:strike w:val="0"/>
          <w:color w:val="000000"/>
          <w:sz w:val="32"/>
          <w:u w:val="none"/>
        </w:rPr>
      </w:pPr>
      <w:r>
        <w:rPr>
          <w:rFonts w:ascii="Calibri Light" w:hAnsi="Calibri Light" w:cs="Calibri Light"/>
          <w:i w:val="0"/>
          <w:strike w:val="0"/>
          <w:color w:val="000000"/>
          <w:sz w:val="32"/>
          <w:u w:val="none"/>
        </w:rPr>
        <w:t>4.3</w:t>
      </w:r>
      <w:r>
        <w:rPr>
          <w:rFonts w:ascii="宋体" w:hAnsi="宋体" w:eastAsia="宋体" w:cs="宋体"/>
          <w:i w:val="0"/>
          <w:strike w:val="0"/>
          <w:color w:val="000000"/>
          <w:sz w:val="32"/>
          <w:u w:val="none"/>
        </w:rPr>
        <w:t>价值创造总结</w:t>
      </w:r>
    </w:p>
    <w:p>
      <w:pPr>
        <w:snapToGrid w:val="1"/>
        <w:spacing w:line="240"/>
        <w:ind/>
        <w:rPr/>
      </w:pPr>
      <w:r>
        <w:rPr>
          <w:i w:val="0"/>
          <w:strike w:val="0"/>
          <w:spacing w:val="0"/>
          <w:u w:val="none"/>
        </w:rPr>
        <w:t>（一）运营效率革命性提升</w:t>
      </w:r>
    </w:p>
    <w:p>
      <w:pPr>
        <w:snapToGrid w:val="1"/>
        <w:spacing w:line="240"/>
        <w:ind/>
        <w:rPr/>
      </w:pPr>
    </w:p>
    <w:p>
      <w:pPr>
        <w:snapToGrid w:val="1"/>
        <w:spacing w:line="240"/>
        <w:ind/>
        <w:rPr/>
      </w:pPr>
      <w:r>
        <w:rPr>
          <w:i w:val="0"/>
          <w:strike w:val="0"/>
          <w:spacing w:val="0"/>
          <w:u w:val="none"/>
        </w:rPr>
        <w:t>核心表现：</w:t>
      </w:r>
    </w:p>
    <w:p>
      <w:pPr>
        <w:snapToGrid w:val="1"/>
        <w:spacing w:line="240"/>
        <w:ind/>
        <w:rPr/>
      </w:pPr>
    </w:p>
    <w:p>
      <w:pPr>
        <w:snapToGrid w:val="1"/>
        <w:spacing w:line="240"/>
        <w:ind/>
        <w:rPr/>
      </w:pPr>
      <w:r>
        <w:rPr>
          <w:i w:val="0"/>
          <w:strike w:val="0"/>
          <w:spacing w:val="0"/>
          <w:u w:val="none"/>
        </w:rPr>
        <w:t>· 时间压缩：将原本需要数小时至数天的业务流程压缩至分钟级乃至秒级</w:t>
      </w:r>
    </w:p>
    <w:p>
      <w:pPr>
        <w:snapToGrid w:val="1"/>
        <w:spacing w:line="240"/>
        <w:ind/>
        <w:rPr/>
      </w:pPr>
      <w:r>
        <w:rPr>
          <w:i w:val="0"/>
          <w:strike w:val="0"/>
          <w:spacing w:val="0"/>
          <w:u w:val="none"/>
        </w:rPr>
        <w:t xml:space="preserve">  · 反洗钱调查从数日缩短至实时监控</w:t>
      </w:r>
    </w:p>
    <w:p>
      <w:pPr>
        <w:snapToGrid w:val="1"/>
        <w:spacing w:line="240"/>
        <w:ind/>
        <w:rPr/>
      </w:pPr>
      <w:r>
        <w:rPr>
          <w:i w:val="0"/>
          <w:strike w:val="0"/>
          <w:spacing w:val="0"/>
          <w:u w:val="none"/>
        </w:rPr>
        <w:t xml:space="preserve">  · 贷款审批从天级降至分钟级</w:t>
      </w:r>
    </w:p>
    <w:p>
      <w:pPr>
        <w:snapToGrid w:val="1"/>
        <w:spacing w:line="240"/>
        <w:ind/>
        <w:rPr/>
      </w:pPr>
      <w:r>
        <w:rPr>
          <w:i w:val="0"/>
          <w:strike w:val="0"/>
          <w:spacing w:val="0"/>
          <w:u w:val="none"/>
        </w:rPr>
        <w:t xml:space="preserve">  · 理赔处理从数周缩减至“秒赔”</w:t>
      </w:r>
    </w:p>
    <w:p>
      <w:pPr>
        <w:snapToGrid w:val="1"/>
        <w:spacing w:line="240"/>
        <w:ind/>
        <w:rPr/>
      </w:pPr>
      <w:r>
        <w:rPr>
          <w:i w:val="0"/>
          <w:strike w:val="0"/>
          <w:spacing w:val="0"/>
          <w:u w:val="none"/>
        </w:rPr>
        <w:t>· 人力释放：将员工从重复性、低价值的劳动中解放</w:t>
      </w:r>
    </w:p>
    <w:p>
      <w:pPr>
        <w:snapToGrid w:val="1"/>
        <w:spacing w:line="240"/>
        <w:ind/>
        <w:rPr/>
      </w:pPr>
      <w:r>
        <w:rPr>
          <w:i w:val="0"/>
          <w:strike w:val="0"/>
          <w:spacing w:val="0"/>
          <w:u w:val="none"/>
        </w:rPr>
        <w:t xml:space="preserve">  · 合规人员从手工报表转向风险分析</w:t>
      </w:r>
    </w:p>
    <w:p>
      <w:pPr>
        <w:snapToGrid w:val="1"/>
        <w:spacing w:line="240"/>
        <w:ind/>
        <w:rPr/>
      </w:pPr>
      <w:r>
        <w:rPr>
          <w:i w:val="0"/>
          <w:strike w:val="0"/>
          <w:spacing w:val="0"/>
          <w:u w:val="none"/>
        </w:rPr>
        <w:t xml:space="preserve">  · 财务人员从机械对账转向预算管理</w:t>
      </w:r>
    </w:p>
    <w:p>
      <w:pPr>
        <w:snapToGrid w:val="1"/>
        <w:spacing w:line="240"/>
        <w:ind/>
        <w:rPr/>
      </w:pPr>
      <w:r>
        <w:rPr>
          <w:i w:val="0"/>
          <w:strike w:val="0"/>
          <w:spacing w:val="0"/>
          <w:u w:val="none"/>
        </w:rPr>
        <w:t xml:space="preserve">  · 研究员从信息搜集转向策略制定</w:t>
      </w:r>
    </w:p>
    <w:p>
      <w:pPr>
        <w:snapToGrid w:val="1"/>
        <w:spacing w:line="240"/>
        <w:ind/>
        <w:rPr/>
      </w:pPr>
      <w:r>
        <w:rPr>
          <w:i w:val="0"/>
          <w:strike w:val="0"/>
          <w:spacing w:val="0"/>
          <w:u w:val="none"/>
        </w:rPr>
        <w:t>· 规模效应：实现7×24小时不间断运营</w:t>
      </w:r>
    </w:p>
    <w:p>
      <w:pPr>
        <w:snapToGrid w:val="1"/>
        <w:spacing w:line="240"/>
        <w:ind/>
        <w:rPr/>
      </w:pPr>
      <w:r>
        <w:rPr>
          <w:i w:val="0"/>
          <w:strike w:val="0"/>
          <w:spacing w:val="0"/>
          <w:u w:val="none"/>
        </w:rPr>
        <w:t xml:space="preserve">  · 交易监控全覆盖无盲区</w:t>
      </w:r>
    </w:p>
    <w:p>
      <w:pPr>
        <w:snapToGrid w:val="1"/>
        <w:spacing w:line="240"/>
        <w:ind/>
        <w:rPr/>
      </w:pPr>
      <w:r>
        <w:rPr>
          <w:i w:val="0"/>
          <w:strike w:val="0"/>
          <w:spacing w:val="0"/>
          <w:u w:val="none"/>
        </w:rPr>
        <w:t xml:space="preserve">  · 客户服务全天候响应</w:t>
      </w:r>
    </w:p>
    <w:p>
      <w:pPr>
        <w:snapToGrid w:val="1"/>
        <w:spacing w:line="240"/>
        <w:ind/>
        <w:rPr/>
      </w:pPr>
      <w:r>
        <w:rPr>
          <w:i w:val="0"/>
          <w:strike w:val="0"/>
          <w:spacing w:val="0"/>
          <w:u w:val="none"/>
        </w:rPr>
        <w:t xml:space="preserve">  · 报表报送零延迟</w:t>
      </w:r>
    </w:p>
    <w:p>
      <w:pPr>
        <w:snapToGrid w:val="1"/>
        <w:spacing w:line="240"/>
        <w:ind/>
        <w:rPr/>
      </w:pPr>
    </w:p>
    <w:p>
      <w:pPr>
        <w:snapToGrid w:val="1"/>
        <w:spacing w:line="240"/>
        <w:ind/>
        <w:rPr/>
      </w:pPr>
      <w:r>
        <w:rPr>
          <w:i w:val="0"/>
          <w:strike w:val="0"/>
          <w:spacing w:val="0"/>
          <w:u w:val="none"/>
        </w:rPr>
        <w:t>（二）风险控制范式重构</w:t>
      </w:r>
    </w:p>
    <w:p>
      <w:pPr>
        <w:snapToGrid w:val="1"/>
        <w:spacing w:line="240"/>
        <w:ind/>
        <w:rPr/>
      </w:pPr>
    </w:p>
    <w:p>
      <w:pPr>
        <w:snapToGrid w:val="1"/>
        <w:spacing w:line="240"/>
        <w:ind/>
        <w:rPr/>
      </w:pPr>
      <w:r>
        <w:rPr>
          <w:i w:val="0"/>
          <w:strike w:val="0"/>
          <w:spacing w:val="0"/>
          <w:u w:val="none"/>
        </w:rPr>
        <w:t>核心表现：</w:t>
      </w:r>
    </w:p>
    <w:p>
      <w:pPr>
        <w:snapToGrid w:val="1"/>
        <w:spacing w:line="240"/>
        <w:ind/>
        <w:rPr/>
      </w:pPr>
    </w:p>
    <w:p>
      <w:pPr>
        <w:snapToGrid w:val="1"/>
        <w:spacing w:line="240"/>
        <w:ind/>
        <w:rPr/>
      </w:pPr>
      <w:r>
        <w:rPr>
          <w:i w:val="0"/>
          <w:strike w:val="0"/>
          <w:spacing w:val="0"/>
          <w:u w:val="none"/>
        </w:rPr>
        <w:t>· 从“人工抽查”到“全面监控”</w:t>
      </w:r>
    </w:p>
    <w:p>
      <w:pPr>
        <w:snapToGrid w:val="1"/>
        <w:spacing w:line="240"/>
        <w:ind/>
        <w:rPr/>
      </w:pPr>
      <w:r>
        <w:rPr>
          <w:i w:val="0"/>
          <w:strike w:val="0"/>
          <w:spacing w:val="0"/>
          <w:u w:val="none"/>
        </w:rPr>
        <w:t xml:space="preserve">  · 可疑交易筛查覆盖率从抽样提升至100%</w:t>
      </w:r>
    </w:p>
    <w:p>
      <w:pPr>
        <w:snapToGrid w:val="1"/>
        <w:spacing w:line="240"/>
        <w:ind/>
        <w:rPr/>
      </w:pPr>
      <w:r>
        <w:rPr>
          <w:i w:val="0"/>
          <w:strike w:val="0"/>
          <w:spacing w:val="0"/>
          <w:u w:val="none"/>
        </w:rPr>
        <w:t xml:space="preserve">  · 合规检查从定期转向实时持续</w:t>
      </w:r>
    </w:p>
    <w:p>
      <w:pPr>
        <w:snapToGrid w:val="1"/>
        <w:spacing w:line="240"/>
        <w:ind/>
        <w:rPr/>
      </w:pPr>
      <w:r>
        <w:rPr>
          <w:i w:val="0"/>
          <w:strike w:val="0"/>
          <w:spacing w:val="0"/>
          <w:u w:val="none"/>
        </w:rPr>
        <w:t>· 从“经验判断”到“规则驱动”</w:t>
      </w:r>
    </w:p>
    <w:p>
      <w:pPr>
        <w:snapToGrid w:val="1"/>
        <w:spacing w:line="240"/>
        <w:ind/>
        <w:rPr/>
      </w:pPr>
      <w:r>
        <w:rPr>
          <w:i w:val="0"/>
          <w:strike w:val="0"/>
          <w:spacing w:val="0"/>
          <w:u w:val="none"/>
        </w:rPr>
        <w:t xml:space="preserve">  · 反洗钱规则执行标准化，消除人为偏差</w:t>
      </w:r>
    </w:p>
    <w:p>
      <w:pPr>
        <w:snapToGrid w:val="1"/>
        <w:spacing w:line="240"/>
        <w:ind/>
        <w:rPr/>
      </w:pPr>
      <w:r>
        <w:rPr>
          <w:i w:val="0"/>
          <w:strike w:val="0"/>
          <w:spacing w:val="0"/>
          <w:u w:val="none"/>
        </w:rPr>
        <w:t xml:space="preserve">  · 信贷审批基于量化模型，减少主观因素</w:t>
      </w:r>
    </w:p>
    <w:p>
      <w:pPr>
        <w:snapToGrid w:val="1"/>
        <w:spacing w:line="240"/>
        <w:ind/>
        <w:rPr/>
      </w:pPr>
      <w:r>
        <w:rPr>
          <w:i w:val="0"/>
          <w:strike w:val="0"/>
          <w:spacing w:val="0"/>
          <w:u w:val="none"/>
        </w:rPr>
        <w:t>· 从“事后补救”到“事前预警”</w:t>
      </w:r>
    </w:p>
    <w:p>
      <w:pPr>
        <w:snapToGrid w:val="1"/>
        <w:spacing w:line="240"/>
        <w:ind/>
        <w:rPr/>
      </w:pPr>
      <w:r>
        <w:rPr>
          <w:i w:val="0"/>
          <w:strike w:val="0"/>
          <w:spacing w:val="0"/>
          <w:u w:val="none"/>
        </w:rPr>
        <w:t xml:space="preserve">  · 实时识别异常模式并提前预警</w:t>
      </w:r>
    </w:p>
    <w:p>
      <w:pPr>
        <w:snapToGrid w:val="1"/>
        <w:spacing w:line="240"/>
        <w:ind/>
        <w:rPr/>
      </w:pPr>
      <w:r>
        <w:rPr>
          <w:i w:val="0"/>
          <w:strike w:val="0"/>
          <w:spacing w:val="0"/>
          <w:u w:val="none"/>
        </w:rPr>
        <w:t xml:space="preserve">  · 建立风险预测模型预防潜在问题</w:t>
      </w:r>
    </w:p>
    <w:p>
      <w:pPr>
        <w:snapToGrid w:val="1"/>
        <w:spacing w:line="240"/>
        <w:ind/>
        <w:rPr/>
      </w:pPr>
    </w:p>
    <w:p>
      <w:pPr>
        <w:snapToGrid w:val="1"/>
        <w:spacing w:line="240"/>
        <w:ind/>
        <w:rPr/>
      </w:pPr>
      <w:r>
        <w:rPr>
          <w:i w:val="0"/>
          <w:strike w:val="0"/>
          <w:spacing w:val="0"/>
          <w:u w:val="none"/>
        </w:rPr>
        <w:t>（三）服务质量根本性改善</w:t>
      </w:r>
    </w:p>
    <w:p>
      <w:pPr>
        <w:snapToGrid w:val="1"/>
        <w:spacing w:line="240"/>
        <w:ind/>
        <w:rPr/>
      </w:pPr>
    </w:p>
    <w:p>
      <w:pPr>
        <w:snapToGrid w:val="1"/>
        <w:spacing w:line="240"/>
        <w:ind/>
        <w:rPr/>
      </w:pPr>
      <w:r>
        <w:rPr>
          <w:i w:val="0"/>
          <w:strike w:val="0"/>
          <w:spacing w:val="0"/>
          <w:u w:val="none"/>
        </w:rPr>
        <w:t>核心表现：</w:t>
      </w:r>
    </w:p>
    <w:p>
      <w:pPr>
        <w:snapToGrid w:val="1"/>
        <w:spacing w:line="240"/>
        <w:ind/>
        <w:rPr/>
      </w:pPr>
    </w:p>
    <w:p>
      <w:pPr>
        <w:snapToGrid w:val="1"/>
        <w:spacing w:line="240"/>
        <w:ind/>
        <w:rPr/>
      </w:pPr>
      <w:r>
        <w:rPr>
          <w:i w:val="0"/>
          <w:strike w:val="0"/>
          <w:spacing w:val="0"/>
          <w:u w:val="none"/>
        </w:rPr>
        <w:t>· 普惠金融可得性</w:t>
      </w:r>
    </w:p>
    <w:p>
      <w:pPr>
        <w:snapToGrid w:val="1"/>
        <w:spacing w:line="240"/>
        <w:ind/>
        <w:rPr/>
      </w:pPr>
      <w:r>
        <w:rPr>
          <w:i w:val="0"/>
          <w:strike w:val="0"/>
          <w:spacing w:val="0"/>
          <w:u w:val="none"/>
        </w:rPr>
        <w:t xml:space="preserve">  · 小微贷款审批门槛降低，覆盖更多长尾客户</w:t>
      </w:r>
    </w:p>
    <w:p>
      <w:pPr>
        <w:snapToGrid w:val="1"/>
        <w:spacing w:line="240"/>
        <w:ind/>
        <w:rPr/>
      </w:pPr>
      <w:r>
        <w:rPr>
          <w:i w:val="0"/>
          <w:strike w:val="0"/>
          <w:spacing w:val="0"/>
          <w:u w:val="none"/>
        </w:rPr>
        <w:t xml:space="preserve">  · 涉农信贷流程简化，服务下沉至县域乡村</w:t>
      </w:r>
    </w:p>
    <w:p>
      <w:pPr>
        <w:snapToGrid w:val="1"/>
        <w:spacing w:line="240"/>
        <w:ind/>
        <w:rPr/>
      </w:pPr>
      <w:r>
        <w:rPr>
          <w:i w:val="0"/>
          <w:strike w:val="0"/>
          <w:spacing w:val="0"/>
          <w:u w:val="none"/>
        </w:rPr>
        <w:t xml:space="preserve">  · 适老化改造，让老年群体享受数字便利</w:t>
      </w:r>
    </w:p>
    <w:p>
      <w:pPr>
        <w:snapToGrid w:val="1"/>
        <w:spacing w:line="240"/>
        <w:ind/>
        <w:rPr/>
      </w:pPr>
      <w:r>
        <w:rPr>
          <w:i w:val="0"/>
          <w:strike w:val="0"/>
          <w:spacing w:val="0"/>
          <w:u w:val="none"/>
        </w:rPr>
        <w:t>· 客户体验优化</w:t>
      </w:r>
    </w:p>
    <w:p>
      <w:pPr>
        <w:snapToGrid w:val="1"/>
        <w:spacing w:line="240"/>
        <w:ind/>
        <w:rPr/>
      </w:pPr>
      <w:r>
        <w:rPr>
          <w:i w:val="0"/>
          <w:strike w:val="0"/>
          <w:spacing w:val="0"/>
          <w:u w:val="none"/>
        </w:rPr>
        <w:t xml:space="preserve">  · 业务办理从“多次跑腿”到“一次不用跑”</w:t>
      </w:r>
    </w:p>
    <w:p>
      <w:pPr>
        <w:snapToGrid w:val="1"/>
        <w:spacing w:line="240"/>
        <w:ind/>
        <w:rPr/>
      </w:pPr>
      <w:r>
        <w:rPr>
          <w:i w:val="0"/>
          <w:strike w:val="0"/>
          <w:spacing w:val="0"/>
          <w:u w:val="none"/>
        </w:rPr>
        <w:t xml:space="preserve">  · 响应速度从“工作日处理”到“实时响应”</w:t>
      </w:r>
    </w:p>
    <w:p>
      <w:pPr>
        <w:snapToGrid w:val="1"/>
        <w:spacing w:line="240"/>
        <w:ind/>
        <w:rPr/>
      </w:pPr>
      <w:r>
        <w:rPr>
          <w:i w:val="0"/>
          <w:strike w:val="0"/>
          <w:spacing w:val="0"/>
          <w:u w:val="none"/>
        </w:rPr>
        <w:t xml:space="preserve">  · 服务精度从“人工误差”到“零差错”</w:t>
      </w:r>
    </w:p>
    <w:p>
      <w:pPr>
        <w:snapToGrid w:val="1"/>
        <w:spacing w:line="240"/>
        <w:ind/>
        <w:rPr/>
      </w:pPr>
      <w:r>
        <w:rPr>
          <w:i w:val="0"/>
          <w:strike w:val="0"/>
          <w:spacing w:val="0"/>
          <w:u w:val="none"/>
        </w:rPr>
        <w:t>· 产品创新加速</w:t>
      </w:r>
    </w:p>
    <w:p>
      <w:pPr>
        <w:snapToGrid w:val="1"/>
        <w:spacing w:line="240"/>
        <w:ind/>
        <w:rPr/>
      </w:pPr>
      <w:r>
        <w:rPr>
          <w:i w:val="0"/>
          <w:strike w:val="0"/>
          <w:spacing w:val="0"/>
          <w:u w:val="none"/>
        </w:rPr>
        <w:t xml:space="preserve">  · 绿色金融产品快速适配监管要求</w:t>
      </w:r>
    </w:p>
    <w:p>
      <w:pPr>
        <w:snapToGrid w:val="1"/>
        <w:spacing w:line="240"/>
        <w:ind/>
        <w:rPr/>
      </w:pPr>
      <w:r>
        <w:rPr>
          <w:i w:val="0"/>
          <w:strike w:val="0"/>
          <w:spacing w:val="0"/>
          <w:u w:val="none"/>
        </w:rPr>
        <w:t xml:space="preserve">  · 个性化保险方案基于数据精准定价</w:t>
      </w:r>
    </w:p>
    <w:p>
      <w:pPr>
        <w:snapToGrid w:val="1"/>
        <w:spacing w:line="240"/>
        <w:ind/>
        <w:rPr/>
      </w:pPr>
      <w:r>
        <w:rPr>
          <w:i w:val="0"/>
          <w:strike w:val="0"/>
          <w:spacing w:val="0"/>
          <w:u w:val="none"/>
        </w:rPr>
        <w:t xml:space="preserve">  · 智能投顾服务实现大众化普及</w:t>
      </w:r>
    </w:p>
    <w:p>
      <w:pPr>
        <w:snapToGrid w:val="1"/>
        <w:spacing w:line="240"/>
        <w:ind/>
        <w:rPr/>
      </w:pPr>
    </w:p>
    <w:p>
      <w:pPr>
        <w:snapToGrid w:val="1"/>
        <w:spacing w:line="240"/>
        <w:ind/>
        <w:rPr/>
      </w:pPr>
      <w:r>
        <w:rPr>
          <w:i w:val="0"/>
          <w:strike w:val="0"/>
          <w:spacing w:val="0"/>
          <w:u w:val="none"/>
        </w:rPr>
        <w:t>（四）成本结构战略性优化</w:t>
      </w:r>
    </w:p>
    <w:p>
      <w:pPr>
        <w:snapToGrid w:val="1"/>
        <w:spacing w:line="240"/>
        <w:ind/>
        <w:rPr/>
      </w:pPr>
    </w:p>
    <w:p>
      <w:pPr>
        <w:snapToGrid w:val="1"/>
        <w:spacing w:line="240"/>
        <w:ind/>
        <w:rPr/>
      </w:pPr>
      <w:r>
        <w:rPr>
          <w:i w:val="0"/>
          <w:strike w:val="0"/>
          <w:spacing w:val="0"/>
          <w:u w:val="none"/>
        </w:rPr>
        <w:t>核心表现：</w:t>
      </w:r>
    </w:p>
    <w:p>
      <w:pPr>
        <w:snapToGrid w:val="1"/>
        <w:spacing w:line="240"/>
        <w:ind/>
        <w:rPr/>
      </w:pPr>
    </w:p>
    <w:p>
      <w:pPr>
        <w:snapToGrid w:val="1"/>
        <w:spacing w:line="240"/>
        <w:ind/>
        <w:rPr/>
      </w:pPr>
      <w:r>
        <w:rPr>
          <w:i w:val="0"/>
          <w:strike w:val="0"/>
          <w:spacing w:val="0"/>
          <w:u w:val="none"/>
        </w:rPr>
        <w:t>· 边际成本趋零</w:t>
      </w:r>
    </w:p>
    <w:p>
      <w:pPr>
        <w:snapToGrid w:val="1"/>
        <w:spacing w:line="240"/>
        <w:ind/>
        <w:rPr/>
      </w:pPr>
      <w:r>
        <w:rPr>
          <w:i w:val="0"/>
          <w:strike w:val="0"/>
          <w:spacing w:val="0"/>
          <w:u w:val="none"/>
        </w:rPr>
        <w:t xml:space="preserve">  · 单笔交易处理成本下降80-90%</w:t>
      </w:r>
    </w:p>
    <w:p>
      <w:pPr>
        <w:snapToGrid w:val="1"/>
        <w:spacing w:line="240"/>
        <w:ind/>
        <w:rPr/>
      </w:pPr>
      <w:r>
        <w:rPr>
          <w:i w:val="0"/>
          <w:strike w:val="0"/>
          <w:spacing w:val="0"/>
          <w:u w:val="none"/>
        </w:rPr>
        <w:t xml:space="preserve">  · 规模扩张无需线性增加人力成本</w:t>
      </w:r>
    </w:p>
    <w:p>
      <w:pPr>
        <w:snapToGrid w:val="1"/>
        <w:spacing w:line="240"/>
        <w:ind/>
        <w:rPr/>
      </w:pPr>
      <w:r>
        <w:rPr>
          <w:i w:val="0"/>
          <w:strike w:val="0"/>
          <w:spacing w:val="0"/>
          <w:u w:val="none"/>
        </w:rPr>
        <w:t>· 错误成本大幅降低</w:t>
      </w:r>
    </w:p>
    <w:p>
      <w:pPr>
        <w:snapToGrid w:val="1"/>
        <w:spacing w:line="240"/>
        <w:ind/>
        <w:rPr/>
      </w:pPr>
      <w:r>
        <w:rPr>
          <w:i w:val="0"/>
          <w:strike w:val="0"/>
          <w:spacing w:val="0"/>
          <w:u w:val="none"/>
        </w:rPr>
        <w:t xml:space="preserve">  · 操作风险损失减少50%以上</w:t>
      </w:r>
    </w:p>
    <w:p>
      <w:pPr>
        <w:snapToGrid w:val="1"/>
        <w:spacing w:line="240"/>
        <w:ind/>
        <w:rPr/>
      </w:pPr>
      <w:r>
        <w:rPr>
          <w:i w:val="0"/>
          <w:strike w:val="0"/>
          <w:spacing w:val="0"/>
          <w:u w:val="none"/>
        </w:rPr>
        <w:t xml:space="preserve">  · 合规处罚风险显著下降</w:t>
      </w:r>
    </w:p>
    <w:p>
      <w:pPr>
        <w:snapToGrid w:val="1"/>
        <w:spacing w:line="240"/>
        <w:ind/>
        <w:rPr/>
      </w:pPr>
      <w:r>
        <w:rPr>
          <w:i w:val="0"/>
          <w:strike w:val="0"/>
          <w:spacing w:val="0"/>
          <w:u w:val="none"/>
        </w:rPr>
        <w:t>· 管理成本优化</w:t>
      </w:r>
    </w:p>
    <w:p>
      <w:pPr>
        <w:snapToGrid w:val="1"/>
        <w:spacing w:line="240"/>
        <w:ind/>
        <w:rPr/>
      </w:pPr>
      <w:r>
        <w:rPr>
          <w:i w:val="0"/>
          <w:strike w:val="0"/>
          <w:spacing w:val="0"/>
          <w:u w:val="none"/>
        </w:rPr>
        <w:t xml:space="preserve">  · 减少中间审批环节</w:t>
      </w:r>
    </w:p>
    <w:p>
      <w:pPr>
        <w:snapToGrid w:val="1"/>
        <w:spacing w:line="240"/>
        <w:ind/>
        <w:rPr/>
      </w:pPr>
      <w:r>
        <w:rPr>
          <w:i w:val="0"/>
          <w:strike w:val="0"/>
          <w:spacing w:val="0"/>
          <w:u w:val="none"/>
        </w:rPr>
        <w:t xml:space="preserve">  · 降低培训和管理复杂度</w:t>
      </w:r>
    </w:p>
    <w:p>
      <w:pPr>
        <w:snapToGrid w:val="1"/>
        <w:spacing w:line="240"/>
        <w:ind/>
        <w:rPr/>
      </w:pPr>
    </w:p>
    <w:p>
      <w:pPr>
        <w:snapToGrid w:val="1"/>
        <w:spacing w:line="240"/>
        <w:ind/>
        <w:rPr/>
      </w:pPr>
      <w:r>
        <w:rPr>
          <w:i w:val="0"/>
          <w:strike w:val="0"/>
          <w:spacing w:val="0"/>
          <w:u w:val="none"/>
        </w:rPr>
        <w:t>（五）合规治理现代化转型</w:t>
      </w:r>
    </w:p>
    <w:p>
      <w:pPr>
        <w:snapToGrid w:val="1"/>
        <w:spacing w:line="240"/>
        <w:ind/>
        <w:rPr/>
      </w:pPr>
    </w:p>
    <w:p>
      <w:pPr>
        <w:snapToGrid w:val="1"/>
        <w:spacing w:line="240"/>
        <w:ind/>
        <w:rPr/>
      </w:pPr>
      <w:r>
        <w:rPr>
          <w:i w:val="0"/>
          <w:strike w:val="0"/>
          <w:spacing w:val="0"/>
          <w:u w:val="none"/>
        </w:rPr>
        <w:t>核心表现：</w:t>
      </w:r>
    </w:p>
    <w:p>
      <w:pPr>
        <w:snapToGrid w:val="1"/>
        <w:spacing w:line="240"/>
        <w:ind/>
        <w:rPr/>
      </w:pPr>
    </w:p>
    <w:p>
      <w:pPr>
        <w:snapToGrid w:val="1"/>
        <w:spacing w:line="240"/>
        <w:ind/>
        <w:rPr/>
      </w:pPr>
      <w:r>
        <w:rPr>
          <w:i w:val="0"/>
          <w:strike w:val="0"/>
          <w:spacing w:val="0"/>
          <w:u w:val="none"/>
        </w:rPr>
        <w:t>· 审计可追溯性</w:t>
      </w:r>
    </w:p>
    <w:p>
      <w:pPr>
        <w:snapToGrid w:val="1"/>
        <w:spacing w:line="240"/>
        <w:ind/>
        <w:rPr/>
      </w:pPr>
      <w:r>
        <w:rPr>
          <w:i w:val="0"/>
          <w:strike w:val="0"/>
          <w:spacing w:val="0"/>
          <w:u w:val="none"/>
        </w:rPr>
        <w:t xml:space="preserve">  · 每一步操作完整记录，形成不可篡改证据链</w:t>
      </w:r>
    </w:p>
    <w:p>
      <w:pPr>
        <w:snapToGrid w:val="1"/>
        <w:spacing w:line="240"/>
        <w:ind/>
        <w:rPr/>
      </w:pPr>
      <w:r>
        <w:rPr>
          <w:i w:val="0"/>
          <w:strike w:val="0"/>
          <w:spacing w:val="0"/>
          <w:u w:val="none"/>
        </w:rPr>
        <w:t xml:space="preserve">  · 满足监管“留痕管理”要求</w:t>
      </w:r>
    </w:p>
    <w:p>
      <w:pPr>
        <w:snapToGrid w:val="1"/>
        <w:spacing w:line="240"/>
        <w:ind/>
        <w:rPr/>
      </w:pPr>
      <w:r>
        <w:rPr>
          <w:i w:val="0"/>
          <w:strike w:val="0"/>
          <w:spacing w:val="0"/>
          <w:u w:val="none"/>
        </w:rPr>
        <w:t>· 标准一致性</w:t>
      </w:r>
    </w:p>
    <w:p>
      <w:pPr>
        <w:snapToGrid w:val="1"/>
        <w:spacing w:line="240"/>
        <w:ind/>
        <w:rPr/>
      </w:pPr>
      <w:r>
        <w:rPr>
          <w:i w:val="0"/>
          <w:strike w:val="0"/>
          <w:spacing w:val="0"/>
          <w:u w:val="none"/>
        </w:rPr>
        <w:t xml:space="preserve">  · 全机构统一执行监管规则</w:t>
      </w:r>
    </w:p>
    <w:p>
      <w:pPr>
        <w:snapToGrid w:val="1"/>
        <w:spacing w:line="240"/>
        <w:ind/>
        <w:rPr/>
      </w:pPr>
      <w:r>
        <w:rPr>
          <w:i w:val="0"/>
          <w:strike w:val="0"/>
          <w:spacing w:val="0"/>
          <w:u w:val="none"/>
        </w:rPr>
        <w:t xml:space="preserve">  · 消除不同分支机构执行差异</w:t>
      </w:r>
    </w:p>
    <w:p>
      <w:pPr>
        <w:snapToGrid w:val="1"/>
        <w:spacing w:line="240"/>
        <w:ind/>
        <w:rPr/>
      </w:pPr>
      <w:r>
        <w:rPr>
          <w:i w:val="0"/>
          <w:strike w:val="0"/>
          <w:spacing w:val="0"/>
          <w:u w:val="none"/>
        </w:rPr>
        <w:t>· 响应敏捷性</w:t>
      </w:r>
    </w:p>
    <w:p>
      <w:pPr>
        <w:snapToGrid w:val="1"/>
        <w:spacing w:line="240"/>
        <w:ind/>
        <w:rPr/>
      </w:pPr>
      <w:r>
        <w:rPr>
          <w:i w:val="0"/>
          <w:strike w:val="0"/>
          <w:spacing w:val="0"/>
          <w:u w:val="none"/>
        </w:rPr>
        <w:t xml:space="preserve">  · 快速适应监管规则变化</w:t>
      </w:r>
    </w:p>
    <w:p>
      <w:pPr>
        <w:snapToGrid w:val="1"/>
        <w:spacing w:line="240"/>
        <w:ind/>
        <w:rPr/>
      </w:pPr>
      <w:r>
        <w:rPr>
          <w:i w:val="0"/>
          <w:strike w:val="0"/>
          <w:spacing w:val="0"/>
          <w:u w:val="none"/>
        </w:rPr>
        <w:t xml:space="preserve">  · 实时调整合规策略</w:t>
      </w:r>
    </w:p>
    <w:p>
      <w:pPr>
        <w:snapToGrid w:val="1"/>
        <w:spacing w:line="240"/>
        <w:ind/>
        <w:rPr/>
      </w:pPr>
    </w:p>
    <w:p>
      <w:pPr>
        <w:snapToGrid w:val="1"/>
        <w:spacing w:line="240"/>
        <w:ind/>
        <w:rPr/>
      </w:pPr>
      <w:r>
        <w:rPr>
          <w:i w:val="0"/>
          <w:strike w:val="0"/>
          <w:spacing w:val="0"/>
          <w:u w:val="none"/>
        </w:rPr>
        <w:t>二、RPA在三大产业链角色的价值创造</w:t>
      </w:r>
    </w:p>
    <w:p>
      <w:pPr>
        <w:snapToGrid w:val="1"/>
        <w:spacing w:line="240"/>
        <w:ind/>
        <w:rPr/>
      </w:pPr>
    </w:p>
    <w:p>
      <w:pPr>
        <w:snapToGrid w:val="1"/>
        <w:spacing w:line="240"/>
        <w:ind/>
        <w:rPr/>
      </w:pPr>
      <w:r>
        <w:rPr>
          <w:i w:val="0"/>
          <w:strike w:val="0"/>
          <w:spacing w:val="0"/>
          <w:u w:val="none"/>
        </w:rPr>
        <w:t>（一）金融机构（应用端）</w:t>
      </w:r>
    </w:p>
    <w:p>
      <w:pPr>
        <w:snapToGrid w:val="1"/>
        <w:spacing w:line="240"/>
        <w:ind/>
        <w:rPr/>
      </w:pPr>
    </w:p>
    <w:p>
      <w:pPr>
        <w:snapToGrid w:val="1"/>
        <w:spacing w:line="240"/>
        <w:ind/>
        <w:rPr/>
      </w:pPr>
      <w:r>
        <w:rPr>
          <w:i w:val="0"/>
          <w:strike w:val="0"/>
          <w:spacing w:val="0"/>
          <w:u w:val="none"/>
        </w:rPr>
        <w:t>核心价值：数字化转型加速器</w:t>
      </w:r>
    </w:p>
    <w:p>
      <w:pPr>
        <w:snapToGrid w:val="1"/>
        <w:spacing w:line="240"/>
        <w:ind/>
        <w:rPr/>
      </w:pPr>
    </w:p>
    <w:p>
      <w:pPr>
        <w:snapToGrid w:val="1"/>
        <w:spacing w:line="240"/>
        <w:ind/>
        <w:rPr/>
      </w:pPr>
      <w:r>
        <w:rPr>
          <w:i w:val="0"/>
          <w:strike w:val="0"/>
          <w:spacing w:val="0"/>
          <w:u w:val="none"/>
        </w:rPr>
        <w:t>· 业务层面：实现从“流程自动化”到“业务智能化”的跃迁</w:t>
      </w:r>
    </w:p>
    <w:p>
      <w:pPr>
        <w:snapToGrid w:val="1"/>
        <w:spacing w:line="240"/>
        <w:ind/>
        <w:rPr/>
      </w:pPr>
      <w:r>
        <w:rPr>
          <w:i w:val="0"/>
          <w:strike w:val="0"/>
          <w:spacing w:val="0"/>
          <w:u w:val="none"/>
        </w:rPr>
        <w:t>· 技术层面：在不改造核心系统前提下实现系统互联</w:t>
      </w:r>
    </w:p>
    <w:p>
      <w:pPr>
        <w:snapToGrid w:val="1"/>
        <w:spacing w:line="240"/>
        <w:ind/>
        <w:rPr/>
      </w:pPr>
      <w:r>
        <w:rPr>
          <w:i w:val="0"/>
          <w:strike w:val="0"/>
          <w:spacing w:val="0"/>
          <w:u w:val="none"/>
        </w:rPr>
        <w:t>· 组织层面：推动从“人力密集型”向“技术驱动型”组织转型</w:t>
      </w:r>
    </w:p>
    <w:p>
      <w:pPr>
        <w:snapToGrid w:val="1"/>
        <w:spacing w:line="240"/>
        <w:ind/>
        <w:rPr/>
      </w:pPr>
    </w:p>
    <w:p>
      <w:pPr>
        <w:snapToGrid w:val="1"/>
        <w:spacing w:line="240"/>
        <w:ind/>
        <w:rPr/>
      </w:pPr>
      <w:r>
        <w:rPr>
          <w:i w:val="0"/>
          <w:strike w:val="0"/>
          <w:spacing w:val="0"/>
          <w:u w:val="none"/>
        </w:rPr>
        <w:t>（二）科技企业（供应端）</w:t>
      </w:r>
    </w:p>
    <w:p>
      <w:pPr>
        <w:snapToGrid w:val="1"/>
        <w:spacing w:line="240"/>
        <w:ind/>
        <w:rPr/>
      </w:pPr>
    </w:p>
    <w:p>
      <w:pPr>
        <w:snapToGrid w:val="1"/>
        <w:spacing w:line="240"/>
        <w:ind/>
        <w:rPr/>
      </w:pPr>
      <w:r>
        <w:rPr>
          <w:i w:val="0"/>
          <w:strike w:val="0"/>
          <w:spacing w:val="0"/>
          <w:u w:val="none"/>
        </w:rPr>
        <w:t>核心价值：技术生态构建者</w:t>
      </w:r>
    </w:p>
    <w:p>
      <w:pPr>
        <w:snapToGrid w:val="1"/>
        <w:spacing w:line="240"/>
        <w:ind/>
        <w:rPr/>
      </w:pPr>
    </w:p>
    <w:p>
      <w:pPr>
        <w:snapToGrid w:val="1"/>
        <w:spacing w:line="240"/>
        <w:ind/>
        <w:rPr/>
      </w:pPr>
      <w:r>
        <w:rPr>
          <w:i w:val="0"/>
          <w:strike w:val="0"/>
          <w:spacing w:val="0"/>
          <w:u w:val="none"/>
        </w:rPr>
        <w:t>· 产品演进：从工具提供商进化为平台服务商</w:t>
      </w:r>
    </w:p>
    <w:p>
      <w:pPr>
        <w:snapToGrid w:val="1"/>
        <w:spacing w:line="240"/>
        <w:ind/>
        <w:rPr/>
      </w:pPr>
      <w:r>
        <w:rPr>
          <w:i w:val="0"/>
          <w:strike w:val="0"/>
          <w:spacing w:val="0"/>
          <w:u w:val="none"/>
        </w:rPr>
        <w:t>· 商业模式：从软件许可转向“软件+服务+效果分成”</w:t>
      </w:r>
    </w:p>
    <w:p>
      <w:pPr>
        <w:snapToGrid w:val="1"/>
        <w:spacing w:line="240"/>
        <w:ind/>
        <w:rPr/>
      </w:pPr>
      <w:r>
        <w:rPr>
          <w:i w:val="0"/>
          <w:strike w:val="0"/>
          <w:spacing w:val="0"/>
          <w:u w:val="none"/>
        </w:rPr>
        <w:t>· 技术整合：推动RPA+AI+大数据融合创新</w:t>
      </w:r>
    </w:p>
    <w:p>
      <w:pPr>
        <w:snapToGrid w:val="1"/>
        <w:spacing w:line="240"/>
        <w:ind/>
        <w:rPr/>
      </w:pPr>
    </w:p>
    <w:p>
      <w:pPr>
        <w:snapToGrid w:val="1"/>
        <w:spacing w:line="240"/>
        <w:ind/>
        <w:rPr/>
      </w:pPr>
      <w:r>
        <w:rPr>
          <w:i w:val="0"/>
          <w:strike w:val="0"/>
          <w:spacing w:val="0"/>
          <w:u w:val="none"/>
        </w:rPr>
        <w:t>（三）监管机构（治理端）</w:t>
      </w:r>
    </w:p>
    <w:p>
      <w:pPr>
        <w:snapToGrid w:val="1"/>
        <w:spacing w:line="240"/>
        <w:ind/>
        <w:rPr/>
      </w:pPr>
    </w:p>
    <w:p>
      <w:pPr>
        <w:snapToGrid w:val="1"/>
        <w:spacing w:line="240"/>
        <w:ind/>
        <w:rPr/>
      </w:pPr>
      <w:r>
        <w:rPr>
          <w:i w:val="0"/>
          <w:strike w:val="0"/>
          <w:spacing w:val="0"/>
          <w:u w:val="none"/>
        </w:rPr>
        <w:t>核心价值：监管效能倍增器</w:t>
      </w:r>
    </w:p>
    <w:p>
      <w:pPr>
        <w:snapToGrid w:val="1"/>
        <w:spacing w:line="240"/>
        <w:ind/>
        <w:rPr/>
      </w:pPr>
    </w:p>
    <w:p>
      <w:pPr>
        <w:snapToGrid w:val="1"/>
        <w:spacing w:line="240"/>
        <w:ind/>
        <w:rPr/>
      </w:pPr>
      <w:r>
        <w:rPr>
          <w:i w:val="0"/>
          <w:strike w:val="0"/>
          <w:spacing w:val="0"/>
          <w:u w:val="none"/>
        </w:rPr>
        <w:t>· 监管能力：从“有限抽查”到“全面穿透”</w:t>
      </w:r>
    </w:p>
    <w:p>
      <w:pPr>
        <w:snapToGrid w:val="1"/>
        <w:spacing w:line="240"/>
        <w:ind/>
        <w:rPr/>
      </w:pPr>
      <w:r>
        <w:rPr>
          <w:i w:val="0"/>
          <w:strike w:val="0"/>
          <w:spacing w:val="0"/>
          <w:u w:val="none"/>
        </w:rPr>
        <w:t>· 监管方式：从“事后处罚”到“实时指导”</w:t>
      </w:r>
    </w:p>
    <w:p>
      <w:pPr>
        <w:snapToGrid w:val="1"/>
        <w:spacing w:line="240"/>
        <w:ind/>
        <w:rPr/>
      </w:pPr>
      <w:r>
        <w:rPr>
          <w:i w:val="0"/>
          <w:strike w:val="0"/>
          <w:spacing w:val="0"/>
          <w:u w:val="none"/>
        </w:rPr>
        <w:t>· 监管体系：构建“机构自律+技术监管+社会监督”多元治理</w:t>
      </w:r>
    </w:p>
    <w:p>
      <w:pPr>
        <w:snapToGrid w:val="1"/>
        <w:spacing w:line="240"/>
        <w:ind/>
        <w:rPr/>
      </w:pPr>
    </w:p>
    <w:p>
      <w:pPr>
        <w:snapToGrid w:val="1"/>
        <w:spacing w:line="240"/>
        <w:ind/>
        <w:rPr/>
      </w:pPr>
      <w:r>
        <w:rPr>
          <w:i w:val="0"/>
          <w:strike w:val="0"/>
          <w:spacing w:val="0"/>
          <w:u w:val="none"/>
        </w:rPr>
        <w:t>三、RPA对社会经济的宏观价值创造</w:t>
      </w:r>
    </w:p>
    <w:p>
      <w:pPr>
        <w:snapToGrid w:val="1"/>
        <w:spacing w:line="240"/>
        <w:ind/>
        <w:rPr/>
      </w:pPr>
    </w:p>
    <w:p>
      <w:pPr>
        <w:snapToGrid w:val="1"/>
        <w:spacing w:line="240"/>
        <w:ind/>
        <w:rPr/>
      </w:pPr>
      <w:r>
        <w:rPr>
          <w:i w:val="0"/>
          <w:strike w:val="0"/>
          <w:spacing w:val="0"/>
          <w:u w:val="none"/>
        </w:rPr>
        <w:t>（一）金融资源配置效率革命</w:t>
      </w:r>
    </w:p>
    <w:p>
      <w:pPr>
        <w:snapToGrid w:val="1"/>
        <w:spacing w:line="240"/>
        <w:ind/>
        <w:rPr/>
      </w:pPr>
    </w:p>
    <w:p>
      <w:pPr>
        <w:snapToGrid w:val="1"/>
        <w:spacing w:line="240"/>
        <w:ind/>
        <w:rPr/>
      </w:pPr>
      <w:r>
        <w:rPr>
          <w:i w:val="0"/>
          <w:strike w:val="0"/>
          <w:spacing w:val="0"/>
          <w:u w:val="none"/>
        </w:rPr>
        <w:t>· 破除信息不对称：通过自动化数据采集和验证，降低融资摩擦</w:t>
      </w:r>
    </w:p>
    <w:p>
      <w:pPr>
        <w:snapToGrid w:val="1"/>
        <w:spacing w:line="240"/>
        <w:ind/>
        <w:rPr/>
      </w:pPr>
      <w:r>
        <w:rPr>
          <w:i w:val="0"/>
          <w:strike w:val="0"/>
          <w:spacing w:val="0"/>
          <w:u w:val="none"/>
        </w:rPr>
        <w:t>· 降低金融服务门槛：让中小微企业、农户、低收入群体获得普惠服务</w:t>
      </w:r>
    </w:p>
    <w:p>
      <w:pPr>
        <w:snapToGrid w:val="1"/>
        <w:spacing w:line="240"/>
        <w:ind/>
        <w:rPr/>
      </w:pPr>
      <w:r>
        <w:rPr>
          <w:i w:val="0"/>
          <w:strike w:val="0"/>
          <w:spacing w:val="0"/>
          <w:u w:val="none"/>
        </w:rPr>
        <w:t>· 优化资本流动效率：加速资金从储蓄到投资的转化过程</w:t>
      </w:r>
    </w:p>
    <w:p>
      <w:pPr>
        <w:snapToGrid w:val="1"/>
        <w:spacing w:line="240"/>
        <w:ind/>
        <w:rPr/>
      </w:pPr>
    </w:p>
    <w:p>
      <w:pPr>
        <w:snapToGrid w:val="1"/>
        <w:spacing w:line="240"/>
        <w:ind/>
        <w:rPr/>
      </w:pPr>
      <w:r>
        <w:rPr>
          <w:i w:val="0"/>
          <w:strike w:val="0"/>
          <w:spacing w:val="0"/>
          <w:u w:val="none"/>
        </w:rPr>
        <w:t>（二）经济系统稳定性增强</w:t>
      </w:r>
    </w:p>
    <w:p>
      <w:pPr>
        <w:snapToGrid w:val="1"/>
        <w:spacing w:line="240"/>
        <w:ind/>
        <w:rPr/>
      </w:pPr>
    </w:p>
    <w:p>
      <w:pPr>
        <w:snapToGrid w:val="1"/>
        <w:spacing w:line="240"/>
        <w:ind/>
        <w:rPr/>
      </w:pPr>
      <w:r>
        <w:rPr>
          <w:i w:val="0"/>
          <w:strike w:val="0"/>
          <w:spacing w:val="0"/>
          <w:u w:val="none"/>
        </w:rPr>
        <w:t>· 系统性风险防控：实时监控金融体系运行，提前预警风险</w:t>
      </w:r>
    </w:p>
    <w:p>
      <w:pPr>
        <w:snapToGrid w:val="1"/>
        <w:spacing w:line="240"/>
        <w:ind/>
        <w:rPr/>
      </w:pPr>
      <w:r>
        <w:rPr>
          <w:i w:val="0"/>
          <w:strike w:val="0"/>
          <w:spacing w:val="0"/>
          <w:u w:val="none"/>
        </w:rPr>
        <w:t>· 市场公平性提升：减少人为操作偏差，确保规则公平执行</w:t>
      </w:r>
    </w:p>
    <w:p>
      <w:pPr>
        <w:snapToGrid w:val="1"/>
        <w:spacing w:line="240"/>
        <w:ind/>
        <w:rPr/>
      </w:pPr>
      <w:r>
        <w:rPr>
          <w:i w:val="0"/>
          <w:strike w:val="0"/>
          <w:spacing w:val="0"/>
          <w:u w:val="none"/>
        </w:rPr>
        <w:t>· 经济数据准确性：提高统计报送质量，为宏观决策提供可靠依据</w:t>
      </w:r>
    </w:p>
    <w:p>
      <w:pPr>
        <w:snapToGrid w:val="1"/>
        <w:spacing w:line="240"/>
        <w:ind/>
        <w:rPr/>
      </w:pPr>
    </w:p>
    <w:p>
      <w:pPr>
        <w:snapToGrid w:val="1"/>
        <w:spacing w:line="240"/>
        <w:ind/>
        <w:rPr/>
      </w:pPr>
      <w:r>
        <w:rPr>
          <w:i w:val="0"/>
          <w:strike w:val="0"/>
          <w:spacing w:val="0"/>
          <w:u w:val="none"/>
        </w:rPr>
        <w:t>（三）劳动力结构优化升级</w:t>
      </w:r>
    </w:p>
    <w:p>
      <w:pPr>
        <w:snapToGrid w:val="1"/>
        <w:spacing w:line="240"/>
        <w:ind/>
        <w:rPr/>
      </w:pPr>
    </w:p>
    <w:p>
      <w:pPr>
        <w:snapToGrid w:val="1"/>
        <w:spacing w:line="240"/>
        <w:ind/>
        <w:rPr/>
      </w:pPr>
      <w:r>
        <w:rPr>
          <w:i w:val="0"/>
          <w:strike w:val="0"/>
          <w:spacing w:val="0"/>
          <w:u w:val="none"/>
        </w:rPr>
        <w:t>· 解放人类创造力：将人才从重复劳动转向创新工作</w:t>
      </w:r>
    </w:p>
    <w:p>
      <w:pPr>
        <w:snapToGrid w:val="1"/>
        <w:spacing w:line="240"/>
        <w:ind/>
        <w:rPr/>
      </w:pPr>
      <w:r>
        <w:rPr>
          <w:i w:val="0"/>
          <w:strike w:val="0"/>
          <w:spacing w:val="0"/>
          <w:u w:val="none"/>
        </w:rPr>
        <w:t>· 技能需求升级：推动从业者从“操作型”向“分析型”、“战略型”转变</w:t>
      </w:r>
    </w:p>
    <w:p>
      <w:pPr>
        <w:snapToGrid w:val="1"/>
        <w:spacing w:line="240"/>
        <w:ind/>
        <w:rPr/>
      </w:pPr>
      <w:r>
        <w:rPr>
          <w:i w:val="0"/>
          <w:strike w:val="0"/>
          <w:spacing w:val="0"/>
          <w:u w:val="none"/>
        </w:rPr>
        <w:t>· 就业质量提升：创造更多高附加值岗位</w:t>
      </w:r>
    </w:p>
    <w:p>
      <w:pPr>
        <w:snapToGrid w:val="1"/>
        <w:spacing w:line="240"/>
        <w:ind/>
        <w:rPr/>
      </w:pPr>
    </w:p>
    <w:p>
      <w:pPr>
        <w:snapToGrid w:val="1"/>
        <w:spacing w:line="240"/>
        <w:ind/>
        <w:rPr/>
      </w:pPr>
      <w:r>
        <w:rPr>
          <w:i w:val="0"/>
          <w:strike w:val="0"/>
          <w:spacing w:val="0"/>
          <w:u w:val="none"/>
        </w:rPr>
        <w:t>（四）技术普惠化进程加速</w:t>
      </w:r>
    </w:p>
    <w:p>
      <w:pPr>
        <w:snapToGrid w:val="1"/>
        <w:spacing w:line="240"/>
        <w:ind/>
        <w:rPr/>
      </w:pPr>
    </w:p>
    <w:p>
      <w:pPr>
        <w:snapToGrid w:val="1"/>
        <w:spacing w:line="240"/>
        <w:ind/>
        <w:rPr/>
      </w:pPr>
      <w:r>
        <w:rPr>
          <w:i w:val="0"/>
          <w:strike w:val="0"/>
          <w:spacing w:val="0"/>
          <w:u w:val="none"/>
        </w:rPr>
        <w:t>· 技术民主化：让中小企业也能享受先进技术红利</w:t>
      </w:r>
    </w:p>
    <w:p>
      <w:pPr>
        <w:snapToGrid w:val="1"/>
        <w:spacing w:line="240"/>
        <w:ind/>
        <w:rPr/>
      </w:pPr>
      <w:r>
        <w:rPr>
          <w:i w:val="0"/>
          <w:strike w:val="0"/>
          <w:spacing w:val="0"/>
          <w:u w:val="none"/>
        </w:rPr>
        <w:t>· 数字包容性：帮助老年群体、偏远地区接入数字服务</w:t>
      </w:r>
    </w:p>
    <w:p>
      <w:pPr>
        <w:snapToGrid w:val="1"/>
        <w:spacing w:line="240"/>
        <w:ind/>
        <w:rPr/>
      </w:pPr>
      <w:r>
        <w:rPr>
          <w:i w:val="0"/>
          <w:strike w:val="0"/>
          <w:spacing w:val="0"/>
          <w:u w:val="none"/>
        </w:rPr>
        <w:t>· 创新扩散效应：金融科技创新外溢至其他行业</w:t>
      </w:r>
    </w:p>
    <w:p>
      <w:pPr>
        <w:snapToGrid w:val="1"/>
        <w:spacing w:line="240"/>
        <w:ind/>
        <w:rPr/>
      </w:pPr>
    </w:p>
    <w:p>
      <w:pPr>
        <w:snapToGrid w:val="1"/>
        <w:spacing w:line="240"/>
        <w:ind/>
        <w:rPr/>
      </w:pPr>
      <w:r>
        <w:rPr>
          <w:i w:val="0"/>
          <w:strike w:val="0"/>
          <w:spacing w:val="0"/>
          <w:u w:val="none"/>
        </w:rPr>
        <w:t>四、RPA对人类社会的终极价值：构建人机协同新文明</w:t>
      </w:r>
    </w:p>
    <w:p>
      <w:pPr>
        <w:snapToGrid w:val="1"/>
        <w:spacing w:line="240"/>
        <w:ind/>
        <w:rPr/>
      </w:pPr>
    </w:p>
    <w:p>
      <w:pPr>
        <w:snapToGrid w:val="1"/>
        <w:spacing w:line="240"/>
        <w:ind/>
        <w:rPr/>
      </w:pPr>
      <w:r>
        <w:rPr>
          <w:i w:val="0"/>
          <w:strike w:val="0"/>
          <w:spacing w:val="0"/>
          <w:u w:val="none"/>
        </w:rPr>
        <w:t>（一）生产力关系的重构</w:t>
      </w:r>
    </w:p>
    <w:p>
      <w:pPr>
        <w:snapToGrid w:val="1"/>
        <w:spacing w:line="240"/>
        <w:ind/>
        <w:rPr/>
      </w:pPr>
    </w:p>
    <w:p>
      <w:pPr>
        <w:snapToGrid w:val="1"/>
        <w:spacing w:line="240"/>
        <w:ind/>
        <w:rPr/>
      </w:pPr>
      <w:r>
        <w:rPr>
          <w:i w:val="0"/>
          <w:strike w:val="0"/>
          <w:spacing w:val="0"/>
          <w:u w:val="none"/>
        </w:rPr>
        <w:t>· 从“人操作机器”到“人指挥机器”</w:t>
      </w:r>
    </w:p>
    <w:p>
      <w:pPr>
        <w:snapToGrid w:val="1"/>
        <w:spacing w:line="240"/>
        <w:ind/>
        <w:rPr/>
      </w:pPr>
      <w:r>
        <w:rPr>
          <w:i w:val="0"/>
          <w:strike w:val="0"/>
          <w:spacing w:val="0"/>
          <w:u w:val="none"/>
        </w:rPr>
        <w:t xml:space="preserve">  · 人类负责定义目标、制定规则、价值判断</w:t>
      </w:r>
    </w:p>
    <w:p>
      <w:pPr>
        <w:snapToGrid w:val="1"/>
        <w:spacing w:line="240"/>
        <w:ind/>
        <w:rPr/>
      </w:pPr>
      <w:r>
        <w:rPr>
          <w:i w:val="0"/>
          <w:strike w:val="0"/>
          <w:spacing w:val="0"/>
          <w:u w:val="none"/>
        </w:rPr>
        <w:t xml:space="preserve">  · 机器负责执行指令、处理数据、优化效率</w:t>
      </w:r>
    </w:p>
    <w:p>
      <w:pPr>
        <w:snapToGrid w:val="1"/>
        <w:spacing w:line="240"/>
        <w:ind/>
        <w:rPr/>
      </w:pPr>
      <w:r>
        <w:rPr>
          <w:i w:val="0"/>
          <w:strike w:val="0"/>
          <w:spacing w:val="0"/>
          <w:u w:val="none"/>
        </w:rPr>
        <w:t>· 从“替代人类”到“增强人类”</w:t>
      </w:r>
    </w:p>
    <w:p>
      <w:pPr>
        <w:snapToGrid w:val="1"/>
        <w:spacing w:line="240"/>
        <w:ind/>
        <w:rPr/>
      </w:pPr>
      <w:r>
        <w:rPr>
          <w:i w:val="0"/>
          <w:strike w:val="0"/>
          <w:spacing w:val="0"/>
          <w:u w:val="none"/>
        </w:rPr>
        <w:t xml:space="preserve">  · 弥补人类在计算速度、记忆容量、持续工作方面的局限</w:t>
      </w:r>
    </w:p>
    <w:p>
      <w:pPr>
        <w:snapToGrid w:val="1"/>
        <w:spacing w:line="240"/>
        <w:ind/>
        <w:rPr/>
      </w:pPr>
      <w:r>
        <w:rPr>
          <w:i w:val="0"/>
          <w:strike w:val="0"/>
          <w:spacing w:val="0"/>
          <w:u w:val="none"/>
        </w:rPr>
        <w:t xml:space="preserve">  · 增强人类在创造力、同理心、战略思维方面的优势</w:t>
      </w:r>
    </w:p>
    <w:p>
      <w:pPr>
        <w:snapToGrid w:val="1"/>
        <w:spacing w:line="240"/>
        <w:ind/>
        <w:rPr/>
      </w:pPr>
    </w:p>
    <w:p>
      <w:pPr>
        <w:snapToGrid w:val="1"/>
        <w:spacing w:line="240"/>
        <w:ind/>
        <w:rPr/>
      </w:pPr>
      <w:r>
        <w:rPr>
          <w:i w:val="0"/>
          <w:strike w:val="0"/>
          <w:spacing w:val="0"/>
          <w:u w:val="none"/>
        </w:rPr>
        <w:t>（二）社会信任体系的重塑</w:t>
      </w:r>
    </w:p>
    <w:p>
      <w:pPr>
        <w:snapToGrid w:val="1"/>
        <w:spacing w:line="240"/>
        <w:ind/>
        <w:rPr/>
      </w:pPr>
    </w:p>
    <w:p>
      <w:pPr>
        <w:snapToGrid w:val="1"/>
        <w:spacing w:line="240"/>
        <w:ind/>
        <w:rPr/>
      </w:pPr>
      <w:r>
        <w:rPr>
          <w:i w:val="0"/>
          <w:strike w:val="0"/>
          <w:spacing w:val="0"/>
          <w:u w:val="none"/>
        </w:rPr>
        <w:t>· 程序化信任：基于代码的确定性替代基于人的不确定性</w:t>
      </w:r>
    </w:p>
    <w:p>
      <w:pPr>
        <w:snapToGrid w:val="1"/>
        <w:spacing w:line="240"/>
        <w:ind/>
        <w:rPr/>
      </w:pPr>
      <w:r>
        <w:rPr>
          <w:i w:val="0"/>
          <w:strike w:val="0"/>
          <w:spacing w:val="0"/>
          <w:u w:val="none"/>
        </w:rPr>
        <w:t>· 透明化治理：算法规则公开可审计，减少暗箱操作</w:t>
      </w:r>
    </w:p>
    <w:p>
      <w:pPr>
        <w:snapToGrid w:val="1"/>
        <w:spacing w:line="240"/>
        <w:ind/>
        <w:rPr/>
      </w:pPr>
      <w:r>
        <w:rPr>
          <w:i w:val="0"/>
          <w:strike w:val="0"/>
          <w:spacing w:val="0"/>
          <w:u w:val="none"/>
        </w:rPr>
        <w:t>· 标准化服务：消除服务质量的个体差异和区域差异</w:t>
      </w:r>
    </w:p>
    <w:p>
      <w:pPr>
        <w:snapToGrid w:val="1"/>
        <w:spacing w:line="240"/>
        <w:ind/>
        <w:rPr/>
      </w:pPr>
    </w:p>
    <w:p>
      <w:pPr>
        <w:snapToGrid w:val="1"/>
        <w:spacing w:line="240"/>
        <w:ind/>
        <w:rPr/>
      </w:pPr>
      <w:r>
        <w:rPr>
          <w:i w:val="0"/>
          <w:strike w:val="0"/>
          <w:spacing w:val="0"/>
          <w:u w:val="none"/>
        </w:rPr>
        <w:t>（三）人类潜能的释放</w:t>
      </w:r>
    </w:p>
    <w:p>
      <w:pPr>
        <w:snapToGrid w:val="1"/>
        <w:spacing w:line="240"/>
        <w:ind/>
        <w:rPr/>
      </w:pPr>
    </w:p>
    <w:p>
      <w:pPr>
        <w:snapToGrid w:val="1"/>
        <w:spacing w:line="240"/>
        <w:ind/>
        <w:rPr/>
      </w:pPr>
      <w:r>
        <w:rPr>
          <w:i w:val="0"/>
          <w:strike w:val="0"/>
          <w:spacing w:val="0"/>
          <w:u w:val="none"/>
        </w:rPr>
        <w:t>· 时间解放：每人每天多出1-2小时创造性时间</w:t>
      </w:r>
    </w:p>
    <w:p>
      <w:pPr>
        <w:snapToGrid w:val="1"/>
        <w:spacing w:line="240"/>
        <w:ind/>
        <w:rPr/>
      </w:pPr>
      <w:r>
        <w:rPr>
          <w:i w:val="0"/>
          <w:strike w:val="0"/>
          <w:spacing w:val="0"/>
          <w:u w:val="none"/>
        </w:rPr>
        <w:t>· 认知升级：从信息处理转向智慧创造</w:t>
      </w:r>
    </w:p>
    <w:p>
      <w:pPr>
        <w:snapToGrid w:val="1"/>
        <w:spacing w:line="240"/>
        <w:ind/>
        <w:rPr/>
      </w:pPr>
      <w:r>
        <w:rPr>
          <w:i w:val="0"/>
          <w:strike w:val="0"/>
          <w:spacing w:val="0"/>
          <w:u w:val="none"/>
        </w:rPr>
        <w:t>· 价值重塑：劳动价值从“完成工作量”转向“创造新价值”</w:t>
      </w:r>
    </w:p>
    <w:p>
      <w:pPr>
        <w:snapToGrid w:val="1"/>
        <w:spacing w:line="240"/>
        <w:ind/>
        <w:rPr/>
      </w:pPr>
    </w:p>
    <w:p>
      <w:pPr>
        <w:snapToGrid w:val="1"/>
        <w:spacing w:line="240"/>
        <w:ind/>
        <w:rPr/>
      </w:pPr>
      <w:r>
        <w:rPr>
          <w:i w:val="0"/>
          <w:strike w:val="0"/>
          <w:spacing w:val="0"/>
          <w:u w:val="none"/>
        </w:rPr>
        <w:t>（四）可持续发展贡献</w:t>
      </w:r>
    </w:p>
    <w:p>
      <w:pPr>
        <w:snapToGrid w:val="1"/>
        <w:spacing w:line="240"/>
        <w:ind/>
        <w:rPr/>
      </w:pPr>
    </w:p>
    <w:p>
      <w:pPr>
        <w:snapToGrid w:val="1"/>
        <w:spacing w:line="240"/>
        <w:ind/>
        <w:rPr/>
      </w:pPr>
      <w:r>
        <w:rPr>
          <w:i w:val="0"/>
          <w:strike w:val="0"/>
          <w:spacing w:val="0"/>
          <w:u w:val="none"/>
        </w:rPr>
        <w:t>· 资源节约：减少纸张、能源消耗，支持绿色运营</w:t>
      </w:r>
    </w:p>
    <w:p>
      <w:pPr>
        <w:snapToGrid w:val="1"/>
        <w:spacing w:line="240"/>
        <w:ind/>
        <w:rPr/>
      </w:pPr>
      <w:r>
        <w:rPr>
          <w:i w:val="0"/>
          <w:strike w:val="0"/>
          <w:spacing w:val="0"/>
          <w:u w:val="none"/>
        </w:rPr>
        <w:t>· 精准服务：通过精准匹配减少资源浪费</w:t>
      </w:r>
    </w:p>
    <w:p>
      <w:pPr>
        <w:snapToGrid w:val="1"/>
        <w:spacing w:line="240"/>
        <w:ind/>
        <w:rPr/>
      </w:pPr>
      <w:r>
        <w:rPr>
          <w:i w:val="0"/>
          <w:strike w:val="0"/>
          <w:spacing w:val="0"/>
          <w:u w:val="none"/>
        </w:rPr>
        <w:t>· 长期主义：自动化系统可持续运行，不受人员流动影响</w:t>
      </w:r>
    </w:p>
    <w:p>
      <w:pPr>
        <w:snapToGrid w:val="1"/>
        <w:spacing w:line="240"/>
        <w:ind/>
        <w:rPr/>
      </w:pPr>
    </w:p>
    <w:p>
      <w:pPr>
        <w:snapToGrid w:val="1"/>
        <w:spacing w:line="240"/>
        <w:ind/>
        <w:rPr/>
      </w:pPr>
      <w:r>
        <w:rPr>
          <w:i w:val="0"/>
          <w:strike w:val="0"/>
          <w:spacing w:val="0"/>
          <w:u w:val="none"/>
        </w:rPr>
        <w:t>五、核心结论：RPA不仅是技术工具，更是文明演进催化剂</w:t>
      </w:r>
    </w:p>
    <w:p>
      <w:pPr>
        <w:snapToGrid w:val="1"/>
        <w:spacing w:line="240"/>
        <w:ind/>
        <w:rPr/>
      </w:pPr>
    </w:p>
    <w:p>
      <w:pPr>
        <w:snapToGrid w:val="1"/>
        <w:spacing w:line="240"/>
        <w:ind/>
        <w:rPr/>
      </w:pPr>
      <w:r>
        <w:rPr>
          <w:i w:val="0"/>
          <w:strike w:val="0"/>
          <w:spacing w:val="0"/>
          <w:u w:val="none"/>
        </w:rPr>
        <w:t>RPA在金融领域的成功应用揭示了一个更宏大的图景：当自动化技术与人类智慧深度融合时，我们不仅优化了业务流程，更在重塑经济运行的底层逻辑。</w:t>
      </w:r>
    </w:p>
    <w:p>
      <w:pPr>
        <w:snapToGrid w:val="1"/>
        <w:spacing w:line="240"/>
        <w:ind/>
        <w:rPr/>
      </w:pPr>
    </w:p>
    <w:p>
      <w:pPr>
        <w:snapToGrid w:val="1"/>
        <w:spacing w:line="240"/>
        <w:ind/>
        <w:rPr/>
      </w:pPr>
      <w:r>
        <w:rPr>
          <w:i w:val="0"/>
          <w:strike w:val="0"/>
          <w:spacing w:val="0"/>
          <w:u w:val="none"/>
        </w:rPr>
        <w:t>短期看效率，中期看转型，长期看文明：</w:t>
      </w:r>
    </w:p>
    <w:p>
      <w:pPr>
        <w:snapToGrid w:val="1"/>
        <w:spacing w:line="240"/>
        <w:ind/>
        <w:rPr/>
      </w:pPr>
    </w:p>
    <w:p>
      <w:pPr>
        <w:snapToGrid w:val="1"/>
        <w:spacing w:line="240"/>
        <w:ind/>
        <w:rPr/>
      </w:pPr>
      <w:r>
        <w:rPr>
          <w:i w:val="0"/>
          <w:strike w:val="0"/>
          <w:spacing w:val="0"/>
          <w:u w:val="none"/>
        </w:rPr>
        <w:t>· 当下价值：解决具体业务痛点，提升运营效率</w:t>
      </w:r>
    </w:p>
    <w:p>
      <w:pPr>
        <w:snapToGrid w:val="1"/>
        <w:spacing w:line="240"/>
        <w:ind/>
        <w:rPr/>
      </w:pPr>
      <w:r>
        <w:rPr>
          <w:i w:val="0"/>
          <w:strike w:val="0"/>
          <w:spacing w:val="0"/>
          <w:u w:val="none"/>
        </w:rPr>
        <w:t>· 中期价值：推动行业数字化转型，重构竞争优势</w:t>
      </w:r>
    </w:p>
    <w:p>
      <w:pPr>
        <w:snapToGrid w:val="1"/>
        <w:spacing w:line="240"/>
        <w:ind/>
        <w:rPr/>
      </w:pPr>
      <w:r>
        <w:rPr>
          <w:i w:val="0"/>
          <w:strike w:val="0"/>
          <w:spacing w:val="0"/>
          <w:u w:val="none"/>
        </w:rPr>
        <w:t>· 长期价值：促进人机分工优化，释放人类创造潜能</w:t>
      </w:r>
    </w:p>
    <w:p>
      <w:pPr>
        <w:snapToGrid w:val="1"/>
        <w:spacing w:line="240"/>
        <w:ind/>
        <w:rPr/>
      </w:pPr>
    </w:p>
    <w:p>
      <w:pPr>
        <w:snapToGrid w:val="1"/>
        <w:spacing w:line="240"/>
        <w:ind/>
        <w:rPr/>
      </w:pPr>
      <w:r>
        <w:rPr>
          <w:i w:val="0"/>
          <w:strike w:val="0"/>
          <w:spacing w:val="0"/>
          <w:u w:val="none"/>
        </w:rPr>
        <w:t>金融作为现代经济的核心，其智能化转型具有显著的示范和扩散效应。RPA在金融领域的实践，正在为整个社会的数字化转型探索路径、积累经验、建立信心。这不仅是技术的胜利，更是人类智慧的延伸——我们正在学会如何让机器更好地为人类服务，如何在自动化时代重新定义人的价值。</w:t>
      </w:r>
    </w:p>
    <w:p>
      <w:pPr>
        <w:snapToGrid w:val="1"/>
        <w:spacing w:line="240"/>
        <w:ind/>
        <w:rPr/>
      </w:pPr>
    </w:p>
    <w:p>
      <w:pPr>
        <w:pStyle w:val="000005"/>
        <w:snapToGrid w:val="1"/>
        <w:spacing w:before="260" w:after="260" w:line="360"/>
        <w:ind w:left="0" w:right="0"/>
        <w:jc w:val="both"/>
        <w:rPr/>
      </w:pPr>
      <w:r>
        <w:rPr>
          <w:i w:val="0"/>
          <w:strike w:val="0"/>
          <w:spacing w:val="0"/>
          <w:u w:val="none"/>
        </w:rPr>
        <w:t>最终，RPA和AI Agent的意义不在于替代人类，而在于让人类更像人——让我们从重复劳动中解放，专注于那些只有人类才能做的事情：创造、关爱、想象、决策。这才是技术发展的终极人文关怀。</w:t>
      </w:r>
    </w:p>
    <w:p>
      <w:pPr>
        <w:pStyle w:val="000005"/>
        <w:pBdr/>
        <w:snapToGrid w:val="1"/>
        <w:spacing w:before="260" w:after="260" w:line="360"/>
        <w:ind w:left="0" w:right="0"/>
        <w:jc w:val="both"/>
        <w:rPr>
          <w:i w:val="0"/>
          <w:strike w:val="0"/>
          <w:spacing w:val="0"/>
          <w:u w:val="none"/>
        </w:rPr>
      </w:pPr>
    </w:p>
    <w:p>
      <w:pPr>
        <w:pStyle w:val="000005"/>
        <w:snapToGrid w:val="1"/>
        <w:spacing w:before="260" w:after="260" w:line="360"/>
        <w:ind w:left="0" w:right="0"/>
        <w:jc w:val="both"/>
        <w:rPr>
          <w:i w:val="0"/>
          <w:strike w:val="0"/>
          <w:spacing w:val="0"/>
          <w:u w:val="none"/>
        </w:rPr>
      </w:pPr>
    </w:p>
    <w:p>
      <w:pPr>
        <w:pStyle w:val="000005"/>
        <w:pBdr/>
        <w:snapToGrid w:val="1"/>
        <w:spacing w:before="260" w:after="260" w:line="360"/>
        <w:ind w:left="0" w:right="0"/>
        <w:jc w:val="both"/>
        <w:rPr>
          <w:rFonts w:hint="eastAsia"/>
          <w:i w:val="0"/>
          <w:strike w:val="0"/>
          <w:spacing w:val="0"/>
          <w:u w:val="none"/>
        </w:rPr>
      </w:pPr>
    </w:p>
    <w:p>
      <w:pPr>
        <w:pStyle w:val="000005"/>
        <w:pBdr/>
        <w:snapToGrid w:val="1"/>
        <w:spacing w:before="260" w:after="260" w:line="360"/>
        <w:ind w:left="0" w:right="0"/>
        <w:jc w:val="both"/>
        <w:rPr>
          <w:rFonts w:hint="eastAsia"/>
          <w:i w:val="0"/>
          <w:strike w:val="0"/>
          <w:spacing w:val="0"/>
          <w:u w:val="none"/>
        </w:rPr>
      </w:pPr>
    </w:p>
    <w:p>
      <w:pPr>
        <w:pStyle w:val="000005"/>
        <w:pBdr>
          <w:bottom/>
        </w:pBdr>
        <w:snapToGrid w:val="1"/>
        <w:spacing w:before="260" w:after="260" w:line="360"/>
        <w:ind w:left="0" w:right="0"/>
        <w:jc w:val="both"/>
        <w:rPr>
          <w:rFonts w:hint="eastAsia"/>
          <w:i w:val="0"/>
          <w:strike w:val="0"/>
          <w:spacing w:val="0"/>
          <w:u w:val="none"/>
        </w:rPr>
      </w:pPr>
    </w:p>
    <w:p>
      <w:pPr>
        <w:pStyle w:val="000005"/>
        <w:pBdr>
          <w:bottom/>
        </w:pBdr>
        <w:snapToGrid w:val="1"/>
        <w:spacing w:before="260" w:after="260" w:line="360"/>
        <w:ind w:left="0" w:right="0"/>
        <w:jc w:val="both"/>
        <w:rPr>
          <w:rFonts w:hint="eastAsia"/>
        </w:rPr>
      </w:pPr>
    </w:p>
    <w:p>
      <w:pPr>
        <w:pStyle w:val="000005"/>
        <w:snapToGrid w:val="1"/>
        <w:spacing w:before="260" w:after="260" w:line="360"/>
        <w:ind w:left="0" w:right="0"/>
        <w:jc w:val="both"/>
        <w:rPr/>
      </w:pPr>
    </w:p>
    <w:p>
      <w:pPr>
        <w:ind w:firstLine="0" w:firstLineChars="0"/>
        <w:rPr/>
      </w:pPr>
    </w:p>
    <w:p>
      <w:pPr>
        <w:ind w:firstLine="0" w:firstLineChars="0"/>
        <w:rPr/>
        <w:sectPr w:rsidR="00113ACB">
          <w:pgSz w:w="11906" w:h="16838"/>
          <w:pgMar w:top="1440" w:right="1800" w:bottom="1440" w:left="1800" w:header="851" w:footer="992" w:gutter="0"/>
          <w:cols w:space="425"/>
          <w:docGrid w:type="lines" w:linePitch="312"/>
        </w:sectPr>
      </w:pPr>
    </w:p>
    <w:p>
      <w:pPr>
        <w:pStyle w:val="000006"/>
        <w:rPr/>
      </w:pPr>
      <w:r>
        <w:rPr>
          <w:rFonts w:hint="eastAsia"/>
        </w:rPr>
        <w:t>第五章 行业应用与趋势维度</w:t>
      </w:r>
    </w:p>
    <w:p>
      <w:pPr>
        <w:pStyle w:val="000008"/>
        <w:rPr/>
      </w:pPr>
      <w:r>
        <w:rPr>
          <w:rFonts w:hint="eastAsia"/>
        </w:rPr>
        <w:t>5.1 行业渗透分析</w:t>
      </w:r>
    </w:p>
    <w:p>
      <w:pPr>
        <w:pStyle w:val="00000a"/>
        <w:rPr/>
      </w:pPr>
      <w:r>
        <w:rPr>
          <w:rFonts w:hint="eastAsia"/>
        </w:rPr>
        <w:t>5.1.1 渗透现状：从“单点替代”到“流程生产力平台”的四阶段演进</w:t>
      </w:r>
    </w:p>
    <w:p>
      <w:pPr>
        <w:ind w:firstLine="480"/>
        <w:rPr/>
      </w:pPr>
      <w:r>
        <w:rPr>
          <w:rFonts w:hint="eastAsia"/>
        </w:rPr>
        <w:t>RPA技术在金融行业的渗透并非一蹴而就，而是呈现出一条由浅入深、由点及面的演进路径。综合行业实践，可将其应用成熟度划分为四个递进的阶段，每个阶段均有其代表性的应用案例。</w:t>
      </w:r>
    </w:p>
    <w:p>
      <w:pPr>
        <w:ind w:firstLine="480"/>
        <w:rPr/>
      </w:pPr>
      <w:r>
        <w:rPr>
          <w:rFonts w:hint="eastAsia"/>
        </w:rPr>
        <w:t>阶段I：单点任务自动化 (Task Automation)</w:t>
      </w:r>
    </w:p>
    <w:p>
      <w:pPr>
        <w:ind w:firstLine="480"/>
        <w:rPr/>
      </w:pPr>
      <w:r>
        <w:rPr>
          <w:rFonts w:hint="eastAsia"/>
        </w:rPr>
        <w:t>此阶段是RPA应用的起点，其核心是“脚本化”的“点状替代”，旨在将个体员工从高度重复、规则明确的桌面操作中解放出来。</w:t>
      </w:r>
    </w:p>
    <w:p>
      <w:pPr>
        <w:ind w:firstLine="480"/>
        <w:rPr/>
      </w:pPr>
      <w:r>
        <w:rPr>
          <w:rFonts w:hint="eastAsia"/>
        </w:rPr>
        <w:t>案例：银行每日报表下载</w:t>
      </w:r>
    </w:p>
    <w:p>
      <w:pPr>
        <w:ind w:firstLine="480"/>
        <w:rPr/>
      </w:pPr>
      <w:r>
        <w:rPr>
          <w:rFonts w:hint="eastAsia"/>
        </w:rPr>
        <w:t>在某商业银行的分支行，运营部员工每天早晨需要登录核心业务系统、信贷管理系统等5个不同的系统，分别下载前一天的业务流水、贷款审批进度、逾期客户清单等8份报表，再将这些报表通过邮件发送给部门主管。RPA机器人被部署后，可每日定时自动完成所有系统的登录、报表下载、重命名和邮件发送，将原本耗时30分钟的人工操作缩短至3分钟以内，且实现了100%的准确率。</w:t>
      </w:r>
    </w:p>
    <w:p>
      <w:pPr>
        <w:ind w:firstLine="480"/>
        <w:rPr/>
      </w:pPr>
      <w:r>
        <w:rPr>
          <w:rFonts w:hint="eastAsia"/>
        </w:rPr>
        <w:t>阶段II：端到端流程自动化 (Process Automation)</w:t>
      </w:r>
    </w:p>
    <w:p>
      <w:pPr>
        <w:ind w:firstLine="480"/>
        <w:rPr/>
      </w:pPr>
      <w:r>
        <w:rPr>
          <w:rFonts w:hint="eastAsia"/>
        </w:rPr>
        <w:t>进入此阶段，企业开始将RPA应用于跨系统、跨岗位的端到端业务流程，追求更大范围的流程效率提升。</w:t>
      </w:r>
    </w:p>
    <w:p>
      <w:pPr>
        <w:ind w:firstLine="480"/>
        <w:rPr/>
      </w:pPr>
      <w:r>
        <w:rPr>
          <w:rFonts w:hint="eastAsia"/>
        </w:rPr>
        <w:t>案例：企业费用报销审核流程</w:t>
      </w:r>
    </w:p>
    <w:p>
      <w:pPr>
        <w:ind w:firstLine="480"/>
        <w:rPr/>
      </w:pPr>
      <w:r>
        <w:rPr>
          <w:rFonts w:hint="eastAsia"/>
        </w:rPr>
        <w:t>某大型集团的财务共享中心，RPA机器人被用于处理员工的日常费用报销。流程启动后，机器人自动监控报销系统，利用OCR技术识别员工上传的发票照片，提取发票号码、日期、金额等关键信息，并自动与员工填写的报销单进行比对。机器人还能根据预设规则（如：交通费是否超标、招待费是否有明细）进行初步审核，将无误的报销单自动在ERP系统中生成预制凭证，将有疑问的单据标记并推送给人工审核岗。</w:t>
      </w:r>
    </w:p>
    <w:p>
      <w:pPr>
        <w:ind w:firstLine="480"/>
        <w:rPr/>
      </w:pPr>
      <w:r>
        <w:rPr>
          <w:rFonts w:hint="eastAsia"/>
        </w:rPr>
        <w:t>阶段III：平台化与集中治理 (Automation Platform &amp; Governance)</w:t>
      </w:r>
    </w:p>
    <w:p>
      <w:pPr>
        <w:ind w:firstLine="480"/>
        <w:rPr/>
      </w:pPr>
      <w:r>
        <w:rPr>
          <w:rFonts w:hint="eastAsia"/>
        </w:rPr>
        <w:t>当自动化流程数量达到一定规模后，企业会建立RPA卓越中心（CoE），负责统一的需求评估、开发标准、机器人调度与监控运维，将RPA作为一种企业级的“数字生产力平台”进行管理。</w:t>
      </w:r>
    </w:p>
    <w:p>
      <w:pPr>
        <w:ind w:firstLine="480"/>
        <w:rPr/>
      </w:pPr>
      <w:r>
        <w:rPr>
          <w:rFonts w:hint="eastAsia"/>
        </w:rPr>
        <w:t>案例：某保险公司的RPA卓越中心实践</w:t>
      </w:r>
    </w:p>
    <w:p>
      <w:pPr>
        <w:ind w:firstLine="480"/>
        <w:rPr/>
      </w:pPr>
      <w:r>
        <w:rPr>
          <w:rFonts w:hint="eastAsia"/>
        </w:rPr>
        <w:t>一家头部保险公司在内部署了超过300个RPA机器人，应用于核保、理赔、财务等多个部门。为避免混乱，公司成立了RPA卓越中心。该中心不仅负责新需求的开发与上线，更重要的是建立了一套可复用的组件库（如“登录核心系统”、“读取身份证信息”、“生成PDF报告”等模块），新流程开发时可直接调用，开发效率提升了40%。同时，CoE通过统一的控制台监控所有机器人的健康状态和工作负载，确保了规模化应用下的稳定与合规。</w:t>
      </w:r>
    </w:p>
    <w:p>
      <w:pPr>
        <w:ind w:firstLine="480"/>
        <w:rPr/>
      </w:pPr>
      <w:r>
        <w:rPr>
          <w:rFonts w:hint="eastAsia"/>
        </w:rPr>
        <w:t>阶段IV：认知增强与智能编排 (Intelligent Automation / Agentic Automation)</w:t>
      </w:r>
    </w:p>
    <w:p>
      <w:pPr>
        <w:ind w:firstLine="480"/>
        <w:rPr/>
      </w:pPr>
      <w:r>
        <w:rPr>
          <w:rFonts w:hint="eastAsia"/>
        </w:rPr>
        <w:t>此为当前的前沿阶段，其核心是“RPA+AI”，向“超自动化”（Hyperautomation）迈进。通过集成OCR、NLP、大语言模型（LLM），机器人的角色从“数字劳工”演进为“初级分析师”或“智能助理”。</w:t>
      </w:r>
    </w:p>
    <w:p>
      <w:pPr>
        <w:ind w:firstLine="480"/>
        <w:rPr/>
      </w:pPr>
      <w:r>
        <w:rPr>
          <w:rFonts w:hint="eastAsia"/>
        </w:rPr>
        <w:t>案例：券商投研报告关键信息提取</w:t>
      </w:r>
    </w:p>
    <w:p>
      <w:pPr>
        <w:ind w:firstLine="480"/>
        <w:rPr/>
      </w:pPr>
      <w:r>
        <w:rPr>
          <w:rFonts w:hint="eastAsia"/>
        </w:rPr>
        <w:t>某证券公司投研部需要每日处理上百份来自不同机构的行业研究报告（PDF格式）。通过引入集成Kimi、DeepSeek等大语言模型能力的RPA机器人，实现了智能化的信息处理。RPA机器人自动下载邮件附件中的研报，调用LLM的文档理解能力，提取报告中关于特定股票的“投资评级”、“目标价”，并总结其核心“看涨/看跌逻辑”。最后，机器人将这些结构化信息自动汇总至一个Excel表格中，为研究员的晨会报告提供素材，极大提升了信息获取和处理的效率。</w:t>
      </w:r>
    </w:p>
    <w:p>
      <w:pPr>
        <w:pStyle w:val="00000a"/>
        <w:rPr/>
      </w:pPr>
      <w:r>
        <w:rPr>
          <w:rFonts w:hint="eastAsia"/>
        </w:rPr>
        <w:t>5.1.2 行业分布：金融机构与企业财金的“双轮驱动”（含案例）</w:t>
      </w:r>
    </w:p>
    <w:p>
      <w:pPr>
        <w:ind w:firstLine="480"/>
        <w:rPr/>
      </w:pPr>
      <w:r>
        <w:rPr>
          <w:rFonts w:hint="eastAsia"/>
        </w:rPr>
        <w:t>RPA在金融领域的渗透表现为两条既有关联又各有侧重的主线：</w:t>
      </w:r>
    </w:p>
    <w:p>
      <w:pPr>
        <w:ind w:firstLine="480"/>
        <w:rPr/>
      </w:pPr>
      <w:r>
        <w:rPr>
          <w:rFonts w:hint="eastAsia"/>
        </w:rPr>
        <w:t>金融机构（银行、保险、证券等）：</w:t>
      </w:r>
    </w:p>
    <w:p>
      <w:pPr>
        <w:ind w:firstLine="480"/>
        <w:rPr/>
      </w:pPr>
      <w:r>
        <w:rPr>
          <w:rFonts w:hint="eastAsia"/>
        </w:rPr>
        <w:t>作为金融服务的提供方，其RPA应用更侧重于提升中后台运营效率、强化风险合规与优化客户体验。</w:t>
      </w:r>
    </w:p>
    <w:p>
      <w:pPr>
        <w:numPr>
          <w:ilvl w:val="0"/>
          <w:numId w:val="5"/>
        </w:numPr>
        <w:ind w:firstLine="480"/>
        <w:rPr/>
      </w:pPr>
      <w:r>
        <w:rPr>
          <w:rFonts w:hint="eastAsia"/>
        </w:rPr>
        <w:t>银行业案例：对公账户KYC（了解你的客户）尽职调查</w:t>
      </w:r>
    </w:p>
    <w:p>
      <w:pPr>
        <w:ind w:firstLine="480"/>
        <w:rPr/>
      </w:pPr>
      <w:r>
        <w:rPr>
          <w:rFonts w:hint="eastAsia"/>
        </w:rPr>
        <w:t>银行在开设对公账户时，需要进行严格的尽职调查。RPA机器人可被用于自动化此流程：当客户经理提交开户申请后，机器人自动从申请材料中提取企业名称、统一社会信用代码、法人代表等信息。随后，它自动访问国家企业信用信息公示系统、中国裁判文书网、央行征信系统等多个外部网站，抓取企业的工商信息、涉诉记录、行政处罚、股权结构等数据，并与客户提交的资料进行交叉验证。机器人最终生成一份标准化的尽职调查报告，并将发现的风险点高亮标记，提交给合规部门进行人工复核，将单个客户的尽调时间从2小时缩短至15分钟。</w:t>
      </w:r>
    </w:p>
    <w:p>
      <w:pPr>
        <w:ind w:firstLine="480"/>
        <w:rPr/>
      </w:pPr>
      <w:r>
        <w:rPr>
          <w:rFonts w:hint="eastAsia"/>
        </w:rPr>
        <w:t>2）保险业案例：车险简易案件自动理赔</w:t>
      </w:r>
    </w:p>
    <w:p>
      <w:pPr>
        <w:ind w:firstLine="480"/>
        <w:rPr/>
      </w:pPr>
      <w:r>
        <w:rPr>
          <w:rFonts w:hint="eastAsia"/>
        </w:rPr>
        <w:t>针对事实清晰、损失金额较小的车险案件（如单方事故、轻微剐蹭），RPA机器人可以实现端到端的自动处理。客户通过App上传事故照片和维修报价单后，流程自动触发。RPA机器人首先调用OCR识别并提取保单号、车牌号、维修项目及金额。接着，机器人登录理赔系统，核实保单有效性及事故责任。通过内置的规则引擎和图像定损AI模型，机器人判断损失是否在预设的免核损阈值内（如5000元以下）。若符合条件，机器人将自动完成立案、计算赔付金额，并在系统中生成赔付指令，整个过程最快可在几分钟内完成，极大提升了客户体验。</w:t>
      </w:r>
    </w:p>
    <w:p>
      <w:pPr>
        <w:ind w:firstLine="480"/>
        <w:rPr/>
      </w:pPr>
      <w:r>
        <w:rPr>
          <w:rFonts w:hint="eastAsia"/>
        </w:rPr>
        <w:t>3）证券业案例：融资融券业务盯市与预警</w:t>
      </w:r>
    </w:p>
    <w:p>
      <w:pPr>
        <w:ind w:firstLine="480"/>
        <w:rPr/>
      </w:pPr>
      <w:r>
        <w:rPr>
          <w:rFonts w:hint="eastAsia"/>
        </w:rPr>
        <w:t>融资融券业务对客户账户的维持担保比例有严格要求。RPA机器人可被用于自动化盯市和预警流程。机器人每日定时或盘中实时从交易系统中批量获取所有“两融”客户的账户数据，自动计算每位客户的维持担保比例。一旦发现有客户的比例低于平仓线（如130%），机器人立即触发预警机制：自动向客户发送补充担保品的短信和App通知。如果比例进一步下跌至追保线（如150%）以下，机器人则会自动生成强制平仓预案，并通知客户经理进行人工沟通，确保了风险监控的及时性和无遗漏。</w:t>
      </w:r>
    </w:p>
    <w:p>
      <w:pPr>
        <w:ind w:firstLine="480"/>
        <w:rPr/>
      </w:pPr>
      <w:r>
        <w:rPr>
          <w:rFonts w:hint="eastAsia"/>
        </w:rPr>
        <w:t>4）企业财金部门（含港口财金、制造业集团等）：作为金融服务的使用方和内部管理者，其RPA应用更聚焦于促进业财融合、提升资金周转效率与实现运营降本增效。本报告将在5.2节以港口财金服务作为标杆案例进行深度剖析。</w:t>
      </w:r>
    </w:p>
    <w:p>
      <w:pPr>
        <w:pStyle w:val="000008"/>
        <w:rPr/>
      </w:pPr>
      <w:r>
        <w:rPr>
          <w:rFonts w:hint="eastAsia"/>
        </w:rPr>
        <w:t>5.2 标杆案例研究：港口财金“对账—开票—收款”闭环自动化</w:t>
      </w:r>
    </w:p>
    <w:p>
      <w:pPr>
        <w:ind w:firstLine="480"/>
        <w:rPr/>
      </w:pPr>
      <w:r>
        <w:rPr>
          <w:rFonts w:hint="eastAsia"/>
        </w:rPr>
        <w:t>本研究选取港口财金服务中极具代表性的“对账—开票—收款”流程作为标杆案例，深度剖析“RPA+AI”技术融合解决行业核心痛点的实践路径与综合价值。</w:t>
      </w:r>
    </w:p>
    <w:p>
      <w:pPr>
        <w:pStyle w:val="00000a"/>
        <w:rPr/>
      </w:pPr>
      <w:r>
        <w:rPr>
          <w:rFonts w:hint="eastAsia"/>
        </w:rPr>
        <w:t>5.2.1 背景与痛点：生态复杂性下的“效率枷锁”与“现金流压力”</w:t>
      </w:r>
    </w:p>
    <w:p>
      <w:pPr>
        <w:ind w:firstLine="480"/>
        <w:rPr/>
      </w:pPr>
      <w:r>
        <w:rPr>
          <w:rFonts w:hint="eastAsia"/>
        </w:rPr>
        <w:t>港口财金业务的特殊性，导致传统的对账收款流程不仅效率低下，更直接影响企业的现金流健康度，形成多重枷锁：</w:t>
      </w:r>
    </w:p>
    <w:p>
      <w:pPr>
        <w:ind w:firstLine="480"/>
        <w:rPr/>
      </w:pPr>
      <w:r>
        <w:rPr>
          <w:rFonts w:hint="eastAsia"/>
        </w:rPr>
        <w:t>1）生态复杂性：业务链条涉及船公司、货代、货主、车队等众多参与方，各方对账口径与习惯不一，邮件、电话、即时通讯工具多渠道沟通，导致信息碎片化，平均争议解决周期长达5-7天。</w:t>
      </w:r>
    </w:p>
    <w:p>
      <w:pPr>
        <w:ind w:firstLine="480"/>
        <w:rPr/>
      </w:pPr>
      <w:r>
        <w:rPr>
          <w:rFonts w:hint="eastAsia"/>
        </w:rPr>
        <w:t>2）计费规则动态多变：港口费用项目繁杂（如港口作业费、堆存费、滞箱费），且计费标准常因客户等级、合同版本、临时协议而异，人工核对极易出错，人工核算差错率可达3%-5%。</w:t>
      </w:r>
    </w:p>
    <w:p>
      <w:pPr>
        <w:ind w:firstLine="480"/>
        <w:rPr/>
      </w:pPr>
      <w:r>
        <w:rPr>
          <w:rFonts w:hint="eastAsia"/>
        </w:rPr>
        <w:t>单证密集且格式各异：对账过程依赖大量的纸质或电子单证，如提单、装箱单、磅单，以及客户通过邮件、微信回传的非标对账单（截图、无固定格式的Excel），信息核验与录入工作量巨大。</w:t>
      </w:r>
    </w:p>
    <w:p>
      <w:pPr>
        <w:ind w:firstLine="480"/>
        <w:rPr/>
      </w:pPr>
      <w:r>
        <w:rPr>
          <w:rFonts w:hint="eastAsia"/>
        </w:rPr>
        <w:t>3）系统孤岛现象严重：数据分散在码头操作系统（TOS）、计费系统、财务系统（ERP）、税务系统、网上银行等多个异构系统中。财务人员需在不同系统间频繁切换，手动进行数据的“复制-粘贴”，过程枯燥且极易出错，每日有超过60%的工作时间被耗费在此类低价值操作上。</w:t>
      </w:r>
    </w:p>
    <w:p>
      <w:pPr>
        <w:pStyle w:val="00000a"/>
        <w:rPr/>
      </w:pPr>
      <w:r>
        <w:rPr>
          <w:rFonts w:hint="eastAsia"/>
        </w:rPr>
        <w:t>5.2.2 流程改造方案：构建“RPA+AI”驱动的自动化数字员工</w:t>
      </w:r>
    </w:p>
    <w:p>
      <w:pPr>
        <w:ind w:firstLine="480"/>
        <w:rPr/>
      </w:pPr>
      <w:r>
        <w:rPr>
          <w:rFonts w:hint="eastAsia"/>
        </w:rPr>
        <w:t>针对上述痛点，引入了由RPA扮演“数字员工”，并深度融合OCR、规则引擎等AI能力的自动化处理闭环，其工作流程更为精细和智能：</w:t>
      </w:r>
    </w:p>
    <w:p>
      <w:pPr>
        <w:ind w:firstLine="480"/>
        <w:rPr/>
      </w:pPr>
      <w:r>
        <w:rPr>
          <w:rFonts w:hint="eastAsia"/>
        </w:rPr>
        <w:t>1）自动化流程详解：</w:t>
      </w:r>
    </w:p>
    <w:p>
      <w:pPr>
        <w:ind w:firstLine="480"/>
        <w:rPr/>
      </w:pPr>
      <w:r>
        <w:rPr>
          <w:rFonts w:hint="eastAsia"/>
        </w:rPr>
        <w:t>自动对账与差异识别 (RPA + 智能OCR + 规则引擎)</w:t>
      </w:r>
    </w:p>
    <w:p>
      <w:pPr>
        <w:ind w:firstLine="480"/>
        <w:rPr/>
      </w:pPr>
      <w:r>
        <w:rPr>
          <w:rFonts w:hint="eastAsia"/>
        </w:rPr>
        <w:t>2）任务触发与分发：RPA机器人每日定时登录计费系统，自动导出所有客户的待对账单，并根据客户信息库自动通过邮件分发。</w:t>
      </w:r>
    </w:p>
    <w:p>
      <w:pPr>
        <w:ind w:firstLine="480"/>
        <w:rPr/>
      </w:pPr>
      <w:r>
        <w:rPr>
          <w:rFonts w:hint="eastAsia"/>
        </w:rPr>
        <w:t>3）信息收取与解析：机器人7x24小时监控指定邮箱，自动收取客户回传的对账确认函。利用基于深度学习的智能OCR技术，机器人无需预设模板即可高精度地识别并提取邮件正文、PDF、图片等非结构化附件中的关键信息，如对账单号、客户盖章/签名、确认金额、差异项备注等。</w:t>
      </w:r>
    </w:p>
    <w:p>
      <w:pPr>
        <w:ind w:firstLine="480"/>
        <w:rPr/>
      </w:pPr>
      <w:r>
        <w:rPr>
          <w:rFonts w:hint="eastAsia"/>
        </w:rPr>
        <w:t>4）智能比对与归因：</w:t>
      </w:r>
    </w:p>
    <w:p>
      <w:pPr>
        <w:ind w:firstLine="480"/>
        <w:rPr/>
      </w:pPr>
      <w:r>
        <w:rPr>
          <w:rFonts w:hint="eastAsia"/>
        </w:rPr>
        <w:t>机器人将客户反馈数据与我方账单进行逐行、逐字段的自动比对。通过内置的可视化、可配置的规则引擎（例如：规则1：若客户名称包含“XX航运”且金额完全匹配，则标记为“无差异”；规则2：若金额差异小于1元，标记为“小额差异，自动平账”；规则3：若数量不一致，标记为“短驳差异”），机器人能自动对差异进行归因分析。</w:t>
      </w:r>
    </w:p>
    <w:p>
      <w:pPr>
        <w:ind w:firstLine="480"/>
        <w:rPr/>
      </w:pPr>
      <w:r>
        <w:rPr>
          <w:rFonts w:hint="eastAsia"/>
        </w:rPr>
        <w:t>差异处理与工单流转 (RPA + 业务系统API/UI)</w:t>
      </w:r>
    </w:p>
    <w:p>
      <w:pPr>
        <w:ind w:firstLine="480"/>
        <w:rPr/>
      </w:pPr>
      <w:r>
        <w:rPr>
          <w:rFonts w:hint="eastAsia"/>
        </w:rPr>
        <w:t>对于无差异或小额差异账单，机器人自动在计费系统中更新状态为“已确认，待开票”，并调用ERP的API接口生成预制凭证，实现高速处理。</w:t>
      </w:r>
    </w:p>
    <w:p>
      <w:pPr>
        <w:ind w:firstLine="480"/>
        <w:rPr/>
      </w:pPr>
      <w:r>
        <w:rPr>
          <w:rFonts w:hint="eastAsia"/>
        </w:rPr>
        <w:t>对于存在实质性差异的账单，机器人自动在协同办公平台（如钉钉、企业微信）中创建“对账差异工单”，将差异明细、原因标签及原始附件打包，并根据预设规则（如“短驳差异”@操作部负责人）自动@相关责任人，实现异常处理的自动化、透明化流转与闭环跟踪。</w:t>
      </w:r>
    </w:p>
    <w:p>
      <w:pPr>
        <w:ind w:firstLine="480"/>
        <w:rPr/>
      </w:pPr>
      <w:r>
        <w:rPr>
          <w:rFonts w:hint="eastAsia"/>
        </w:rPr>
        <w:t>自动开票与收款核销 (RPA + 税务系统 + 网银安全插件)</w:t>
      </w:r>
    </w:p>
    <w:p>
      <w:pPr>
        <w:ind w:firstLine="480"/>
        <w:rPr/>
      </w:pPr>
      <w:r>
        <w:rPr>
          <w:rFonts w:hint="eastAsia"/>
        </w:rPr>
        <w:t>对于已确认账单，RPA机器人自动登录财务系统生成开票申请，调用金税系统接口开具电子发票，并自动将发票PDF发送给客户。</w:t>
      </w:r>
    </w:p>
    <w:p>
      <w:pPr>
        <w:ind w:firstLine="480"/>
        <w:rPr/>
      </w:pPr>
      <w:r>
        <w:rPr>
          <w:rFonts w:hint="eastAsia"/>
        </w:rPr>
        <w:t>机器人每日自动登录各合作银行的网银平台（通过安装在安全环境中的专用插件），下载加密的收款流水。通过多维度模糊匹配算法（如匹配金额、客户名称关键词、订单号后6位、付款方备注信息），将收款记录与应收账款进行智能匹配与核销。</w:t>
      </w:r>
    </w:p>
    <w:p>
      <w:pPr>
        <w:ind w:firstLine="480"/>
        <w:rPr/>
      </w:pPr>
      <w:r>
        <w:rPr>
          <w:rFonts w:hint="eastAsia"/>
        </w:rPr>
        <w:t>对于无法自动匹配的款项，机器人生成“待认领款项清单”，并附上可能的匹配建议，推送给财务人员进行最终决策。</w:t>
      </w:r>
    </w:p>
    <w:p>
      <w:pPr>
        <w:pStyle w:val="00000a"/>
        <w:rPr/>
      </w:pPr>
      <w:r>
        <w:rPr>
          <w:rFonts w:hint="eastAsia"/>
        </w:rPr>
        <w:t>5.2.3 实施成效与价值评估：从“降本增效”到“战略赋能”</w:t>
      </w:r>
    </w:p>
    <w:p>
      <w:pPr>
        <w:ind w:firstLine="480"/>
        <w:rPr/>
      </w:pPr>
      <w:r>
        <w:rPr>
          <w:rFonts w:hint="eastAsia"/>
        </w:rPr>
        <w:t>该案例的成功实施，为企业带来了可量化的多维度价值，完全印证了本研究提出的“技术特性-业务痛点-价值创造”分析框架：</w:t>
      </w:r>
    </w:p>
    <w:p>
      <w:pPr>
        <w:ind w:firstLine="480"/>
        <w:rPr/>
      </w:pPr>
      <w:r>
        <w:rPr>
          <w:rFonts w:hint="eastAsia"/>
        </w:rPr>
        <w:t>1）运营效率：对账处理的自动化率达到90%以上，单个财务人员可管理的客户数量提升3-5倍。整体对账周期由平均3-5个工作日缩短至T+1日内，极大加速了资金回笼速度，应收账款周转天数（DSO）平均降低15%。</w:t>
      </w:r>
    </w:p>
    <w:p>
      <w:pPr>
        <w:ind w:firstLine="480"/>
        <w:rPr/>
      </w:pPr>
      <w:r>
        <w:rPr>
          <w:rFonts w:hint="eastAsia"/>
        </w:rPr>
        <w:t>2）成本控制：直接节省了大量从事重复性工作的人力成本，且通过流程优化减少了沟通成本和错误纠正成本。根据Forrester的研究，企业部署RPA后的投资回报率（ROI）通常在第一年就能达到30%至200%。</w:t>
      </w:r>
    </w:p>
    <w:p>
      <w:pPr>
        <w:ind w:firstLine="480"/>
        <w:rPr/>
      </w:pPr>
      <w:r>
        <w:rPr>
          <w:rFonts w:hint="eastAsia"/>
        </w:rPr>
        <w:t>3）质量与合规：RPA的每一步操作均有详细日志记录，实现了全流程的100%可追溯、可审计，大幅提升了内控水平和数据准确性，满足金融强监管要求。</w:t>
      </w:r>
    </w:p>
    <w:p>
      <w:pPr>
        <w:ind w:firstLine="480"/>
        <w:rPr/>
      </w:pPr>
      <w:r>
        <w:rPr>
          <w:rFonts w:hint="eastAsia"/>
        </w:rPr>
        <w:t>4）人力与战略转型：将财务人员从繁重、低价值的重复性劳动中解放出来，使其能够专注于差异根本原因分析、客户信用风险评估、提供更有价值的财务洞察等工作。这不仅提升了员工满意度，更使财务部门从传统的“账房先生”转变为支撑“智慧港口”建设的价值创造中心。</w:t>
      </w:r>
    </w:p>
    <w:p>
      <w:pPr>
        <w:ind w:firstLine="480"/>
        <w:rPr/>
      </w:pPr>
      <w:r>
        <w:rPr>
          <w:rFonts w:hint="eastAsia"/>
        </w:rPr>
        <w:t>5）客户体验提升：更快、更准的对账与开票流程，显著提升了船公司、货代等客户的满意度和忠诚度，构筑了数字化服务壁垒。</w:t>
      </w:r>
    </w:p>
    <w:p>
      <w:pPr>
        <w:pStyle w:val="000008"/>
        <w:rPr/>
      </w:pPr>
      <w:r>
        <w:rPr>
          <w:rFonts w:hint="eastAsia"/>
        </w:rPr>
        <w:t>5.3 未来场景展望</w:t>
      </w:r>
    </w:p>
    <w:p>
      <w:pPr>
        <w:ind w:firstLine="480"/>
        <w:rPr/>
      </w:pPr>
      <w:r>
        <w:rPr>
          <w:rFonts w:hint="eastAsia"/>
        </w:rPr>
        <w:t>展望未来，随着技术的进一步成熟与融合，RPA在金融领域的应用将呈现出更加智能化、一体化和价值化的趋势。</w:t>
      </w:r>
    </w:p>
    <w:p>
      <w:pPr>
        <w:pStyle w:val="00000a"/>
        <w:rPr/>
      </w:pPr>
      <w:r>
        <w:rPr>
          <w:rFonts w:hint="eastAsia"/>
        </w:rPr>
        <w:t>5.3.1 趋势一：从RPA到“智能体流程”（RPA + LLM + 工具调用）</w:t>
      </w:r>
    </w:p>
    <w:p>
      <w:pPr>
        <w:ind w:firstLine="480"/>
        <w:rPr/>
      </w:pPr>
      <w:r>
        <w:rPr>
          <w:rFonts w:hint="eastAsia"/>
        </w:rPr>
        <w:t>单一的RPA将逐渐演变为更广泛的“智能体流程自动化”（Agentic Process Automation）的一部分。大语言模型（LLM）将扮演“大脑”的角色，负责理解复杂的业务需求并将其拆解为一系列可执行步骤，而RPA则作为智能体的“手”和“脚”，与其他API、数据库、Python脚本等工具一同被灵活编排和调用，以完成更为复杂的动态决策和内容生成任务。</w:t>
      </w:r>
    </w:p>
    <w:p>
      <w:pPr>
        <w:ind w:firstLine="480"/>
        <w:rPr/>
      </w:pPr>
      <w:r>
        <w:rPr>
          <w:rFonts w:hint="eastAsia"/>
        </w:rPr>
        <w:t>应用场景示例：信贷经理用自然语言下达指令：“分析一下‘XX科技有限公司’上个财年的偿债能力，与行业平均水平做个对比，并生成一份信贷风险评估报告初稿。”</w:t>
      </w:r>
    </w:p>
    <w:p>
      <w:pPr>
        <w:ind w:firstLine="480"/>
        <w:rPr/>
      </w:pPr>
      <w:r>
        <w:rPr>
          <w:rFonts w:hint="eastAsia"/>
        </w:rPr>
        <w:t>LLM解析与规划：LLM解析指令，识别出实体“XX科技”，任务是“偿债能力分析”和“报告生成”，并规划出执行步骤。</w:t>
      </w:r>
    </w:p>
    <w:p>
      <w:pPr>
        <w:ind w:firstLine="480"/>
        <w:rPr/>
      </w:pPr>
      <w:r>
        <w:rPr>
          <w:rFonts w:hint="eastAsia"/>
        </w:rPr>
        <w:t>1）工具编排与执行：LLM指挥RPA机器人登录企业征信网站和内部资料库，下载该公司的财务报表（PDF）。接着调用Python脚本工具，运行预设的财务分析模型，计算出流动比率、速动比率、资产负债率等关键指标，并从行业数据库中获取对标数据。</w:t>
      </w:r>
    </w:p>
    <w:p>
      <w:pPr>
        <w:ind w:firstLine="480"/>
        <w:rPr/>
      </w:pPr>
      <w:r>
        <w:rPr>
          <w:rFonts w:hint="eastAsia"/>
        </w:rPr>
        <w:t>2）内容生成与交付：LLM整合所有分析结果，依据内置的报告模板，自动生成一份包含数据、图表和初步文字分析的风险评估报告。</w:t>
      </w:r>
    </w:p>
    <w:p>
      <w:pPr>
        <w:ind w:firstLine="480"/>
        <w:rPr/>
      </w:pPr>
      <w:r>
        <w:rPr>
          <w:rFonts w:hint="eastAsia"/>
        </w:rPr>
        <w:t>3）人机协同：最后，RPA将报告初稿发送给信贷经理，由其进行专业的深化、审核与最终决策。</w:t>
      </w:r>
    </w:p>
    <w:p>
      <w:pPr>
        <w:pStyle w:val="00000a"/>
        <w:rPr/>
      </w:pPr>
      <w:r>
        <w:rPr>
          <w:rFonts w:hint="eastAsia"/>
        </w:rPr>
        <w:t>5.3.2 趋势二：非结构化文档处理的“端到端自动化”</w:t>
      </w:r>
    </w:p>
    <w:p>
      <w:pPr>
        <w:ind w:firstLine="480"/>
        <w:rPr/>
      </w:pPr>
      <w:r>
        <w:rPr>
          <w:rFonts w:hint="eastAsia"/>
        </w:rPr>
        <w:t>“RPA+AI”的融合将主攻金融领域中体量巨大、价值密度高的非结构化文档，从简单的字段提取深入到“文档理解、比对与生成”的更高层面：</w:t>
      </w:r>
    </w:p>
    <w:p>
      <w:pPr>
        <w:ind w:firstLine="480"/>
        <w:rPr/>
      </w:pPr>
      <w:r>
        <w:rPr>
          <w:rFonts w:hint="eastAsia"/>
        </w:rPr>
        <w:t>1）合同智能审查：在法务或合规部门，RPA自动抓取待审合同，调用AI模型将其与标准范本或风险条款库进行比对，自动识别并高亮显示缺失条款、不利条款或高风险条款，并生成审阅意见初稿。</w:t>
      </w:r>
    </w:p>
    <w:p>
      <w:pPr>
        <w:ind w:firstLine="480"/>
        <w:rPr/>
      </w:pPr>
      <w:r>
        <w:rPr>
          <w:rFonts w:hint="eastAsia"/>
        </w:rPr>
        <w:t>2）金融财报智能分析：针对非上市公司的扫描版PDF财报，RPA结合OCR和NLP技术，自动提取资产负债表、利润表和现金流量表的核心数据，并导入到财务分析模型中，实现对大量中小企业信用资质的快速筛选。</w:t>
      </w:r>
    </w:p>
    <w:p>
      <w:pPr>
        <w:ind w:firstLine="480"/>
        <w:rPr/>
      </w:pPr>
      <w:r>
        <w:rPr>
          <w:rFonts w:hint="eastAsia"/>
        </w:rPr>
        <w:t>3）保险智能核保核赔：RPA自动解析投保人上传的体检报告、病历、诊断证明等医疗文书，提取关键诊断信息和指标，与保单的健康告知、承保规则、理赔条款进行自动比对，输出包含拒赔/赔付依据、赔付金额建议的核保或核赔报告。</w:t>
      </w:r>
    </w:p>
    <w:p>
      <w:pPr>
        <w:pStyle w:val="00000a"/>
        <w:rPr/>
      </w:pPr>
      <w:r>
        <w:rPr>
          <w:rFonts w:hint="eastAsia"/>
        </w:rPr>
        <w:t>5.3.3 趋势三：面向风控的“实时监测+自动处置”</w:t>
      </w:r>
    </w:p>
    <w:p>
      <w:pPr>
        <w:ind w:firstLine="480"/>
        <w:rPr/>
      </w:pPr>
      <w:r>
        <w:rPr>
          <w:rFonts w:hint="eastAsia"/>
        </w:rPr>
        <w:t>RPA的应用将从后台的效率提升，更多地渗透到中台的风险控制领域，从“事后稽核”走向“事中监测与实时干预”。</w:t>
      </w:r>
    </w:p>
    <w:p>
      <w:pPr>
        <w:ind w:firstLine="480"/>
        <w:rPr/>
      </w:pPr>
    </w:p>
    <w:p>
      <w:pPr>
        <w:ind w:firstLine="480"/>
        <w:rPr/>
      </w:pPr>
      <w:r>
        <w:rPr>
          <w:rFonts w:hint="eastAsia"/>
        </w:rPr>
        <w:t>1）交易反欺诈：AI驱动的RPA能够实时监控交易数据流，一旦触发高风险规则或模型预警（如深夜异地大额交易、短时高频交易），可被立即激活，在毫秒级内自动执行冻结账户、生成风险事件报告、通知风控官等一系列操作，大大缩短风险暴露窗口。</w:t>
      </w:r>
    </w:p>
    <w:p>
      <w:pPr>
        <w:ind w:firstLine="480"/>
        <w:rPr/>
      </w:pPr>
      <w:r>
        <w:rPr>
          <w:rFonts w:hint="eastAsia"/>
        </w:rPr>
        <w:t>2）内部审计与操作风险监控：RPA机器人可作为“7x24小时的数字审计员”，持续监控系统操作日志，自动发现并预警违反“职责分离”原则的行为（如：同一用户既创建供应商又批准向该供应商付款），将传统依赖定期抽查的审计模式，升级为全面、实时的持续监控模式。</w:t>
      </w:r>
    </w:p>
    <w:p>
      <w:pPr>
        <w:pStyle w:val="00000a"/>
        <w:rPr/>
      </w:pPr>
      <w:r>
        <w:rPr>
          <w:rFonts w:hint="eastAsia"/>
        </w:rPr>
        <w:t>5.3.4 趋势四：合规与治理能力成为规模化的“硬门槛”</w:t>
      </w:r>
    </w:p>
    <w:p>
      <w:pPr>
        <w:ind w:firstLine="480"/>
        <w:rPr/>
      </w:pPr>
      <w:r>
        <w:rPr>
          <w:rFonts w:hint="eastAsia"/>
        </w:rPr>
        <w:t>随着RPA在金融核心业务中的应用加深，监管机构与内部审计对其关注度将空前提高。未来，健全的治理与合规体系将成为决定RPA项目能否成功规模化的关键，这也是如金智维等头部厂商强调构建“数字技术底座”和“生态连接器”价值的体现。</w:t>
      </w:r>
    </w:p>
    <w:p>
      <w:pPr>
        <w:ind w:firstLine="480"/>
        <w:rPr/>
      </w:pPr>
      <w:r>
        <w:rPr>
          <w:rFonts w:hint="eastAsia"/>
        </w:rPr>
        <w:t>1）机器人全生命周期管理：建立从需求、开发、测试、部署到监控、退役的完整机器人生命周期管理流程。版本控制（如使用Git）、自动化测试、蓝绿部署等软件工程实践将被广泛应用于RPA，以确保机器人变更的稳定性和可追溯性。</w:t>
      </w:r>
    </w:p>
    <w:p>
      <w:pPr>
        <w:ind w:firstLine="480"/>
        <w:rPr/>
      </w:pPr>
      <w:r>
        <w:rPr>
          <w:rFonts w:hint="eastAsia"/>
        </w:rPr>
        <w:t>2）强化审计与可解释性（XAI）：所有机器人的操作日志，特别是涉及金额、交易和关键决策的步骤，都将被加密并集中存储，确保其不可篡改。对于集成了AI模块的RPA流程，系统必须能够解释其决策逻辑（例如：“此笔理赔判定为拒赔，因为诊断‘原位癌’符合保单条款T.2.3中的免责范围”），以满足金融强监管环境下对透明度和公平性的要求。</w:t>
      </w:r>
    </w:p>
    <w:p>
      <w:pPr>
        <w:pBdr/>
        <w:ind w:firstLine="0" w:firstLineChars="0"/>
        <w:rPr/>
      </w:pPr>
    </w:p>
    <w:p>
      <w:pPr>
        <w:pBdr/>
        <w:ind w:firstLine="0" w:firstLineChars="0"/>
        <w:rPr/>
      </w:pPr>
    </w:p>
    <w:p>
      <w:pPr>
        <w:pBdr/>
        <w:ind w:firstLine="0" w:firstLineChars="0"/>
        <w:rPr/>
      </w:pPr>
    </w:p>
    <w:p>
      <w:pPr>
        <w:pStyle w:val="000006"/>
        <w:numPr/>
        <w:ind/>
        <w:rPr/>
      </w:pPr>
      <w:r>
        <w:rPr>
          <w:rFonts w:hint="eastAsia"/>
        </w:rPr>
        <w:t>第六章行业应用与趋势维度</w:t>
      </w:r>
    </w:p>
    <w:p>
      <w:pPr>
        <w:pBdr>
          <w:bottom w:val="thick" w:sz="0"/>
        </w:pBdr>
        <w:snapToGrid w:val="1"/>
        <w:spacing w:before="0" w:after="0" w:line="240"/>
        <w:ind w:left="0" w:hanging="0"/>
        <w:jc w:val="left"/>
        <w:rPr/>
      </w:pPr>
      <w:r>
        <w:rPr>
          <w:rFonts w:ascii="-apple-system" w:hAnsi="-apple-system" w:eastAsia="-apple-system" w:cs="-apple-system"/>
          <w:i w:val="0"/>
          <w:strike w:val="0"/>
          <w:color w:val="auto"/>
          <w:spacing w:val="0"/>
          <w:sz w:val="24"/>
          <w:u w:val="none"/>
          <w:shd w:val="clear" w:color="auto" w:fill="FFFFFF"/>
        </w:rPr>
        <w:t>本章基于前文的理论分析与政策背景，结合实地调研与文献整理，深入剖析RPA技术在金融领域的实际渗透情况。通过选取具有代表性的标杆案例，分析其应用成效，并结合国家“五篇大文章”等政策导向，对未来3-5年的技术应用场景进行预判。</w:t>
      </w:r>
    </w:p>
    <w:p>
      <w:pPr>
        <w:pStyle w:val="00000c"/>
        <w:pBdr>
          <w:bottom w:val="thick" w:sz="0"/>
        </w:pBdr>
        <w:snapToGrid w:val="1"/>
        <w:spacing w:before="0" w:after="0" w:line="240"/>
        <w:ind w:left="0" w:right="0" w:hanging="0"/>
        <w:jc w:val="left"/>
        <w:rPr/>
      </w:pPr>
      <w:r>
        <w:rPr>
          <w:rFonts w:ascii="-apple-system" w:hAnsi="-apple-system" w:eastAsia="-apple-system" w:cs="-apple-system"/>
          <w:i w:val="0"/>
          <w:strike w:val="0"/>
          <w:color w:val="auto"/>
          <w:spacing w:val="3"/>
          <w:sz w:val="24"/>
          <w:u w:val="none"/>
          <w:shd w:val="clear" w:color="auto" w:fill="FFFFFF"/>
        </w:rPr>
        <w:t>6.1 行业渗透分析：从“单点替代”到“流程生产力平台”</w:t>
      </w:r>
    </w:p>
    <w:p>
      <w:pPr>
        <w:pBdr>
          <w:bottom w:val="thick" w:sz="0"/>
        </w:pBdr>
        <w:snapToGrid w:val="1"/>
        <w:spacing w:before="0" w:after="0" w:line="240"/>
        <w:ind w:left="0" w:hanging="0"/>
        <w:jc w:val="left"/>
        <w:rPr/>
      </w:pPr>
      <w:r>
        <w:rPr>
          <w:rFonts w:ascii="-apple-system" w:hAnsi="-apple-system" w:eastAsia="-apple-system" w:cs="-apple-system"/>
          <w:i w:val="0"/>
          <w:strike w:val="0"/>
          <w:color w:val="auto"/>
          <w:spacing w:val="0"/>
          <w:sz w:val="24"/>
          <w:u w:val="none"/>
          <w:shd w:val="clear" w:color="auto" w:fill="FFFFFF"/>
        </w:rPr>
        <w:t>RPA技术在金融行业的渗透并非一蹴而就，而是呈现出一条由浅入深、由点及面的演进路径。综合行业实践，可将其应用成熟度划分为四个递进的阶段。</w:t>
      </w:r>
    </w:p>
    <w:p>
      <w:pPr>
        <w:pBdr>
          <w:bottom w:val="thick" w:sz="0"/>
        </w:pBdr>
        <w:snapToGrid w:val="1"/>
        <w:spacing w:before="0" w:after="0" w:line="240"/>
        <w:ind w:left="0" w:hanging="0"/>
        <w:jc w:val="left"/>
        <w:rPr/>
      </w:pPr>
      <w:r>
        <w:rPr>
          <w:rFonts w:ascii="-apple-system" w:hAnsi="-apple-system" w:eastAsia="-apple-system" w:cs="-apple-system"/>
          <w:b w:val="1"/>
          <w:i w:val="0"/>
          <w:strike w:val="0"/>
          <w:color w:val="auto"/>
          <w:spacing w:val="0"/>
          <w:sz w:val="24"/>
          <w:u w:val="none"/>
          <w:shd w:val="clear" w:color="auto" w:fill="FFFFFF"/>
        </w:rPr>
        <w:t>6.1.1 阶段演进路径</w:t>
      </w:r>
    </w:p>
    <w:p>
      <w:pPr>
        <w:numPr>
          <w:ilvl w:val="0"/>
          <w:numId w:val="6"/>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阶段I：单点任务自动化 (Task Automation)特征：</w:t>
      </w:r>
      <w:r>
        <w:rPr>
          <w:rFonts w:ascii="-apple-system" w:hAnsi="-apple-system" w:eastAsia="-apple-system" w:cs="-apple-system"/>
          <w:i w:val="0"/>
          <w:strike w:val="0"/>
          <w:color w:val="auto"/>
          <w:spacing w:val="0"/>
          <w:sz w:val="24"/>
          <w:u w:val="none"/>
          <w:shd w:val="clear" w:color="auto" w:fill="FFFFFF"/>
        </w:rPr>
        <w:t xml:space="preserve"> 核心是“脚本化”的“点状替代”，旨在将个体员工从高度重复、规则明确的桌面操作中解放出来。</w:t>
      </w:r>
    </w:p>
    <w:p>
      <w:pPr>
        <w:numPr>
          <w:ilvl w:val="1"/>
          <w:numId w:val="6"/>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案例：</w:t>
      </w:r>
      <w:r>
        <w:rPr>
          <w:rFonts w:ascii="-apple-system" w:hAnsi="-apple-system" w:eastAsia="-apple-system" w:cs="-apple-system"/>
          <w:i w:val="0"/>
          <w:strike w:val="0"/>
          <w:color w:val="auto"/>
          <w:spacing w:val="0"/>
          <w:sz w:val="24"/>
          <w:u w:val="none"/>
          <w:shd w:val="clear" w:color="auto" w:fill="FFFFFF"/>
        </w:rPr>
        <w:t xml:space="preserve"> 某商业银行分支行每日需登录5个系统下载8份报表。RPA机器人部署后，每日定时自动完成下载、重命名和邮件发送，将原本耗时30分钟的人工操作缩短至3分钟以内，准确率达100%。</w:t>
      </w:r>
    </w:p>
    <w:p>
      <w:pPr>
        <w:numPr>
          <w:ilvl w:val="0"/>
          <w:numId w:val="6"/>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阶段II：端到端流程自动化 (Process Automation)特征：</w:t>
      </w:r>
      <w:r>
        <w:rPr>
          <w:rFonts w:ascii="-apple-system" w:hAnsi="-apple-system" w:eastAsia="-apple-system" w:cs="-apple-system"/>
          <w:i w:val="0"/>
          <w:strike w:val="0"/>
          <w:color w:val="auto"/>
          <w:spacing w:val="0"/>
          <w:sz w:val="24"/>
          <w:u w:val="none"/>
          <w:shd w:val="clear" w:color="auto" w:fill="FFFFFF"/>
        </w:rPr>
        <w:t xml:space="preserve"> 跨系统、跨岗位的流程整合，追求更大范围的流程效率提升。</w:t>
      </w:r>
    </w:p>
    <w:p>
      <w:pPr>
        <w:numPr>
          <w:ilvl w:val="1"/>
          <w:numId w:val="6"/>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案例：</w:t>
      </w:r>
      <w:r>
        <w:rPr>
          <w:rFonts w:ascii="-apple-system" w:hAnsi="-apple-system" w:eastAsia="-apple-system" w:cs="-apple-system"/>
          <w:i w:val="0"/>
          <w:strike w:val="0"/>
          <w:color w:val="auto"/>
          <w:spacing w:val="0"/>
          <w:sz w:val="24"/>
          <w:u w:val="none"/>
          <w:shd w:val="clear" w:color="auto" w:fill="FFFFFF"/>
        </w:rPr>
        <w:t xml:space="preserve"> 某大型集团财务共享中心利用RPA+OCR技术处理费用报销。机器人自动识别发票、比对报销单、生成预制凭证，实现了从票据接收到账务处理的全流程自动化。</w:t>
      </w:r>
    </w:p>
    <w:p>
      <w:pPr>
        <w:numPr>
          <w:ilvl w:val="0"/>
          <w:numId w:val="6"/>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阶段III：平台化与集中治理 (Automation Platform &amp; Governance)特征：</w:t>
      </w:r>
      <w:r>
        <w:rPr>
          <w:rFonts w:ascii="-apple-system" w:hAnsi="-apple-system" w:eastAsia="-apple-system" w:cs="-apple-system"/>
          <w:i w:val="0"/>
          <w:strike w:val="0"/>
          <w:color w:val="auto"/>
          <w:spacing w:val="0"/>
          <w:sz w:val="24"/>
          <w:u w:val="none"/>
          <w:shd w:val="clear" w:color="auto" w:fill="FFFFFF"/>
        </w:rPr>
        <w:t xml:space="preserve"> 建立RPA卓越中心（CoE），将RPA作为企业级“数字生产力平台”进行管理。</w:t>
      </w:r>
    </w:p>
    <w:p>
      <w:pPr>
        <w:numPr>
          <w:ilvl w:val="1"/>
          <w:numId w:val="6"/>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案例：</w:t>
      </w:r>
      <w:r>
        <w:rPr>
          <w:rFonts w:ascii="-apple-system" w:hAnsi="-apple-system" w:eastAsia="-apple-system" w:cs="-apple-system"/>
          <w:i w:val="0"/>
          <w:strike w:val="0"/>
          <w:color w:val="auto"/>
          <w:spacing w:val="0"/>
          <w:sz w:val="24"/>
          <w:u w:val="none"/>
          <w:shd w:val="clear" w:color="auto" w:fill="FFFFFF"/>
        </w:rPr>
        <w:t xml:space="preserve"> 某头部保险公司成立RPA卓越中心，管理300+个机器人。通过建立可复用组件库（如“登录核心系统”、“读取身份证”），新流程开发效率提升了40%，并实现了统一的监控与运维。</w:t>
      </w:r>
    </w:p>
    <w:p>
      <w:pPr>
        <w:numPr>
          <w:ilvl w:val="0"/>
          <w:numId w:val="6"/>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阶段IV：认知增强与智能编排 (Intelligent Automation)特征：</w:t>
      </w:r>
      <w:r>
        <w:rPr>
          <w:rFonts w:ascii="-apple-system" w:hAnsi="-apple-system" w:eastAsia="-apple-system" w:cs="-apple-system"/>
          <w:i w:val="0"/>
          <w:strike w:val="0"/>
          <w:color w:val="auto"/>
          <w:spacing w:val="0"/>
          <w:sz w:val="24"/>
          <w:u w:val="none"/>
          <w:shd w:val="clear" w:color="auto" w:fill="FFFFFF"/>
        </w:rPr>
        <w:t xml:space="preserve"> “RPA+AI”向“超自动化”迈进。集成OCR、NLP、大语言模型（LLM），机器人角色从“数字劳工”演进为“初级分析师”。</w:t>
      </w:r>
    </w:p>
    <w:p>
      <w:pPr>
        <w:numPr>
          <w:ilvl w:val="1"/>
          <w:numId w:val="6"/>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案例：</w:t>
      </w:r>
      <w:r>
        <w:rPr>
          <w:rFonts w:ascii="-apple-system" w:hAnsi="-apple-system" w:eastAsia="-apple-system" w:cs="-apple-system"/>
          <w:i w:val="0"/>
          <w:strike w:val="0"/>
          <w:color w:val="auto"/>
          <w:spacing w:val="0"/>
          <w:sz w:val="24"/>
          <w:u w:val="none"/>
          <w:shd w:val="clear" w:color="auto" w:fill="FFFFFF"/>
        </w:rPr>
        <w:t xml:space="preserve"> 某证券公司投研部利用集成Kimi、DeepSeek等大模型能力的RPA机器人，自动提取研报中的“投资评级”、“目标价”并生成晨会素材，极大提升了非结构化数据处理能力。</w:t>
      </w:r>
    </w:p>
    <w:p>
      <w:pPr>
        <w:pBdr>
          <w:bottom w:val="thick" w:sz="0"/>
        </w:pBdr>
        <w:snapToGrid w:val="1"/>
        <w:spacing w:before="0" w:after="0" w:line="240"/>
        <w:ind w:left="0" w:hanging="0"/>
        <w:jc w:val="left"/>
        <w:rPr/>
      </w:pPr>
      <w:r>
        <w:rPr>
          <w:rFonts w:ascii="-apple-system" w:hAnsi="-apple-system" w:eastAsia="-apple-system" w:cs="-apple-system"/>
          <w:b w:val="1"/>
          <w:i w:val="0"/>
          <w:strike w:val="0"/>
          <w:color w:val="auto"/>
          <w:spacing w:val="0"/>
          <w:sz w:val="24"/>
          <w:u w:val="none"/>
          <w:shd w:val="clear" w:color="auto" w:fill="FFFFFF"/>
        </w:rPr>
        <w:t>6.1.2 渗透现状：金融机构与企业财金的“双轮驱动”</w:t>
      </w:r>
    </w:p>
    <w:p>
      <w:pPr>
        <w:pBdr>
          <w:bottom w:val="thick" w:sz="0"/>
        </w:pBdr>
        <w:snapToGrid w:val="1"/>
        <w:spacing w:before="0" w:after="0" w:line="240"/>
        <w:ind w:left="0" w:hanging="0"/>
        <w:jc w:val="left"/>
        <w:rPr/>
      </w:pPr>
      <w:r>
        <w:rPr>
          <w:rFonts w:ascii="-apple-system" w:hAnsi="-apple-system" w:eastAsia="-apple-system" w:cs="-apple-system"/>
          <w:i w:val="0"/>
          <w:strike w:val="0"/>
          <w:color w:val="auto"/>
          <w:spacing w:val="0"/>
          <w:sz w:val="24"/>
          <w:u w:val="none"/>
          <w:shd w:val="clear" w:color="auto" w:fill="FFFFFF"/>
        </w:rPr>
        <w:t>RPA在金融领域的渗透表现为两条主线：</w:t>
      </w:r>
    </w:p>
    <w:p>
      <w:pPr>
        <w:numPr>
          <w:ilvl w:val="0"/>
          <w:numId w:val="7"/>
        </w:numPr>
        <w:pBdr>
          <w:bottom w:val="thick" w:sz="0"/>
        </w:pBdr>
        <w:snapToGrid w:val="1"/>
        <w:spacing w:before="0" w:after="0" w:line="240"/>
        <w:ind/>
        <w:rPr/>
      </w:pPr>
      <w:r>
        <w:rPr>
          <w:rFonts w:ascii="-apple-system" w:hAnsi="-apple-system" w:eastAsia="-apple-system" w:cs="-apple-system"/>
          <w:b w:val="1"/>
          <w:i w:val="0"/>
          <w:strike w:val="0"/>
          <w:color w:val="auto"/>
          <w:spacing w:val="5"/>
          <w:sz w:val="24"/>
          <w:u w:val="none"/>
          <w:shd w:val="clear" w:color="auto" w:fill="FFFFFF"/>
        </w:rPr>
        <w:t>金融机构（银行、保险、证券）：</w:t>
      </w:r>
      <w:r>
        <w:rPr>
          <w:rFonts w:ascii="-apple-system" w:hAnsi="-apple-system" w:eastAsia="-apple-system" w:cs="-apple-system"/>
          <w:i w:val="0"/>
          <w:strike w:val="0"/>
          <w:color w:val="auto"/>
          <w:spacing w:val="5"/>
          <w:sz w:val="24"/>
          <w:u w:val="none"/>
          <w:shd w:val="clear" w:color="auto" w:fill="FFFFFF"/>
        </w:rPr>
        <w:t xml:space="preserve"> 侧重于提升中后台运营效率与风控合规。</w:t>
      </w:r>
      <w:r>
        <w:rPr>
          <w:rFonts w:ascii="-apple-system" w:hAnsi="-apple-system" w:eastAsia="-apple-system" w:cs="-apple-system"/>
          <w:b w:val="1"/>
          <w:i w:val="0"/>
          <w:strike w:val="0"/>
          <w:color w:val="auto"/>
          <w:spacing w:val="0"/>
          <w:sz w:val="24"/>
          <w:u w:val="none"/>
          <w:shd w:val="clear" w:color="auto" w:fill="FFFFFF"/>
        </w:rPr>
        <w:t>银行业：</w:t>
      </w:r>
      <w:r>
        <w:rPr>
          <w:rFonts w:ascii="-apple-system" w:hAnsi="-apple-system" w:eastAsia="-apple-system" w:cs="-apple-system"/>
          <w:i w:val="0"/>
          <w:strike w:val="0"/>
          <w:color w:val="auto"/>
          <w:spacing w:val="0"/>
          <w:sz w:val="24"/>
          <w:u w:val="none"/>
          <w:shd w:val="clear" w:color="auto" w:fill="FFFFFF"/>
        </w:rPr>
        <w:t xml:space="preserve"> 对公账户KYC尽职调查。RPA机器人自动访问工商、司法等外部网站，抓取数据并交叉验证，将单个客户的尽调时间从2小时缩短至15分钟。</w:t>
      </w:r>
    </w:p>
    <w:p>
      <w:pPr>
        <w:numPr>
          <w:ilvl w:val="1"/>
          <w:numId w:val="7"/>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保险业：</w:t>
      </w:r>
      <w:r>
        <w:rPr>
          <w:rFonts w:ascii="-apple-system" w:hAnsi="-apple-system" w:eastAsia="-apple-system" w:cs="-apple-system"/>
          <w:i w:val="0"/>
          <w:strike w:val="0"/>
          <w:color w:val="auto"/>
          <w:spacing w:val="0"/>
          <w:sz w:val="24"/>
          <w:u w:val="none"/>
          <w:shd w:val="clear" w:color="auto" w:fill="FFFFFF"/>
        </w:rPr>
        <w:t xml:space="preserve"> 车险简易案件自动理赔。RPA调用OCR识别保单，结合图像定损AI模型，若损失在预设阈值内（如5000元以下），机器人自动完成立案与赔付，最快几分钟内完成。</w:t>
      </w:r>
    </w:p>
    <w:p>
      <w:pPr>
        <w:numPr>
          <w:ilvl w:val="1"/>
          <w:numId w:val="7"/>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证券业：</w:t>
      </w:r>
      <w:r>
        <w:rPr>
          <w:rFonts w:ascii="-apple-system" w:hAnsi="-apple-system" w:eastAsia="-apple-system" w:cs="-apple-system"/>
          <w:i w:val="0"/>
          <w:strike w:val="0"/>
          <w:color w:val="auto"/>
          <w:spacing w:val="0"/>
          <w:sz w:val="24"/>
          <w:u w:val="none"/>
          <w:shd w:val="clear" w:color="auto" w:fill="FFFFFF"/>
        </w:rPr>
        <w:t xml:space="preserve"> 融资融券业务盯市与预警。机器人实时计算维持担保比例，一旦低于平仓线立即触发预警并生成强制平仓预案。</w:t>
      </w:r>
    </w:p>
    <w:p>
      <w:pPr>
        <w:numPr>
          <w:ilvl w:val="0"/>
          <w:numId w:val="7"/>
        </w:numPr>
        <w:pBdr>
          <w:bottom w:val="thick" w:sz="0"/>
        </w:pBdr>
        <w:snapToGrid w:val="1"/>
        <w:spacing w:before="0" w:after="0" w:line="240"/>
        <w:ind/>
        <w:rPr/>
      </w:pPr>
      <w:r>
        <w:rPr>
          <w:rFonts w:ascii="-apple-system" w:hAnsi="-apple-system" w:eastAsia="-apple-system" w:cs="-apple-system"/>
          <w:b w:val="1"/>
          <w:i w:val="0"/>
          <w:strike w:val="0"/>
          <w:color w:val="auto"/>
          <w:spacing w:val="5"/>
          <w:sz w:val="24"/>
          <w:u w:val="none"/>
          <w:shd w:val="clear" w:color="auto" w:fill="FFFFFF"/>
        </w:rPr>
        <w:t>企业财金部门：</w:t>
      </w:r>
      <w:r>
        <w:rPr>
          <w:rFonts w:ascii="-apple-system" w:hAnsi="-apple-system" w:eastAsia="-apple-system" w:cs="-apple-system"/>
          <w:i w:val="0"/>
          <w:strike w:val="0"/>
          <w:color w:val="auto"/>
          <w:spacing w:val="5"/>
          <w:sz w:val="24"/>
          <w:u w:val="none"/>
          <w:shd w:val="clear" w:color="auto" w:fill="FFFFFF"/>
        </w:rPr>
        <w:t xml:space="preserve"> 聚焦于业财融合与资金周转。</w:t>
      </w:r>
      <w:r>
        <w:rPr>
          <w:rFonts w:ascii="-apple-system" w:hAnsi="-apple-system" w:eastAsia="-apple-system" w:cs="-apple-system"/>
          <w:b w:val="1"/>
          <w:i w:val="0"/>
          <w:strike w:val="0"/>
          <w:color w:val="auto"/>
          <w:spacing w:val="0"/>
          <w:sz w:val="24"/>
          <w:u w:val="none"/>
          <w:shd w:val="clear" w:color="auto" w:fill="FFFFFF"/>
        </w:rPr>
        <w:t>典型场景：</w:t>
      </w:r>
      <w:r>
        <w:rPr>
          <w:rFonts w:ascii="-apple-system" w:hAnsi="-apple-system" w:eastAsia="-apple-system" w:cs="-apple-system"/>
          <w:i w:val="0"/>
          <w:strike w:val="0"/>
          <w:color w:val="auto"/>
          <w:spacing w:val="0"/>
          <w:sz w:val="24"/>
          <w:u w:val="none"/>
          <w:shd w:val="clear" w:color="auto" w:fill="FFFFFF"/>
        </w:rPr>
        <w:t xml:space="preserve"> 如港口财金服务中的“对账—开票—收款”闭环自动化（详见6.2节）。</w:t>
      </w:r>
    </w:p>
    <w:p>
      <w:pPr>
        <w:pStyle w:val="00000c"/>
        <w:pBdr>
          <w:bottom w:val="thick" w:sz="0"/>
        </w:pBdr>
        <w:snapToGrid w:val="1"/>
        <w:spacing w:before="0" w:after="0" w:line="240"/>
        <w:ind w:left="0" w:right="0" w:hanging="0"/>
        <w:jc w:val="left"/>
        <w:rPr/>
      </w:pPr>
      <w:r>
        <w:rPr>
          <w:rFonts w:ascii="-apple-system" w:hAnsi="-apple-system" w:eastAsia="-apple-system" w:cs="-apple-system"/>
          <w:i w:val="0"/>
          <w:strike w:val="0"/>
          <w:color w:val="auto"/>
          <w:spacing w:val="3"/>
          <w:sz w:val="24"/>
          <w:u w:val="none"/>
          <w:shd w:val="clear" w:color="auto" w:fill="FFFFFF"/>
        </w:rPr>
        <w:t>6.2 标杆案例研究：港口财金“对账—开票—收款”闭环自动化</w:t>
      </w:r>
    </w:p>
    <w:p>
      <w:pPr>
        <w:pBdr>
          <w:bottom w:val="thick" w:sz="0"/>
        </w:pBdr>
        <w:snapToGrid w:val="1"/>
        <w:spacing w:before="0" w:after="0" w:line="240"/>
        <w:ind w:left="0" w:hanging="0"/>
        <w:jc w:val="left"/>
        <w:rPr/>
      </w:pPr>
      <w:r>
        <w:rPr>
          <w:rFonts w:ascii="-apple-system" w:hAnsi="-apple-system" w:eastAsia="-apple-system" w:cs="-apple-system"/>
          <w:i w:val="0"/>
          <w:strike w:val="0"/>
          <w:color w:val="auto"/>
          <w:spacing w:val="0"/>
          <w:sz w:val="24"/>
          <w:u w:val="none"/>
          <w:shd w:val="clear" w:color="auto" w:fill="FFFFFF"/>
        </w:rPr>
        <w:t>本节选取港口财金服务中极具代表性的“对账—开票—收款”流程作为标杆案例，深度剖析“RPA+AI”技术解决行业核心痛点的实践路径。</w:t>
      </w:r>
    </w:p>
    <w:p>
      <w:pPr>
        <w:pBdr>
          <w:bottom w:val="thick" w:sz="0"/>
        </w:pBdr>
        <w:snapToGrid w:val="1"/>
        <w:spacing w:before="0" w:after="0" w:line="240"/>
        <w:ind w:left="0" w:hanging="0"/>
        <w:jc w:val="left"/>
        <w:rPr/>
      </w:pPr>
      <w:r>
        <w:rPr>
          <w:rFonts w:ascii="-apple-system" w:hAnsi="-apple-system" w:eastAsia="-apple-system" w:cs="-apple-system"/>
          <w:b w:val="1"/>
          <w:i w:val="0"/>
          <w:strike w:val="0"/>
          <w:color w:val="auto"/>
          <w:spacing w:val="0"/>
          <w:sz w:val="24"/>
          <w:u w:val="none"/>
          <w:shd w:val="clear" w:color="auto" w:fill="FFFFFF"/>
        </w:rPr>
        <w:t>6.2.1 背景与痛点</w:t>
      </w:r>
    </w:p>
    <w:p>
      <w:pPr>
        <w:pBdr>
          <w:bottom w:val="thick" w:sz="0"/>
        </w:pBdr>
        <w:snapToGrid w:val="1"/>
        <w:spacing w:before="0" w:after="0" w:line="240"/>
        <w:ind w:left="0" w:hanging="0"/>
        <w:jc w:val="left"/>
        <w:rPr/>
      </w:pPr>
      <w:r>
        <w:rPr>
          <w:rFonts w:ascii="-apple-system" w:hAnsi="-apple-system" w:eastAsia="-apple-system" w:cs="-apple-system"/>
          <w:i w:val="0"/>
          <w:strike w:val="0"/>
          <w:color w:val="auto"/>
          <w:spacing w:val="0"/>
          <w:sz w:val="24"/>
          <w:u w:val="none"/>
          <w:shd w:val="clear" w:color="auto" w:fill="FFFFFF"/>
        </w:rPr>
        <w:t>港口财金业务涉及船公司、货代、货主等多方，存在“生态复杂性高、计费规则多变、单证密集且格式各异、系统孤岛严重”等痛点。传统模式下，财务人员每日超过60%的时间耗费在低价值的“复制-粘贴”操作上，人工核算差错率可达3%-5%。</w:t>
      </w:r>
    </w:p>
    <w:p>
      <w:pPr>
        <w:pBdr>
          <w:bottom w:val="thick" w:sz="0"/>
        </w:pBdr>
        <w:snapToGrid w:val="1"/>
        <w:spacing w:before="0" w:after="0" w:line="240"/>
        <w:ind w:left="0" w:hanging="0"/>
        <w:jc w:val="left"/>
        <w:rPr/>
      </w:pPr>
      <w:r>
        <w:rPr>
          <w:rFonts w:ascii="-apple-system" w:hAnsi="-apple-system" w:eastAsia="-apple-system" w:cs="-apple-system"/>
          <w:b w:val="1"/>
          <w:i w:val="0"/>
          <w:strike w:val="0"/>
          <w:color w:val="auto"/>
          <w:spacing w:val="0"/>
          <w:sz w:val="24"/>
          <w:u w:val="none"/>
          <w:shd w:val="clear" w:color="auto" w:fill="FFFFFF"/>
        </w:rPr>
        <w:t>6.2.2 解决方案：构建“RPA+AI”数字员工</w:t>
      </w:r>
    </w:p>
    <w:p>
      <w:pPr>
        <w:pBdr>
          <w:bottom w:val="thick" w:sz="0"/>
        </w:pBdr>
        <w:snapToGrid w:val="1"/>
        <w:spacing w:before="0" w:after="0" w:line="240"/>
        <w:ind w:left="0" w:hanging="0"/>
        <w:jc w:val="left"/>
        <w:rPr/>
      </w:pPr>
      <w:r>
        <w:rPr>
          <w:rFonts w:ascii="-apple-system" w:hAnsi="-apple-system" w:eastAsia="-apple-system" w:cs="-apple-system"/>
          <w:i w:val="0"/>
          <w:strike w:val="0"/>
          <w:color w:val="auto"/>
          <w:spacing w:val="0"/>
          <w:sz w:val="24"/>
          <w:u w:val="none"/>
          <w:shd w:val="clear" w:color="auto" w:fill="FFFFFF"/>
        </w:rPr>
        <w:t>针对上述痛点，构建了自动化处理闭环：</w:t>
      </w:r>
    </w:p>
    <w:p>
      <w:pPr>
        <w:numPr>
          <w:ilvl w:val="0"/>
          <w:numId w:val="8"/>
        </w:numPr>
        <w:pBdr>
          <w:bottom w:val="thick" w:sz="0"/>
        </w:pBdr>
        <w:snapToGrid w:val="1"/>
        <w:spacing w:before="0" w:after="0" w:line="240"/>
        <w:ind/>
        <w:rPr/>
      </w:pPr>
      <w:r>
        <w:rPr>
          <w:rFonts w:ascii="-apple-system" w:hAnsi="-apple-system" w:eastAsia="-apple-system" w:cs="-apple-system"/>
          <w:b w:val="1"/>
          <w:i w:val="0"/>
          <w:strike w:val="0"/>
          <w:color w:val="auto"/>
          <w:spacing w:val="5"/>
          <w:sz w:val="24"/>
          <w:u w:val="none"/>
          <w:shd w:val="clear" w:color="auto" w:fill="FFFFFF"/>
        </w:rPr>
        <w:t>自动对账与差异识别 (RPA + 智能OCR + 规则引擎)：</w:t>
      </w:r>
      <w:r>
        <w:rPr>
          <w:rFonts w:ascii="-apple-system" w:hAnsi="-apple-system" w:eastAsia="-apple-system" w:cs="-apple-system"/>
          <w:i w:val="0"/>
          <w:strike w:val="0"/>
          <w:color w:val="auto"/>
          <w:spacing w:val="0"/>
          <w:sz w:val="24"/>
          <w:u w:val="none"/>
          <w:shd w:val="clear" w:color="auto" w:fill="FFFFFF"/>
        </w:rPr>
        <w:t>RPA机器人每日自动导出待对账单并分发。</w:t>
      </w:r>
    </w:p>
    <w:p>
      <w:pPr>
        <w:numPr>
          <w:ilvl w:val="1"/>
          <w:numId w:val="8"/>
        </w:numPr>
        <w:pBdr>
          <w:bottom w:val="thick" w:sz="0"/>
        </w:pBdr>
        <w:snapToGrid w:val="1"/>
        <w:spacing w:before="0" w:after="0" w:line="240"/>
        <w:ind/>
        <w:rPr/>
      </w:pPr>
      <w:r>
        <w:rPr>
          <w:rFonts w:ascii="-apple-system" w:hAnsi="-apple-system" w:eastAsia="-apple-system" w:cs="-apple-system"/>
          <w:i w:val="0"/>
          <w:strike w:val="0"/>
          <w:color w:val="auto"/>
          <w:spacing w:val="0"/>
          <w:sz w:val="24"/>
          <w:u w:val="none"/>
          <w:shd w:val="clear" w:color="auto" w:fill="FFFFFF"/>
        </w:rPr>
        <w:t>利用智能OCR技术识别客户回传的非结构化附件（截图、无固定格式Excel）。</w:t>
      </w:r>
    </w:p>
    <w:p>
      <w:pPr>
        <w:numPr>
          <w:ilvl w:val="1"/>
          <w:numId w:val="8"/>
        </w:numPr>
        <w:pBdr>
          <w:bottom w:val="thick" w:sz="0"/>
        </w:pBdr>
        <w:snapToGrid w:val="1"/>
        <w:spacing w:before="0" w:after="0" w:line="240"/>
        <w:ind/>
        <w:rPr/>
      </w:pPr>
      <w:r>
        <w:rPr>
          <w:rFonts w:ascii="-apple-system" w:hAnsi="-apple-system" w:eastAsia="-apple-system" w:cs="-apple-system"/>
          <w:i w:val="0"/>
          <w:strike w:val="0"/>
          <w:color w:val="auto"/>
          <w:spacing w:val="0"/>
          <w:sz w:val="24"/>
          <w:u w:val="none"/>
          <w:shd w:val="clear" w:color="auto" w:fill="FFFFFF"/>
        </w:rPr>
        <w:t>通过内置规则引擎（如金额匹配、小额差异自动平账、数量不一致标记）自动归因分析。</w:t>
      </w:r>
    </w:p>
    <w:p>
      <w:pPr>
        <w:numPr>
          <w:ilvl w:val="0"/>
          <w:numId w:val="8"/>
        </w:numPr>
        <w:pBdr>
          <w:bottom w:val="thick" w:sz="0"/>
        </w:pBdr>
        <w:snapToGrid w:val="1"/>
        <w:spacing w:before="0" w:after="0" w:line="240"/>
        <w:ind/>
        <w:rPr/>
      </w:pPr>
      <w:r>
        <w:rPr>
          <w:rFonts w:ascii="-apple-system" w:hAnsi="-apple-system" w:eastAsia="-apple-system" w:cs="-apple-system"/>
          <w:b w:val="1"/>
          <w:i w:val="0"/>
          <w:strike w:val="0"/>
          <w:color w:val="auto"/>
          <w:spacing w:val="5"/>
          <w:sz w:val="24"/>
          <w:u w:val="none"/>
          <w:shd w:val="clear" w:color="auto" w:fill="FFFFFF"/>
        </w:rPr>
        <w:t>差异处理与工单流转 (RPA + 业务系统API)：</w:t>
      </w:r>
      <w:r>
        <w:rPr>
          <w:rFonts w:ascii="-apple-system" w:hAnsi="-apple-system" w:eastAsia="-apple-system" w:cs="-apple-system"/>
          <w:i w:val="0"/>
          <w:strike w:val="0"/>
          <w:color w:val="auto"/>
          <w:spacing w:val="0"/>
          <w:sz w:val="24"/>
          <w:u w:val="none"/>
          <w:shd w:val="clear" w:color="auto" w:fill="FFFFFF"/>
        </w:rPr>
        <w:t>无差异账单自动更新状态并生成预制凭证。</w:t>
      </w:r>
    </w:p>
    <w:p>
      <w:pPr>
        <w:numPr>
          <w:ilvl w:val="1"/>
          <w:numId w:val="8"/>
        </w:numPr>
        <w:pBdr>
          <w:bottom w:val="thick" w:sz="0"/>
        </w:pBdr>
        <w:snapToGrid w:val="1"/>
        <w:spacing w:before="0" w:after="0" w:line="240"/>
        <w:ind/>
        <w:rPr/>
      </w:pPr>
      <w:r>
        <w:rPr>
          <w:rFonts w:ascii="-apple-system" w:hAnsi="-apple-system" w:eastAsia="-apple-system" w:cs="-apple-system"/>
          <w:i w:val="0"/>
          <w:strike w:val="0"/>
          <w:color w:val="auto"/>
          <w:spacing w:val="0"/>
          <w:sz w:val="24"/>
          <w:u w:val="none"/>
          <w:shd w:val="clear" w:color="auto" w:fill="FFFFFF"/>
        </w:rPr>
        <w:t>存在差异的账单自动在协同办公平台创建“对账差异工单”，并@相关责任人。</w:t>
      </w:r>
    </w:p>
    <w:p>
      <w:pPr>
        <w:numPr>
          <w:ilvl w:val="0"/>
          <w:numId w:val="8"/>
        </w:numPr>
        <w:pBdr>
          <w:bottom w:val="thick" w:sz="0"/>
        </w:pBdr>
        <w:snapToGrid w:val="1"/>
        <w:spacing w:before="0" w:after="0" w:line="240"/>
        <w:ind/>
        <w:rPr/>
      </w:pPr>
      <w:r>
        <w:rPr>
          <w:rFonts w:ascii="-apple-system" w:hAnsi="-apple-system" w:eastAsia="-apple-system" w:cs="-apple-system"/>
          <w:b w:val="1"/>
          <w:i w:val="0"/>
          <w:strike w:val="0"/>
          <w:color w:val="auto"/>
          <w:spacing w:val="5"/>
          <w:sz w:val="24"/>
          <w:u w:val="none"/>
          <w:shd w:val="clear" w:color="auto" w:fill="FFFFFF"/>
        </w:rPr>
        <w:t>自动开票与收款核销 (RPA + 税务系统 + 网银安全插件)：</w:t>
      </w:r>
      <w:r>
        <w:rPr>
          <w:rFonts w:ascii="-apple-system" w:hAnsi="-apple-system" w:eastAsia="-apple-system" w:cs="-apple-system"/>
          <w:i w:val="0"/>
          <w:strike w:val="0"/>
          <w:color w:val="auto"/>
          <w:spacing w:val="0"/>
          <w:sz w:val="24"/>
          <w:u w:val="none"/>
          <w:shd w:val="clear" w:color="auto" w:fill="FFFFFF"/>
        </w:rPr>
        <w:t>机器人自动登录财务系统生成开票申请，调用金税系统开具电子发票。</w:t>
      </w:r>
    </w:p>
    <w:p>
      <w:pPr>
        <w:numPr>
          <w:ilvl w:val="1"/>
          <w:numId w:val="8"/>
        </w:numPr>
        <w:pBdr>
          <w:bottom w:val="thick" w:sz="0"/>
        </w:pBdr>
        <w:snapToGrid w:val="1"/>
        <w:spacing w:before="0" w:after="0" w:line="240"/>
        <w:ind/>
        <w:rPr/>
      </w:pPr>
      <w:r>
        <w:rPr>
          <w:rFonts w:ascii="-apple-system" w:hAnsi="-apple-system" w:eastAsia="-apple-system" w:cs="-apple-system"/>
          <w:i w:val="0"/>
          <w:strike w:val="0"/>
          <w:color w:val="auto"/>
          <w:spacing w:val="0"/>
          <w:sz w:val="24"/>
          <w:u w:val="none"/>
          <w:shd w:val="clear" w:color="auto" w:fill="FFFFFF"/>
        </w:rPr>
        <w:t>每日登录网银下载加密流水，通过多维度模糊匹配算法（金额、客户名、订单号）自动核销收款。</w:t>
      </w:r>
    </w:p>
    <w:p>
      <w:pPr>
        <w:pBdr>
          <w:bottom w:val="thick" w:sz="0"/>
        </w:pBdr>
        <w:snapToGrid w:val="1"/>
        <w:spacing w:before="0" w:after="0" w:line="240"/>
        <w:ind w:left="0" w:hanging="0"/>
        <w:jc w:val="left"/>
        <w:rPr/>
      </w:pPr>
      <w:r>
        <w:rPr>
          <w:rFonts w:ascii="-apple-system" w:hAnsi="-apple-system" w:eastAsia="-apple-system" w:cs="-apple-system"/>
          <w:b w:val="1"/>
          <w:i w:val="0"/>
          <w:strike w:val="0"/>
          <w:color w:val="auto"/>
          <w:spacing w:val="0"/>
          <w:sz w:val="24"/>
          <w:u w:val="none"/>
          <w:shd w:val="clear" w:color="auto" w:fill="FFFFFF"/>
        </w:rPr>
        <w:t>6.2.3 实施成效</w:t>
      </w:r>
    </w:p>
    <w:p>
      <w:pPr>
        <w:pBdr>
          <w:bottom w:val="thick" w:sz="0"/>
        </w:pBdr>
        <w:snapToGrid w:val="1"/>
        <w:spacing w:before="0" w:after="0" w:line="240"/>
        <w:ind w:left="0" w:hanging="0"/>
        <w:jc w:val="left"/>
        <w:rPr/>
      </w:pPr>
      <w:r>
        <w:rPr>
          <w:rFonts w:ascii="-apple-system" w:hAnsi="-apple-system" w:eastAsia="-apple-system" w:cs="-apple-system"/>
          <w:i w:val="0"/>
          <w:strike w:val="0"/>
          <w:color w:val="auto"/>
          <w:spacing w:val="0"/>
          <w:sz w:val="24"/>
          <w:u w:val="none"/>
          <w:shd w:val="clear" w:color="auto" w:fill="FFFFFF"/>
        </w:rPr>
        <w:t>该案例的成功实施，带来了显著的量化价值：</w:t>
      </w:r>
    </w:p>
    <w:p>
      <w:pPr>
        <w:numPr>
          <w:ilvl w:val="0"/>
          <w:numId w:val="9"/>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效率提升：</w:t>
      </w:r>
      <w:r>
        <w:rPr>
          <w:rFonts w:ascii="-apple-system" w:hAnsi="-apple-system" w:eastAsia="-apple-system" w:cs="-apple-system"/>
          <w:i w:val="0"/>
          <w:strike w:val="0"/>
          <w:color w:val="auto"/>
          <w:spacing w:val="0"/>
          <w:sz w:val="24"/>
          <w:u w:val="none"/>
          <w:shd w:val="clear" w:color="auto" w:fill="FFFFFF"/>
        </w:rPr>
        <w:t xml:space="preserve"> 对账处理自动化率达90%以上，单个财务人员管理的客户数量提升3-5倍，对账周期由3-5天缩短至T+1日。</w:t>
      </w:r>
    </w:p>
    <w:p>
      <w:pPr>
        <w:numPr>
          <w:ilvl w:val="0"/>
          <w:numId w:val="9"/>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成本控制：</w:t>
      </w:r>
      <w:r>
        <w:rPr>
          <w:rFonts w:ascii="-apple-system" w:hAnsi="-apple-system" w:eastAsia="-apple-system" w:cs="-apple-system"/>
          <w:i w:val="0"/>
          <w:strike w:val="0"/>
          <w:color w:val="auto"/>
          <w:spacing w:val="0"/>
          <w:sz w:val="24"/>
          <w:u w:val="none"/>
          <w:shd w:val="clear" w:color="auto" w:fill="FFFFFF"/>
        </w:rPr>
        <w:t xml:space="preserve"> 投资回报率（ROI）显著，据Forrester研究，企业部署RPA首年ROI通常在30%-200%。</w:t>
      </w:r>
    </w:p>
    <w:p>
      <w:pPr>
        <w:numPr>
          <w:ilvl w:val="0"/>
          <w:numId w:val="9"/>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价值创造：</w:t>
      </w:r>
      <w:r>
        <w:rPr>
          <w:rFonts w:ascii="-apple-system" w:hAnsi="-apple-system" w:eastAsia="-apple-system" w:cs="-apple-system"/>
          <w:i w:val="0"/>
          <w:strike w:val="0"/>
          <w:color w:val="auto"/>
          <w:spacing w:val="0"/>
          <w:sz w:val="24"/>
          <w:u w:val="none"/>
          <w:shd w:val="clear" w:color="auto" w:fill="FFFFFF"/>
        </w:rPr>
        <w:t xml:space="preserve"> 全流程100%可追溯，满足金融强监管要求；财务人员从低价值劳动中解放，转向分析差异根本原因和风险评估，部门角色从“账房先生”转变为“价值创造中心”。</w:t>
      </w:r>
    </w:p>
    <w:p>
      <w:pPr>
        <w:pStyle w:val="00000c"/>
        <w:pBdr>
          <w:bottom w:val="thick" w:sz="0"/>
        </w:pBdr>
        <w:snapToGrid w:val="1"/>
        <w:spacing w:before="0" w:after="0" w:line="240"/>
        <w:ind w:left="0" w:right="0" w:hanging="0"/>
        <w:jc w:val="left"/>
        <w:rPr/>
      </w:pPr>
      <w:r>
        <w:rPr>
          <w:rFonts w:ascii="-apple-system" w:hAnsi="-apple-system" w:eastAsia="-apple-system" w:cs="-apple-system"/>
          <w:i w:val="0"/>
          <w:strike w:val="0"/>
          <w:color w:val="auto"/>
          <w:spacing w:val="3"/>
          <w:sz w:val="24"/>
          <w:u w:val="none"/>
          <w:shd w:val="clear" w:color="auto" w:fill="FFFFFF"/>
        </w:rPr>
        <w:t>6.3 未来场景展望</w:t>
      </w:r>
    </w:p>
    <w:p>
      <w:pPr>
        <w:pBdr>
          <w:bottom w:val="thick" w:sz="0"/>
        </w:pBdr>
        <w:snapToGrid w:val="1"/>
        <w:spacing w:before="0" w:after="0" w:line="240"/>
        <w:ind w:left="0" w:hanging="0"/>
        <w:jc w:val="left"/>
        <w:rPr/>
      </w:pPr>
      <w:r>
        <w:rPr>
          <w:rFonts w:ascii="-apple-system" w:hAnsi="-apple-system" w:eastAsia="-apple-system" w:cs="-apple-system"/>
          <w:i w:val="0"/>
          <w:strike w:val="0"/>
          <w:color w:val="auto"/>
          <w:spacing w:val="0"/>
          <w:sz w:val="24"/>
          <w:u w:val="none"/>
          <w:shd w:val="clear" w:color="auto" w:fill="FFFFFF"/>
        </w:rPr>
        <w:t>结合国家《关于大力发展科技金融、绿色金融、普惠金融、养老金融、数字金融》的政策导向及行业技术发展趋势，未来3-5年RPA在金融领域的应用将呈现以下趋势：</w:t>
      </w:r>
    </w:p>
    <w:p>
      <w:pPr>
        <w:pBdr>
          <w:bottom w:val="thick" w:sz="0"/>
        </w:pBdr>
        <w:snapToGrid w:val="1"/>
        <w:spacing w:before="0" w:after="0" w:line="240"/>
        <w:ind w:left="0" w:hanging="0"/>
        <w:jc w:val="left"/>
        <w:rPr/>
      </w:pPr>
      <w:r>
        <w:rPr>
          <w:rFonts w:ascii="-apple-system" w:hAnsi="-apple-system" w:eastAsia="-apple-system" w:cs="-apple-system"/>
          <w:b w:val="1"/>
          <w:i w:val="0"/>
          <w:strike w:val="0"/>
          <w:color w:val="auto"/>
          <w:spacing w:val="0"/>
          <w:sz w:val="24"/>
          <w:u w:val="none"/>
          <w:shd w:val="clear" w:color="auto" w:fill="FFFFFF"/>
        </w:rPr>
        <w:t>6.3.1 趋势一：从RPA到“智能体流程”（Agentic Process Automation）</w:t>
      </w:r>
    </w:p>
    <w:p>
      <w:pPr>
        <w:pBdr>
          <w:bottom w:val="thick" w:sz="0"/>
        </w:pBdr>
        <w:snapToGrid w:val="1"/>
        <w:spacing w:before="0" w:after="0" w:line="240"/>
        <w:ind w:left="0" w:hanging="0"/>
        <w:jc w:val="left"/>
        <w:rPr/>
      </w:pPr>
      <w:r>
        <w:rPr>
          <w:rFonts w:ascii="-apple-system" w:hAnsi="-apple-system" w:eastAsia="-apple-system" w:cs="-apple-system"/>
          <w:i w:val="0"/>
          <w:strike w:val="0"/>
          <w:color w:val="auto"/>
          <w:spacing w:val="0"/>
          <w:sz w:val="24"/>
          <w:u w:val="none"/>
          <w:shd w:val="clear" w:color="auto" w:fill="FFFFFF"/>
        </w:rPr>
        <w:t>单一的RPA将演变为“智能体流程”。大语言模型（LLM）将作为“大脑”负责理解复杂需求并拆解步骤，RPA作为“手脚”执行操作。</w:t>
      </w:r>
    </w:p>
    <w:p>
      <w:pPr>
        <w:numPr>
          <w:ilvl w:val="0"/>
          <w:numId w:val="10"/>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场景预测：</w:t>
      </w:r>
      <w:r>
        <w:rPr>
          <w:rFonts w:ascii="-apple-system" w:hAnsi="-apple-system" w:eastAsia="-apple-system" w:cs="-apple-system"/>
          <w:i w:val="0"/>
          <w:strike w:val="0"/>
          <w:color w:val="auto"/>
          <w:spacing w:val="0"/>
          <w:sz w:val="24"/>
          <w:u w:val="none"/>
          <w:shd w:val="clear" w:color="auto" w:fill="FFFFFF"/>
        </w:rPr>
        <w:t xml:space="preserve"> 信贷经理通过自然语言指令（如“分析XX公司偿债能力”），LLM自动指挥RPA登录征信系统、调用Python脚本分析财报、生成风险评估报告初稿，实现人机协同的深度决策支持。</w:t>
      </w:r>
    </w:p>
    <w:p>
      <w:pPr>
        <w:pBdr>
          <w:bottom w:val="thick" w:sz="0"/>
        </w:pBdr>
        <w:snapToGrid w:val="1"/>
        <w:spacing w:before="0" w:after="0" w:line="240"/>
        <w:ind w:left="0" w:hanging="0"/>
        <w:jc w:val="left"/>
        <w:rPr/>
      </w:pPr>
      <w:r>
        <w:rPr>
          <w:rFonts w:ascii="-apple-system" w:hAnsi="-apple-system" w:eastAsia="-apple-system" w:cs="-apple-system"/>
          <w:b w:val="1"/>
          <w:i w:val="0"/>
          <w:strike w:val="0"/>
          <w:color w:val="auto"/>
          <w:spacing w:val="0"/>
          <w:sz w:val="24"/>
          <w:u w:val="none"/>
          <w:shd w:val="clear" w:color="auto" w:fill="FFFFFF"/>
        </w:rPr>
        <w:t>6.3.2 趋势二：普惠与涉农金融的“下沉式”渗透</w:t>
      </w:r>
    </w:p>
    <w:p>
      <w:pPr>
        <w:pBdr>
          <w:bottom w:val="thick" w:sz="0"/>
        </w:pBdr>
        <w:snapToGrid w:val="1"/>
        <w:spacing w:before="0" w:after="0" w:line="240"/>
        <w:ind w:left="0" w:hanging="0"/>
        <w:jc w:val="left"/>
        <w:rPr/>
      </w:pPr>
      <w:r>
        <w:rPr>
          <w:rFonts w:ascii="-apple-system" w:hAnsi="-apple-system" w:eastAsia="-apple-system" w:cs="-apple-system"/>
          <w:i w:val="0"/>
          <w:strike w:val="0"/>
          <w:color w:val="auto"/>
          <w:spacing w:val="0"/>
          <w:sz w:val="24"/>
          <w:u w:val="none"/>
          <w:shd w:val="clear" w:color="auto" w:fill="FFFFFF"/>
        </w:rPr>
        <w:t>随着《金融科技发展规划》的落地，RPA将更多应用于县域金融和涉农场景，解决“融资难、融资贵”问题。</w:t>
      </w:r>
    </w:p>
    <w:p>
      <w:pPr>
        <w:numPr>
          <w:ilvl w:val="0"/>
          <w:numId w:val="11"/>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场景预测：</w:t>
      </w:r>
      <w:r>
        <w:rPr>
          <w:rFonts w:ascii="-apple-system" w:hAnsi="-apple-system" w:eastAsia="-apple-system" w:cs="-apple-system"/>
          <w:i w:val="0"/>
          <w:strike w:val="0"/>
          <w:color w:val="auto"/>
          <w:spacing w:val="0"/>
          <w:sz w:val="24"/>
          <w:u w:val="none"/>
          <w:shd w:val="clear" w:color="auto" w:fill="FFFFFF"/>
        </w:rPr>
        <w:t xml:space="preserve"> 基于文档 中山东莱商银行的实践，未来RPA将广泛用于“农产品存货质押线上化”。RPA机器人将自动处理电子签章、核库报告，并结合物联网和卫星遥感数据，实时监控农户抵押品状态，实现涉农信贷的自动化审批与风控。</w:t>
      </w:r>
    </w:p>
    <w:p>
      <w:pPr>
        <w:pBdr>
          <w:bottom w:val="thick" w:sz="0"/>
        </w:pBdr>
        <w:snapToGrid w:val="1"/>
        <w:spacing w:before="0" w:after="0" w:line="240"/>
        <w:ind w:left="0" w:hanging="0"/>
        <w:jc w:val="left"/>
        <w:rPr/>
      </w:pPr>
      <w:r>
        <w:rPr>
          <w:rFonts w:ascii="-apple-system" w:hAnsi="-apple-system" w:eastAsia="-apple-system" w:cs="-apple-system"/>
          <w:b w:val="1"/>
          <w:i w:val="0"/>
          <w:strike w:val="0"/>
          <w:color w:val="auto"/>
          <w:spacing w:val="0"/>
          <w:sz w:val="24"/>
          <w:u w:val="none"/>
          <w:shd w:val="clear" w:color="auto" w:fill="FFFFFF"/>
        </w:rPr>
        <w:t>6.3.3 趋势三：绿色与养老金融的“合规自动化”</w:t>
      </w:r>
    </w:p>
    <w:p>
      <w:pPr>
        <w:pBdr>
          <w:bottom w:val="thick" w:sz="0"/>
        </w:pBdr>
        <w:snapToGrid w:val="1"/>
        <w:spacing w:before="0" w:after="0" w:line="240"/>
        <w:ind w:left="0" w:hanging="0"/>
        <w:jc w:val="left"/>
        <w:rPr/>
      </w:pPr>
      <w:r>
        <w:rPr>
          <w:rFonts w:ascii="-apple-system" w:hAnsi="-apple-system" w:eastAsia="-apple-system" w:cs="-apple-system"/>
          <w:i w:val="0"/>
          <w:strike w:val="0"/>
          <w:color w:val="auto"/>
          <w:spacing w:val="0"/>
          <w:sz w:val="24"/>
          <w:u w:val="none"/>
          <w:shd w:val="clear" w:color="auto" w:fill="FFFFFF"/>
        </w:rPr>
        <w:t>响应政策中对“绿色金融”和“养老金融”的重视，RPA将用于处理复杂的合规性流程。</w:t>
      </w:r>
    </w:p>
    <w:p>
      <w:pPr>
        <w:numPr>
          <w:ilvl w:val="0"/>
          <w:numId w:val="12"/>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场景预测：绿色金融：</w:t>
      </w:r>
      <w:r>
        <w:rPr>
          <w:rFonts w:ascii="-apple-system" w:hAnsi="-apple-system" w:eastAsia="-apple-system" w:cs="-apple-system"/>
          <w:i w:val="0"/>
          <w:strike w:val="0"/>
          <w:color w:val="auto"/>
          <w:spacing w:val="0"/>
          <w:sz w:val="24"/>
          <w:u w:val="none"/>
          <w:shd w:val="clear" w:color="auto" w:fill="FFFFFF"/>
        </w:rPr>
        <w:t xml:space="preserve"> 在“碳汇+林权”质押等创新业务中，RPA将自动抓取环境数据、核验企业碳减排资质、填报绿色项目申报材料。</w:t>
      </w:r>
    </w:p>
    <w:p>
      <w:pPr>
        <w:numPr>
          <w:ilvl w:val="1"/>
          <w:numId w:val="12"/>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养老金融：</w:t>
      </w:r>
      <w:r>
        <w:rPr>
          <w:rFonts w:ascii="-apple-system" w:hAnsi="-apple-system" w:eastAsia="-apple-system" w:cs="-apple-system"/>
          <w:i w:val="0"/>
          <w:strike w:val="0"/>
          <w:color w:val="auto"/>
          <w:spacing w:val="0"/>
          <w:sz w:val="24"/>
          <w:u w:val="none"/>
          <w:shd w:val="clear" w:color="auto" w:fill="FFFFFF"/>
        </w:rPr>
        <w:t xml:space="preserve"> 在个人养老金业务爆发背景下，RPA将用于自动化核对个人养老金账户信息、处理第三支柱养老金的税务递延申报，提升服务效率。</w:t>
      </w:r>
    </w:p>
    <w:p>
      <w:pPr>
        <w:pBdr>
          <w:bottom w:val="thick" w:sz="0"/>
        </w:pBdr>
        <w:snapToGrid w:val="1"/>
        <w:spacing w:before="0" w:after="0" w:line="240"/>
        <w:ind w:left="0" w:hanging="0"/>
        <w:jc w:val="left"/>
        <w:rPr/>
      </w:pPr>
      <w:r>
        <w:rPr>
          <w:rFonts w:ascii="-apple-system" w:hAnsi="-apple-system" w:eastAsia="-apple-system" w:cs="-apple-system"/>
          <w:b w:val="1"/>
          <w:i w:val="0"/>
          <w:strike w:val="0"/>
          <w:color w:val="auto"/>
          <w:spacing w:val="0"/>
          <w:sz w:val="24"/>
          <w:u w:val="none"/>
          <w:shd w:val="clear" w:color="auto" w:fill="FFFFFF"/>
        </w:rPr>
        <w:t>6.3.4 趋势四：监管科技（RegTech）的深度融合</w:t>
      </w:r>
    </w:p>
    <w:p>
      <w:pPr>
        <w:pBdr>
          <w:bottom w:val="thick" w:sz="0"/>
        </w:pBdr>
        <w:snapToGrid w:val="1"/>
        <w:spacing w:before="0" w:after="0" w:line="240"/>
        <w:ind w:left="0" w:hanging="0"/>
        <w:jc w:val="left"/>
        <w:rPr/>
      </w:pPr>
      <w:r>
        <w:rPr>
          <w:rFonts w:ascii="-apple-system" w:hAnsi="-apple-system" w:eastAsia="-apple-system" w:cs="-apple-system"/>
          <w:i w:val="0"/>
          <w:strike w:val="0"/>
          <w:color w:val="auto"/>
          <w:spacing w:val="0"/>
          <w:sz w:val="24"/>
          <w:u w:val="none"/>
          <w:shd w:val="clear" w:color="auto" w:fill="FFFFFF"/>
        </w:rPr>
        <w:t>面对日益严格的金融监管，RPA将成为合规建设的核心工具。</w:t>
      </w:r>
    </w:p>
    <w:p>
      <w:pPr>
        <w:numPr>
          <w:ilvl w:val="0"/>
          <w:numId w:val="13"/>
        </w:numPr>
        <w:pBdr>
          <w:bottom w:val="thick" w:sz="0"/>
        </w:pBdr>
        <w:snapToGrid w:val="1"/>
        <w:spacing w:before="0" w:after="0" w:line="240"/>
        <w:ind/>
        <w:rPr/>
      </w:pPr>
      <w:r>
        <w:rPr>
          <w:rFonts w:ascii="-apple-system" w:hAnsi="-apple-system" w:eastAsia="-apple-system" w:cs="-apple-system"/>
          <w:b w:val="1"/>
          <w:i w:val="0"/>
          <w:strike w:val="0"/>
          <w:color w:val="auto"/>
          <w:spacing w:val="0"/>
          <w:sz w:val="24"/>
          <w:u w:val="none"/>
          <w:shd w:val="clear" w:color="auto" w:fill="FFFFFF"/>
        </w:rPr>
        <w:t>场景预测：</w:t>
      </w:r>
      <w:r>
        <w:rPr>
          <w:rFonts w:ascii="-apple-system" w:hAnsi="-apple-system" w:eastAsia="-apple-system" w:cs="-apple-system"/>
          <w:i w:val="0"/>
          <w:strike w:val="0"/>
          <w:color w:val="auto"/>
          <w:spacing w:val="0"/>
          <w:sz w:val="24"/>
          <w:u w:val="none"/>
          <w:shd w:val="clear" w:color="auto" w:fill="FFFFFF"/>
        </w:rPr>
        <w:t xml:space="preserve"> 借鉴FINRA经验，RPA将用于反洗钱（AML）的实时监测、合规汇报的自动生成。通过“RPA+规则引擎”，金融机构能实现7x24小时的数字审计，自动识别违规操作并上报监管机构，降低合规成本。</w:t>
      </w:r>
    </w:p>
    <w:p>
      <w:pPr>
        <w:ind w:firstLine="0" w:firstLineChars="0"/>
        <w:rPr/>
      </w:pPr>
    </w:p>
    <w:sectPr w:rsidR="00113ACB">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0">
    <w:p>
      <w:pPr>
        <w:spacing w:line="240" w:lineRule="auto"/>
        <w:ind w:firstLine="480"/>
        <w:rPr/>
      </w:pPr>
      <w:r>
        <w:rPr/>
        <w:continuationSeparator/>
      </w:r>
    </w:p>
  </w:endnote>
  <w:endnote w:type="separator" w:id="1">
    <w:p>
      <w:pPr>
        <w:spacing w:line="240" w:lineRule="auto"/>
        <w:ind w:firstLine="480"/>
        <w:rPr/>
      </w:pPr>
      <w:r>
        <w:rPr/>
        <w:separator/>
      </w:r>
    </w:p>
  </w:endnote>
</w:endnotes>
</file>

<file path=word/fontTable.xml><?xml version="1.0" encoding="utf-8"?>
<w:fonts xmlns:w="http://schemas.openxmlformats.org/wordprocessingml/2006/main">
  <w:font w:name="Calibri Light">
    <w:panose1 w:val="020F0302020204030204"/>
    <w:charset w:val="00" w:characterSet="ISO-8859-1"/>
    <w:family w:val="swiss"/>
    <w:pitch w:val="variable"/>
    <w:sig w:usb0="E4002EFF" w:usb1="C200247B" w:usb2="00000009" w:usb3="00000000" w:csb0="000001FF" w:csb1="00000000"/>
  </w:font>
  <w:font w:name="Calibri">
    <w:panose1 w:val="020F0502020204030204"/>
    <w:charset w:val="00" w:characterSet="ISO-8859-1"/>
    <w:family w:val="swiss"/>
    <w:pitch w:val="variable"/>
    <w:sig w:usb0="E4002EFF" w:usb1="C200247B" w:usb2="00000009" w:usb3="00000000" w:csb0="000001FF" w:csb1="00000000"/>
  </w:font>
  <w:font w:name="Times New Roman">
    <w:panose1 w:val="02020603050405020304"/>
    <w:charset w:val="00" w:characterSet="ISO-8859-1"/>
    <w:family w:val="roman"/>
    <w:pitch w:val="variable"/>
    <w:sig w:usb0="E0002EFF" w:usb1="C000785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s>
</file>

<file path=word/footer1.xml><?xml version="1.0" encoding="utf-8"?>
<w:ftr xmlns:w="http://schemas.openxmlformats.org/wordprocessingml/2006/main">
  <w:p>
    <w:pPr>
      <w:pStyle w:val="000011"/>
      <w:ind w:firstLine="360"/>
      <w:rPr/>
    </w:pPr>
  </w:p>
</w:ftr>
</file>

<file path=word/footer2.xml><?xml version="1.0" encoding="utf-8"?>
<w:ftr xmlns:w="http://schemas.openxmlformats.org/wordprocessingml/2006/main">
  <w:p>
    <w:pPr>
      <w:pStyle w:val="000011"/>
      <w:ind w:firstLine="360"/>
      <w:rPr/>
    </w:pPr>
  </w:p>
</w:ftr>
</file>

<file path=word/footer3.xml><?xml version="1.0" encoding="utf-8"?>
<w:ftr xmlns:w="http://schemas.openxmlformats.org/wordprocessingml/2006/main">
  <w:p>
    <w:pPr>
      <w:pStyle w:val="000011"/>
      <w:ind w:firstLine="360"/>
      <w:rPr/>
    </w:pPr>
  </w:p>
</w:ftr>
</file>

<file path=word/footnotes.xml><?xml version="1.0" encoding="utf-8"?>
<w:footnotes xmlns:w="http://schemas.openxmlformats.org/wordprocessingml/2006/main">
  <w:footnote w:type="continuationSeparator" w:id="0">
    <w:p>
      <w:pPr>
        <w:ind w:firstLine="480"/>
        <w:rPr/>
      </w:pPr>
      <w:r>
        <w:rPr/>
        <w:continuationSeparator/>
      </w:r>
    </w:p>
  </w:footnote>
  <w:footnote w:type="separator" w:id="1">
    <w:p>
      <w:pPr>
        <w:ind w:firstLine="480"/>
        <w:rPr/>
      </w:pPr>
      <w:r>
        <w:rPr/>
        <w:separator/>
      </w:r>
    </w:p>
  </w:footnote>
</w:footnotes>
</file>

<file path=word/header1.xml><?xml version="1.0" encoding="utf-8"?>
<w:hdr xmlns:w="http://schemas.openxmlformats.org/wordprocessingml/2006/main">
  <w:p>
    <w:pPr>
      <w:pStyle w:val="000013"/>
      <w:ind w:firstLine="360"/>
      <w:rPr/>
    </w:pPr>
  </w:p>
</w:hdr>
</file>

<file path=word/header2.xml><?xml version="1.0" encoding="utf-8"?>
<w:hdr xmlns:w="http://schemas.openxmlformats.org/wordprocessingml/2006/main">
  <w:p>
    <w:pPr>
      <w:pStyle w:val="000013"/>
      <w:ind w:firstLine="360"/>
      <w:rPr/>
    </w:pPr>
  </w:p>
</w:hdr>
</file>

<file path=word/header3.xml><?xml version="1.0" encoding="utf-8"?>
<w:hdr xmlns:w="http://schemas.openxmlformats.org/wordprocessingml/2006/main">
  <w:p>
    <w:pPr>
      <w:pStyle w:val="000013"/>
      <w:ind w:firstLine="360"/>
      <w:rPr/>
    </w:pPr>
  </w:p>
</w:hdr>
</file>

<file path=word/numbering.xml><?xml version="1.0" encoding="utf-8"?>
<w:numbering xmlns:w="http://schemas.openxmlformats.org/wordprocessingml/2006/main">
  <w:abstractNum w:abstractNumId="0">
    <w:lvl w:ilvl="7">
      <w:start w:val="1"/>
      <w:numFmt w:val="lowerLetter"/>
      <w:lvlText w:val="%8."/>
      <w:lvlJc w:val="left"/>
      <w:pPr>
        <w:ind w:left="4176" w:hanging="336"/>
      </w:pPr>
    </w:lvl>
    <w:lvl w:ilvl="8">
      <w:start w:val="1"/>
      <w:numFmt w:val="lowerRoman"/>
      <w:lvlText w:val="%9."/>
      <w:lvlJc w:val="left"/>
      <w:pPr>
        <w:ind w:left="4656" w:hanging="336"/>
      </w:pPr>
    </w:lvl>
    <w:lvl w:ilvl="6">
      <w:start w:val="1"/>
      <w:numFmt w:val="decimal"/>
      <w:lvlText w:val="%7."/>
      <w:lvlJc w:val="left"/>
      <w:pPr>
        <w:ind w:left="3696" w:hanging="336"/>
      </w:pPr>
    </w:lvl>
    <w:lvl w:ilvl="2">
      <w:start w:val="1"/>
      <w:numFmt w:val="lowerRoman"/>
      <w:lvlText w:val="%3."/>
      <w:lvlJc w:val="left"/>
      <w:pPr>
        <w:ind w:left="1776" w:hanging="336"/>
      </w:pPr>
    </w:lvl>
    <w:lvl w:ilvl="5">
      <w:start w:val="1"/>
      <w:numFmt w:val="lowerRoman"/>
      <w:lvlText w:val="%6."/>
      <w:lvlJc w:val="left"/>
      <w:pPr>
        <w:ind w:left="3216" w:hanging="336"/>
      </w:pPr>
    </w:lvl>
    <w:lvl w:ilvl="0">
      <w:start w:val="1"/>
      <w:numFmt w:val="decimal"/>
      <w:lvlText w:val="%1."/>
      <w:lvlJc w:val="left"/>
      <w:pPr>
        <w:tabs/>
        <w:ind w:left="816" w:hanging="336"/>
      </w:pPr>
      <w:rPr/>
    </w:lvl>
    <w:lvl w:ilvl="4">
      <w:start w:val="1"/>
      <w:numFmt w:val="lowerLetter"/>
      <w:lvlText w:val="%5."/>
      <w:lvlJc w:val="left"/>
      <w:pPr>
        <w:ind w:left="2736" w:hanging="336"/>
      </w:pPr>
    </w:lvl>
    <w:lvl w:ilvl="3">
      <w:start w:val="1"/>
      <w:numFmt w:val="decimal"/>
      <w:lvlText w:val="%4."/>
      <w:lvlJc w:val="left"/>
      <w:pPr>
        <w:ind w:left="2256" w:hanging="336"/>
      </w:pPr>
    </w:lvl>
    <w:lvl w:ilvl="1">
      <w:start w:val="1"/>
      <w:numFmt w:val="lowerLetter"/>
      <w:lvlText w:val="%2."/>
      <w:lvlJc w:val="left"/>
      <w:pPr>
        <w:ind w:left="1296" w:hanging="336"/>
      </w:pPr>
    </w:lvl>
  </w:abstractNum>
  <w:abstractNum w:abstractNumId="1">
    <w:lvl w:ilvl="8">
      <w:start w:val="1"/>
      <w:numFmt w:val="lowerRoman"/>
      <w:lvlText w:val="%9."/>
      <w:pPr>
        <w:ind w:leftChars="1600" w:hanging="336"/>
      </w:pPr>
    </w:lvl>
    <w:lvl w:ilvl="5">
      <w:start w:val="1"/>
      <w:numFmt w:val="lowerRoman"/>
      <w:lvlText w:val="%6."/>
      <w:pPr>
        <w:ind w:leftChars="1000" w:hanging="336"/>
      </w:pPr>
    </w:lvl>
    <w:lvl w:ilvl="7">
      <w:start w:val="1"/>
      <w:numFmt w:val="lowerLetter"/>
      <w:lvlText w:val="%8."/>
      <w:pPr>
        <w:ind w:leftChars="1400" w:hanging="336"/>
      </w:pPr>
    </w:lvl>
    <w:lvl w:ilvl="2">
      <w:start w:val="1"/>
      <w:numFmt w:val="lowerRoman"/>
      <w:lvlText w:val="%3."/>
      <w:pPr>
        <w:ind w:leftChars="400" w:hanging="336"/>
      </w:pPr>
    </w:lvl>
    <w:lvl w:ilvl="3">
      <w:start w:val="1"/>
      <w:numFmt w:val="decimal"/>
      <w:lvlText w:val="%4."/>
      <w:pPr>
        <w:ind w:leftChars="600" w:hanging="0"/>
      </w:pPr>
    </w:lvl>
    <w:lvl w:ilvl="1">
      <w:start w:val="1"/>
      <w:numFmt w:val="lowerLetter"/>
      <w:lvlText w:val="%2."/>
      <w:pPr>
        <w:ind w:leftChars="200" w:hanging="336"/>
      </w:pPr>
    </w:lvl>
    <w:lvl w:ilvl="4">
      <w:start w:val="1"/>
      <w:numFmt w:val="lowerLetter"/>
      <w:lvlText w:val="%5."/>
      <w:pPr>
        <w:ind w:leftChars="800" w:hanging="336"/>
      </w:pPr>
    </w:lvl>
    <w:lvl w:ilvl="6">
      <w:start w:val="1"/>
      <w:numFmt w:val="decimal"/>
      <w:lvlText w:val="%7."/>
      <w:pPr>
        <w:ind w:leftChars="1200" w:hanging="0"/>
      </w:pPr>
    </w:lvl>
    <w:lvl w:ilvl="0">
      <w:start w:val="1"/>
      <w:numFmt w:val="decimal"/>
      <w:lvlText w:val="%1."/>
      <w:pPr>
        <w:ind/>
      </w:pPr>
      <w:rPr/>
    </w:lvl>
  </w:abstractNum>
  <w:abstractNum w:abstractNumId="2">
    <w:lvl w:ilvl="7">
      <w:start w:val="1"/>
      <w:numFmt w:val="bullet"/>
      <w:lvlText w:val="¡"/>
      <w:pPr>
        <w:ind w:leftChars="1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3">
    <w:lvl w:ilvl="8">
      <w:start w:val="1"/>
      <w:numFmt w:val="lowerRoman"/>
      <w:lvlText w:val="%9."/>
      <w:pPr>
        <w:ind w:leftChars="1600" w:hanging="336"/>
      </w:pPr>
    </w:lvl>
    <w:lvl w:ilvl="5">
      <w:start w:val="1"/>
      <w:numFmt w:val="lowerRoman"/>
      <w:lvlText w:val="%6."/>
      <w:pPr>
        <w:ind w:leftChars="1000" w:hanging="336"/>
      </w:pPr>
    </w:lvl>
    <w:lvl w:ilvl="2">
      <w:start w:val="1"/>
      <w:numFmt w:val="lowerRoman"/>
      <w:lvlText w:val="%3."/>
      <w:pPr>
        <w:ind w:leftChars="400" w:hanging="336"/>
      </w:pPr>
    </w:lvl>
    <w:lvl w:ilvl="7">
      <w:start w:val="1"/>
      <w:numFmt w:val="lowerLetter"/>
      <w:lvlText w:val="%8."/>
      <w:pPr>
        <w:ind w:leftChars="1400" w:hanging="336"/>
      </w:pPr>
    </w:lvl>
    <w:lvl w:ilvl="3">
      <w:start w:val="1"/>
      <w:numFmt w:val="decimal"/>
      <w:lvlText w:val="%4."/>
      <w:pPr>
        <w:ind w:leftChars="600" w:hanging="0"/>
      </w:pPr>
    </w:lvl>
    <w:lvl w:ilvl="0">
      <w:start w:val="1"/>
      <w:numFmt w:val="decimal"/>
      <w:lvlText w:val="%1."/>
      <w:pPr>
        <w:ind/>
      </w:pPr>
      <w:rPr/>
    </w:lvl>
    <w:lvl w:ilvl="1">
      <w:start w:val="1"/>
      <w:numFmt w:val="lowerLetter"/>
      <w:lvlText w:val="%2."/>
      <w:pPr>
        <w:ind w:leftChars="200" w:hanging="336"/>
      </w:pPr>
    </w:lvl>
    <w:lvl w:ilvl="6">
      <w:start w:val="1"/>
      <w:numFmt w:val="decimal"/>
      <w:lvlText w:val="%7."/>
      <w:pPr>
        <w:ind w:leftChars="1200" w:hanging="0"/>
      </w:pPr>
    </w:lvl>
    <w:lvl w:ilvl="4">
      <w:start w:val="1"/>
      <w:numFmt w:val="lowerLetter"/>
      <w:lvlText w:val="%5."/>
      <w:pPr>
        <w:ind w:leftChars="800" w:hanging="336"/>
      </w:pPr>
    </w:lvl>
  </w:abstractNum>
  <w:abstractNum w:abstractNumId="4">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5">
    <w:lvl w:ilvl="6">
      <w:start w:val="1"/>
      <w:numFmt w:val="decimal"/>
      <w:lvlText w:val="%7."/>
      <w:lvlJc w:val="left"/>
      <w:pPr>
        <w:ind w:left="3696" w:hanging="336"/>
      </w:pPr>
      <w:rPr/>
    </w:lvl>
    <w:lvl w:ilvl="5">
      <w:start w:val="1"/>
      <w:numFmt w:val="lowerRoman"/>
      <w:lvlText w:val="%6."/>
      <w:lvlJc w:val="left"/>
      <w:pPr>
        <w:ind w:left="3216" w:hanging="336"/>
      </w:pPr>
      <w:rPr/>
    </w:lvl>
    <w:lvl w:ilvl="0">
      <w:start w:val="1"/>
      <w:numFmt w:val="decimal"/>
      <w:lvlText w:val="%1."/>
      <w:lvlJc w:val="left"/>
      <w:pPr>
        <w:tabs/>
        <w:ind w:left="816" w:hanging="336"/>
      </w:pPr>
      <w:rPr/>
    </w:lvl>
    <w:lvl w:ilvl="2">
      <w:start w:val="1"/>
      <w:numFmt w:val="lowerRoman"/>
      <w:lvlText w:val="%3."/>
      <w:lvlJc w:val="left"/>
      <w:pPr>
        <w:ind w:left="1776" w:hanging="336"/>
      </w:pPr>
      <w:rPr/>
    </w:lvl>
    <w:lvl w:ilvl="1">
      <w:start w:val="1"/>
      <w:numFmt w:val="lowerLetter"/>
      <w:lvlText w:val="%2."/>
      <w:lvlJc w:val="left"/>
      <w:pPr>
        <w:ind w:left="1296" w:hanging="336"/>
      </w:pPr>
      <w:rPr/>
    </w:lvl>
    <w:lvl w:ilvl="4">
      <w:start w:val="1"/>
      <w:numFmt w:val="lowerLetter"/>
      <w:lvlText w:val="%5."/>
      <w:lvlJc w:val="left"/>
      <w:pPr>
        <w:ind w:left="2736" w:hanging="336"/>
      </w:pPr>
      <w:rPr/>
    </w:lvl>
    <w:lvl w:ilvl="8">
      <w:start w:val="1"/>
      <w:numFmt w:val="lowerRoman"/>
      <w:lvlText w:val="%9."/>
      <w:lvlJc w:val="left"/>
      <w:pPr>
        <w:ind w:left="4656" w:hanging="336"/>
      </w:pPr>
      <w:rPr/>
    </w:lvl>
    <w:lvl w:ilvl="3">
      <w:start w:val="1"/>
      <w:numFmt w:val="decimal"/>
      <w:lvlText w:val="%4."/>
      <w:lvlJc w:val="left"/>
      <w:pPr>
        <w:ind w:left="2256" w:hanging="336"/>
      </w:pPr>
      <w:rPr/>
    </w:lvl>
    <w:lvl w:ilvl="7">
      <w:start w:val="1"/>
      <w:numFmt w:val="lowerLetter"/>
      <w:lvlText w:val="%8."/>
      <w:lvlJc w:val="left"/>
      <w:pPr>
        <w:ind w:left="4176" w:hanging="336"/>
      </w:pPr>
      <w:rPr/>
    </w:lvl>
  </w:abstractNum>
  <w:abstractNum w:abstractNumId="6">
    <w:lvl w:ilvl="3">
      <w:start w:val="1"/>
      <w:numFmt w:val="decimal"/>
      <w:lvlText w:val="%4."/>
      <w:lvlJc w:val="left"/>
      <w:pPr>
        <w:ind w:left="2256" w:hanging="336"/>
      </w:pPr>
      <w:rPr/>
    </w:lvl>
    <w:lvl w:ilvl="4">
      <w:start w:val="1"/>
      <w:numFmt w:val="lowerLetter"/>
      <w:lvlText w:val="%5."/>
      <w:lvlJc w:val="left"/>
      <w:pPr>
        <w:ind w:left="2736" w:hanging="336"/>
      </w:pPr>
      <w:rPr/>
    </w:lvl>
    <w:lvl w:ilvl="0">
      <w:start w:val="1"/>
      <w:numFmt w:val="decimal"/>
      <w:lvlText w:val="%1."/>
      <w:lvlJc w:val="left"/>
      <w:pPr>
        <w:tabs/>
        <w:ind w:left="816" w:hanging="336"/>
      </w:pPr>
      <w:rPr/>
    </w:lvl>
    <w:lvl w:ilvl="1">
      <w:start w:val="1"/>
      <w:numFmt w:val="lowerLetter"/>
      <w:lvlText w:val="%2."/>
      <w:lvlJc w:val="left"/>
      <w:pPr>
        <w:ind w:left="1296" w:hanging="336"/>
      </w:pPr>
      <w:rPr/>
    </w:lvl>
    <w:lvl w:ilvl="8">
      <w:start w:val="1"/>
      <w:numFmt w:val="lowerRoman"/>
      <w:lvlText w:val="%9."/>
      <w:lvlJc w:val="left"/>
      <w:pPr>
        <w:ind w:left="4656" w:hanging="336"/>
      </w:pPr>
      <w:rPr/>
    </w:lvl>
    <w:lvl w:ilvl="5">
      <w:start w:val="1"/>
      <w:numFmt w:val="lowerRoman"/>
      <w:lvlText w:val="%6."/>
      <w:lvlJc w:val="left"/>
      <w:pPr>
        <w:ind w:left="3216" w:hanging="336"/>
      </w:pPr>
      <w:rPr/>
    </w:lvl>
    <w:lvl w:ilvl="7">
      <w:start w:val="1"/>
      <w:numFmt w:val="lowerLetter"/>
      <w:lvlText w:val="%8."/>
      <w:lvlJc w:val="left"/>
      <w:pPr>
        <w:ind w:left="4176" w:hanging="336"/>
      </w:pPr>
      <w:rPr/>
    </w:lvl>
    <w:lvl w:ilvl="2">
      <w:start w:val="1"/>
      <w:numFmt w:val="lowerRoman"/>
      <w:lvlText w:val="%3."/>
      <w:lvlJc w:val="left"/>
      <w:pPr>
        <w:ind w:left="1776" w:hanging="336"/>
      </w:pPr>
      <w:rPr/>
    </w:lvl>
    <w:lvl w:ilvl="6">
      <w:start w:val="1"/>
      <w:numFmt w:val="decimal"/>
      <w:lvlText w:val="%7."/>
      <w:lvlJc w:val="left"/>
      <w:pPr>
        <w:ind w:left="3696" w:hanging="336"/>
      </w:pPr>
      <w:rPr/>
    </w:lvl>
  </w:abstractNum>
  <w:abstractNum w:abstractNumId="7">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8">
    <w:nsid w:val="C344BB88"/>
    <w:multiLevelType w:val="singleLevel"/>
    <w:tmpl w:val="C344BB88"/>
    <w:lvl w:ilvl="0">
      <w:start w:val="1"/>
      <w:numFmt w:val="decimal"/>
      <w:suff w:val="nothing"/>
      <w:lvlText w:val="%1）"/>
      <w:lvlJc w:val="left"/>
    </w:lvl>
  </w:abstractNum>
  <w:abstractNum w:abstractNumId="9">
    <w:lvl w:ilvl="7">
      <w:start w:val="1"/>
      <w:numFmt w:val="lowerLetter"/>
      <w:lvlText w:val="%8."/>
      <w:lvlJc w:val="left"/>
      <w:pPr>
        <w:ind w:left="4176" w:hanging="336"/>
      </w:pPr>
    </w:lvl>
    <w:lvl w:ilvl="6">
      <w:start w:val="1"/>
      <w:numFmt w:val="decimal"/>
      <w:lvlText w:val="%7."/>
      <w:lvlJc w:val="left"/>
      <w:pPr>
        <w:ind w:left="3696" w:hanging="336"/>
      </w:pPr>
    </w:lvl>
    <w:lvl w:ilvl="8">
      <w:start w:val="1"/>
      <w:numFmt w:val="lowerRoman"/>
      <w:lvlText w:val="%9."/>
      <w:lvlJc w:val="left"/>
      <w:pPr>
        <w:ind w:left="4656" w:hanging="336"/>
      </w:pPr>
    </w:lvl>
    <w:lvl w:ilvl="5">
      <w:start w:val="1"/>
      <w:numFmt w:val="lowerRoman"/>
      <w:lvlText w:val="%6."/>
      <w:lvlJc w:val="left"/>
      <w:pPr>
        <w:ind w:left="3216" w:hanging="336"/>
      </w:pPr>
    </w:lvl>
    <w:lvl w:ilvl="1">
      <w:start w:val="1"/>
      <w:numFmt w:val="lowerLetter"/>
      <w:lvlText w:val="%2."/>
      <w:lvlJc w:val="left"/>
      <w:pPr>
        <w:ind w:left="1296" w:hanging="336"/>
      </w:pPr>
    </w:lvl>
    <w:lvl w:ilvl="3">
      <w:start w:val="1"/>
      <w:numFmt w:val="decimal"/>
      <w:lvlText w:val="%4."/>
      <w:lvlJc w:val="left"/>
      <w:pPr>
        <w:ind w:left="2256" w:hanging="336"/>
      </w:pPr>
    </w:lvl>
    <w:lvl w:ilvl="2">
      <w:start w:val="1"/>
      <w:numFmt w:val="lowerRoman"/>
      <w:lvlText w:val="%3."/>
      <w:lvlJc w:val="left"/>
      <w:pPr>
        <w:ind w:left="1776" w:hanging="336"/>
      </w:pPr>
    </w:lvl>
    <w:lvl w:ilvl="4">
      <w:start w:val="1"/>
      <w:numFmt w:val="lowerLetter"/>
      <w:lvlText w:val="%5."/>
      <w:lvlJc w:val="left"/>
      <w:pPr>
        <w:ind w:left="2736" w:hanging="336"/>
      </w:pPr>
    </w:lvl>
    <w:lvl w:ilvl="0">
      <w:start w:val="1"/>
      <w:numFmt w:val="decimal"/>
      <w:lvlText w:val="%1."/>
      <w:lvlJc w:val="left"/>
      <w:pPr>
        <w:tabs/>
        <w:ind w:left="816" w:hanging="336"/>
      </w:pPr>
      <w:rPr/>
    </w:lvl>
  </w:abstractNum>
  <w:abstractNum w:abstractNumId="10">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11">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0">
      <w:start w:val="1"/>
      <w:numFmt w:val="bullet"/>
      <w:lvlText w:val=""/>
      <w:pPr>
        <w:ind/>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abstractNum>
  <w:abstractNum w:abstractNumId="12">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num w:numId="3">
    <w:abstractNumId w:val="9"/>
  </w:num>
  <w:num w:numId="9">
    <w:abstractNumId w:val="4"/>
  </w:num>
  <w:num w:numId="5">
    <w:abstractNumId w:val="8"/>
  </w:num>
  <w:num w:numId="1">
    <w:abstractNumId w:val="6"/>
  </w:num>
  <w:num w:numId="10">
    <w:abstractNumId w:val="7"/>
  </w:num>
  <w:num w:numId="11">
    <w:abstractNumId w:val="10"/>
  </w:num>
  <w:num w:numId="6">
    <w:abstractNumId w:val="12"/>
  </w:num>
  <w:num w:numId="13">
    <w:abstractNumId w:val="11"/>
  </w:num>
  <w:num w:numId="12">
    <w:abstractNumId w:val="2"/>
  </w:num>
  <w:num w:numId="2">
    <w:abstractNumId w:val="5"/>
  </w:num>
  <w:num w:numId="4">
    <w:abstractNumId w:val="0"/>
  </w:num>
  <w:num w:numId="7">
    <w:abstractNumId w:val="3"/>
  </w:num>
  <w:num w:numId="8">
    <w:abstractNumId w:val="1"/>
  </w:num>
</w:numbering>
</file>

<file path=word/settings.xml><?xml version="1.0" encoding="utf-8"?>
<w:settings xmlns:w="http://schemas.openxmlformats.org/wordprocessingml/2006/main">
  <w:zoom w:percent="80"/>
  <w:embedSystemFonts w:val="1"/>
  <w:proofState w:spelling="clean" w:grammar="clean"/>
  <w:defaultTabStop w:val="420"/>
  <w:drawingGridVerticalSpacing w:val="156"/>
  <w:noPunctuationKerning w:val="1"/>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doNotWrapTextWithPunct w:val="1"/>
    <w:doNotUseEastAsianBreakRules w:val="1"/>
    <w:useFELayout w:val="1"/>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compatibilityMode" w:uri="http://schemas.microsoft.com/office/word" w:val="14"/>
  </w:compat>
  <w:rsids>
    <w:rsidRoot w:val="003E55B9"/>
    <w:rsid w:val="00000A70"/>
    <w:rsid w:val="000A1F2F"/>
    <w:rsid w:val="00113ACB"/>
    <w:rsid w:val="00132778"/>
    <w:rsid w:val="001F39DB"/>
    <w:rsid w:val="0032347C"/>
    <w:rsid w:val="00372361"/>
    <w:rsid w:val="003A369D"/>
    <w:rsid w:val="003A3BEC"/>
    <w:rsid w:val="003C104A"/>
    <w:rsid w:val="003C3172"/>
    <w:rsid w:val="003E55B9"/>
    <w:rsid w:val="0041071D"/>
    <w:rsid w:val="00485EBA"/>
    <w:rsid w:val="005528AC"/>
    <w:rsid w:val="00554E23"/>
    <w:rsid w:val="0057471B"/>
    <w:rsid w:val="005D5391"/>
    <w:rsid w:val="005D5C19"/>
    <w:rsid w:val="006642B0"/>
    <w:rsid w:val="006A60A0"/>
    <w:rsid w:val="00713AF9"/>
    <w:rsid w:val="00760F8E"/>
    <w:rsid w:val="008105DA"/>
    <w:rsid w:val="009D2D34"/>
    <w:rsid w:val="00A0285A"/>
    <w:rsid w:val="00A969F3"/>
    <w:rsid w:val="00AF4DD3"/>
    <w:rsid w:val="00BA6971"/>
    <w:rsid w:val="00BF4B91"/>
    <w:rsid w:val="00C15F29"/>
    <w:rsid w:val="00C54FB3"/>
    <w:rsid w:val="00D428C1"/>
    <w:rsid w:val="00E82570"/>
    <w:rsid w:val="00E85368"/>
    <w:rsid w:val="00FD77C0"/>
    <w:rsid w:val="0D1F55C5"/>
    <w:rsid w:val="24C604EE"/>
    <w:rsid w:val="2ED06569"/>
    <w:rsid w:val="3E142187"/>
    <w:rsid w:val="4E274869"/>
    <w:rsid w:val="72A76461"/>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0" w:defSemiHidden="0" w:defUnhideWhenUsed="0" w:defQFormat="0" w:count="371">
    <w:lsdException w:name="Table Columns 5" w:semiHidden="1" w:unhideWhenUsed="1"/>
    <w:lsdException w:name="Medium Grid 1 Accent 6" w:uiPriority="67"/>
    <w:lsdException w:name="Table List 3" w:semiHidden="1" w:unhideWhenUsed="1"/>
    <w:lsdException w:name="Light List Accent 5" w:uiPriority="61"/>
    <w:lsdException w:name="Table Grid" w:semiHidden="1" w:unhideWhenUsed="1"/>
    <w:lsdException w:name="Grid Table 7 Colorful Accent 3" w:uiPriority="52"/>
    <w:lsdException w:name="Normal (Web)" w:uiPriority="99" w:unhideWhenUsed="1" w:qFormat="1"/>
    <w:lsdException w:name="heading 4" w:uiPriority="9" w:qFormat="1"/>
    <w:lsdException w:name="Table List 2" w:semiHidden="1" w:unhideWhenUsed="1"/>
    <w:lsdException w:name="Table Columns 1" w:semiHidden="1" w:unhideWhenUsed="1"/>
    <w:lsdException w:name="Medium Grid 1" w:uiPriority="67"/>
    <w:lsdException w:name="Grid Table 4 Accent 5" w:uiPriority="49"/>
    <w:lsdException w:name="Table Grid 6" w:semiHidden="1" w:unhideWhenUsed="1"/>
    <w:lsdException w:name="Intense Quote" w:uiPriority="99"/>
    <w:lsdException w:name="Medium Shading 2 Accent 5" w:uiPriority="64"/>
    <w:lsdException w:name="heading 3" w:uiPriority="9" w:qFormat="1"/>
    <w:lsdException w:name="Table List 6" w:semiHidden="1" w:unhideWhenUsed="1"/>
    <w:lsdException w:name="heading 6" w:semiHidden="1" w:unhideWhenUsed="1" w:qFormat="1"/>
    <w:lsdException w:name="Colorful Grid" w:uiPriority="73"/>
    <w:lsdException w:name="Medium List 2 Accent 5" w:uiPriority="66"/>
    <w:lsdException w:name="heading 5" w:semiHidden="1" w:unhideWhenUsed="1" w:qFormat="1"/>
    <w:lsdException w:name="Medium Shading 2 Accent 6" w:uiPriority="64"/>
    <w:lsdException w:name="Colorful List Accent 1" w:uiPriority="72"/>
    <w:lsdException w:name="Medium Shading 2 Accent 1" w:uiPriority="64"/>
    <w:lsdException w:name="List Table 2 Accent 3" w:uiPriority="47"/>
    <w:lsdException w:name="Medium Grid 1 Accent 2" w:uiPriority="67"/>
    <w:lsdException w:name="Plain Table 5" w:uiPriority="45"/>
    <w:lsdException w:name="Colorful List" w:uiPriority="72"/>
    <w:lsdException w:name="Table List 5" w:semiHidden="1" w:unhideWhenUsed="1"/>
    <w:lsdException w:name="Medium Shading 1 Accent 5" w:uiPriority="63"/>
    <w:lsdException w:name="Light Grid Accent 4" w:uiPriority="62"/>
    <w:lsdException w:name="Grid Table Light" w:uiPriority="40"/>
    <w:lsdException w:name="Plain Table 3" w:uiPriority="43"/>
    <w:lsdException w:name="Medium Grid 2 Accent 4" w:uiPriority="68"/>
    <w:lsdException w:name="List Table 4 Accent 1" w:uiPriority="49"/>
    <w:lsdException w:name="Grid Table 2 Accent 6" w:uiPriority="47"/>
    <w:lsdException w:name="List Table 4 Accent 3" w:uiPriority="49"/>
    <w:lsdException w:name="Table 3D effects 3" w:semiHidden="1" w:unhideWhenUsed="1"/>
    <w:lsdException w:name="List Table 5 Dark Accent 1" w:uiPriority="50"/>
    <w:lsdException w:name="Table Colorful 3" w:semiHidden="1" w:unhideWhenUsed="1"/>
    <w:lsdException w:name="Grid Table 7 Colorful Accent 1" w:uiPriority="52"/>
    <w:lsdException w:name="List Table 6 Colorful Accent 2" w:uiPriority="51"/>
    <w:lsdException w:name="Dark List Accent 1" w:uiPriority="70"/>
    <w:lsdException w:name="heading 2" w:unhideWhenUsed="1" w:qFormat="1"/>
    <w:lsdException w:name="Medium List 1 Accent 4" w:uiPriority="65"/>
    <w:lsdException w:name="Grid Table 2 Accent 1" w:uiPriority="47"/>
    <w:lsdException w:name="Grid Table 2 Accent 3" w:uiPriority="47"/>
    <w:lsdException w:name="Title" w:qFormat="1"/>
    <w:lsdException w:name="List Table 7 Colorful Accent 1" w:uiPriority="52"/>
    <w:lsdException w:name="List Table 3 Accent 3" w:uiPriority="48"/>
    <w:lsdException w:name="Table Grid 7" w:semiHidden="1" w:unhideWhenUsed="1"/>
    <w:lsdException w:name="List Table 7 Colorful Accent 5" w:uiPriority="52"/>
    <w:lsdException w:name="Quote" w:uiPriority="99"/>
    <w:lsdException w:name="Medium Grid 2 Accent 1" w:uiPriority="68"/>
    <w:lsdException w:name="List Table 1 Light Accent 6" w:uiPriority="46"/>
    <w:lsdException w:name="Table Subtle 2" w:semiHidden="1" w:unhideWhenUsed="1"/>
    <w:lsdException w:name="Grid Table 6 Colorful Accent 2" w:uiPriority="51"/>
    <w:lsdException w:name="Grid Table 2 Accent 4" w:uiPriority="47"/>
    <w:lsdException w:name="Colorful List Accent 6" w:uiPriority="72"/>
    <w:lsdException w:name="Light Shading Accent 5" w:uiPriority="60"/>
    <w:lsdException w:name="heading 8" w:semiHidden="1" w:unhideWhenUsed="1" w:qFormat="1"/>
    <w:lsdException w:name="Light Grid Accent 3" w:uiPriority="62"/>
    <w:lsdException w:name="Table Grid 4" w:semiHidden="1" w:unhideWhenUsed="1"/>
    <w:lsdException w:name="Outline List 3" w:uiPriority="99" w:semiHidden="1" w:unhideWhenUsed="1"/>
    <w:lsdException w:name="No List" w:uiPriority="99" w:semiHidden="1" w:unhideWhenUsed="1"/>
    <w:lsdException w:name="List Table 5 Dark Accent 4" w:uiPriority="50"/>
    <w:lsdException w:name="Grid Table 1 Light Accent 5" w:uiPriority="46"/>
    <w:lsdException w:name="Medium Shading 1 Accent 1" w:uiPriority="63"/>
    <w:lsdException w:name="Grid Table 4 Accent 6" w:uiPriority="49"/>
    <w:lsdException w:name="Light List Accent 6" w:uiPriority="61"/>
    <w:lsdException w:name="Medium List 2 Accent 3" w:uiPriority="66"/>
    <w:lsdException w:name="Medium Grid 1 Accent 4" w:uiPriority="67"/>
    <w:lsdException w:name="Grid Table 5 Dark" w:uiPriority="50"/>
    <w:lsdException w:name="Medium Grid 3 Accent 4" w:uiPriority="69"/>
    <w:lsdException w:name="List Table 3 Accent 1" w:uiPriority="48"/>
    <w:lsdException w:name="Emphasis" w:qFormat="1"/>
    <w:lsdException w:name="Grid Table 3 Accent 3" w:uiPriority="48"/>
    <w:lsdException w:name="Intense Reference" w:uiPriority="32" w:qFormat="1"/>
    <w:lsdException w:name="List Table 7 Colorful Accent 4" w:uiPriority="52"/>
    <w:lsdException w:name="Grid Table 5 Dark Accent 2" w:uiPriority="50"/>
    <w:lsdException w:name="List Table 6 Colorful Accent 3" w:uiPriority="51"/>
    <w:lsdException w:name="Medium List 1 Accent 6" w:uiPriority="65"/>
    <w:lsdException w:name="HTML Bottom of Form" w:uiPriority="99" w:semiHidden="1" w:unhideWhenUsed="1"/>
    <w:lsdException w:name="List Table 1 Light" w:uiPriority="46"/>
    <w:lsdException w:name="Dark List" w:uiPriority="70"/>
    <w:lsdException w:name="Light Grid" w:uiPriority="62"/>
    <w:lsdException w:name="Table Simple 2" w:semiHidden="1" w:unhideWhenUsed="1"/>
    <w:lsdException w:name="Medium Grid 2 Accent 6" w:uiPriority="68"/>
    <w:lsdException w:name="Medium List 1 Accent 5" w:uiPriority="65"/>
    <w:lsdException w:name="Dark List Accent 6" w:uiPriority="70"/>
    <w:lsdException w:name="Grid Table 6 Colorful Accent 6" w:uiPriority="51"/>
    <w:lsdException w:name="Medium Grid 2 Accent 5" w:uiPriority="68"/>
    <w:lsdException w:name="Table Web 1" w:semiHidden="1" w:unhideWhenUsed="1"/>
    <w:lsdException w:name="List Table 6 Colorful Accent 1" w:uiPriority="51"/>
    <w:lsdException w:name="Medium Shading 2 Accent 3" w:uiPriority="64"/>
    <w:lsdException w:name="Medium Shading 1 Accent 3" w:uiPriority="63"/>
    <w:lsdException w:name="Medium Grid 1 Accent 3" w:uiPriority="67"/>
    <w:lsdException w:name="Colorful Grid Accent 5" w:uiPriority="73"/>
    <w:lsdException w:name="toc 2" w:uiPriority="39" w:unhideWhenUsed="1" w:qFormat="1"/>
    <w:lsdException w:name="Light Grid Accent 1" w:uiPriority="62"/>
    <w:lsdException w:name="Normal" w:qFormat="1"/>
    <w:lsdException w:name="List Table 2 Accent 5" w:uiPriority="47"/>
    <w:lsdException w:name="Table Grid 2" w:semiHidden="1" w:unhideWhenUsed="1"/>
    <w:lsdException w:name="Light List Accent 3" w:uiPriority="61"/>
    <w:lsdException w:name="Plain Table 4" w:uiPriority="44"/>
    <w:lsdException w:name="Light Shading Accent 1" w:uiPriority="60"/>
    <w:lsdException w:name="Medium List 1 Accent 3" w:uiPriority="65"/>
    <w:lsdException w:name="Revision" w:uiPriority="99" w:semiHidden="1"/>
    <w:lsdException w:name="heading 1" w:qFormat="1"/>
    <w:lsdException w:name="List Table 7 Colorful" w:uiPriority="52"/>
    <w:lsdException w:name="List Table 2 Accent 2" w:uiPriority="47"/>
    <w:lsdException w:name="Light Grid Accent 5" w:uiPriority="62"/>
    <w:lsdException w:name="Grid Table 5 Dark Accent 3" w:uiPriority="50"/>
    <w:lsdException w:name="No Spacing" w:uiPriority="99"/>
    <w:lsdException w:name="Colorful List Accent 4" w:uiPriority="72"/>
    <w:lsdException w:name="Colorful List Accent 3" w:uiPriority="72"/>
    <w:lsdException w:name="List Table 2 Accent 6" w:uiPriority="47"/>
    <w:lsdException w:name="List Table 3 Accent 2" w:uiPriority="48"/>
    <w:lsdException w:name="Normal Table" w:uiPriority="99" w:semiHidden="1" w:unhideWhenUsed="1" w:qFormat="1"/>
    <w:lsdException w:name="List Table 3 Accent 5" w:uiPriority="48"/>
    <w:lsdException w:name="List Paragraph" w:uiPriority="99"/>
    <w:lsdException w:name="Grid Table 4 Accent 1" w:uiPriority="49"/>
    <w:lsdException w:name="Grid Table 3 Accent 4" w:uiPriority="48"/>
    <w:lsdException w:name="Grid Table 3 Accent 6" w:uiPriority="48"/>
    <w:lsdException w:name="List Table 1 Light Accent 3" w:uiPriority="46"/>
    <w:lsdException w:name="List Table 1 Light Accent 1" w:uiPriority="46"/>
    <w:lsdException w:name="Light Shading Accent 6" w:uiPriority="60"/>
    <w:lsdException w:name="List Table 2 Accent 1" w:uiPriority="47"/>
    <w:lsdException w:name="header" w:qFormat="1"/>
    <w:lsdException w:name="Grid Table 6 Colorful Accent 4" w:uiPriority="51"/>
    <w:lsdException w:name="Table Elegant" w:semiHidden="1" w:unhideWhenUsed="1"/>
    <w:lsdException w:name="Dark List Accent 5" w:uiPriority="70"/>
    <w:lsdException w:name="footer" w:qFormat="1"/>
    <w:lsdException w:name="List Table 6 Colorful Accent 4" w:uiPriority="51"/>
    <w:lsdException w:name="Medium List 1 Accent 2" w:uiPriority="65"/>
    <w:lsdException w:name="Colorful List Accent 5" w:uiPriority="72"/>
    <w:lsdException w:name="List Table 6 Colorful Accent 6" w:uiPriority="51"/>
    <w:lsdException w:name="Colorful Shading Accent 2" w:uiPriority="71"/>
    <w:lsdException w:name="Medium List 2 Accent 1" w:uiPriority="66"/>
    <w:lsdException w:name="Light Grid Accent 2" w:uiPriority="62"/>
    <w:lsdException w:name="Table 3D effects 1" w:semiHidden="1" w:unhideWhenUsed="1"/>
    <w:lsdException w:name="Light Grid Accent 6" w:uiPriority="62"/>
    <w:lsdException w:name="Grid Table 6 Colorful" w:uiPriority="51"/>
    <w:lsdException w:name="toc 3" w:uiPriority="39" w:unhideWhenUsed="1" w:qFormat="1"/>
    <w:lsdException w:name="Table Web 2" w:semiHidden="1" w:unhideWhenUsed="1"/>
    <w:lsdException w:name="Medium Grid 1 Accent 1" w:uiPriority="67"/>
    <w:lsdException w:name="Table Classic 3" w:semiHidden="1" w:unhideWhenUsed="1"/>
    <w:lsdException w:name="Medium Grid 3 Accent 6" w:uiPriority="69"/>
    <w:lsdException w:name="Table Subtle 1" w:semiHidden="1" w:unhideWhenUsed="1"/>
    <w:lsdException w:name="List Table 5 Dark" w:uiPriority="50"/>
    <w:lsdException w:name="Grid Table 3 Accent 2" w:uiPriority="48"/>
    <w:lsdException w:name="Table 3D effects 2" w:semiHidden="1" w:unhideWhenUsed="1"/>
    <w:lsdException w:name="Medium List 1" w:uiPriority="65"/>
    <w:lsdException w:name="Colorful Grid Accent 1" w:uiPriority="73"/>
    <w:lsdException w:name="List Table 1 Light Accent 2" w:uiPriority="46"/>
    <w:lsdException w:name="Dark List Accent 3" w:uiPriority="70"/>
    <w:lsdException w:name="List Table 3 Accent 4" w:uiPriority="48"/>
    <w:lsdException w:name="List Table 5 Dark Accent 3" w:uiPriority="50"/>
    <w:lsdException w:name="Light Shading" w:uiPriority="60"/>
    <w:lsdException w:name="Placeholder Text" w:uiPriority="99" w:semiHidden="1"/>
    <w:lsdException w:name="Medium List 2 Accent 4" w:uiPriority="66"/>
    <w:lsdException w:name="Medium Grid 3 Accent 3" w:uiPriority="69"/>
    <w:lsdException w:name="Grid Table 7 Colorful Accent 6" w:uiPriority="52"/>
    <w:lsdException w:name="Grid Table 7 Colorful Accent 4" w:uiPriority="52"/>
    <w:lsdException w:name="Medium List 1 Accent 1" w:uiPriority="65"/>
    <w:lsdException w:name="Grid Table 1 Light Accent 1" w:uiPriority="46"/>
    <w:lsdException w:name="List Table 6 Colorful" w:uiPriority="51"/>
    <w:lsdException w:name="Table Classic 4" w:semiHidden="1" w:unhideWhenUsed="1"/>
    <w:lsdException w:name="Table Colorful 2" w:semiHidden="1" w:unhideWhenUsed="1"/>
    <w:lsdException w:name="Table Simple 3" w:semiHidden="1" w:unhideWhenUsed="1"/>
    <w:lsdException w:name="Light Shading Accent 2" w:uiPriority="60"/>
    <w:lsdException w:name="List Table 6 Colorful Accent 5" w:uiPriority="51"/>
    <w:lsdException w:name="Table Columns 2" w:semiHidden="1" w:unhideWhenUsed="1"/>
    <w:lsdException w:name="List Table 2" w:uiPriority="47"/>
    <w:lsdException w:name="Medium Grid 3 Accent 2" w:uiPriority="69"/>
    <w:lsdException w:name="Grid Table 4 Accent 3" w:uiPriority="49"/>
    <w:lsdException w:name="List Table 5 Dark Accent 5" w:uiPriority="50"/>
    <w:lsdException w:name="Grid Table 6 Colorful Accent 1" w:uiPriority="51"/>
    <w:lsdException w:name="Light List Accent 1" w:uiPriority="61"/>
    <w:lsdException w:name="Book Title" w:uiPriority="33" w:qFormat="1"/>
    <w:lsdException w:name="Grid Table 2 Accent 5" w:uiPriority="47"/>
    <w:lsdException w:name="Colorful Shading Accent 1" w:uiPriority="71"/>
    <w:lsdException w:name="Table Professional" w:semiHidden="1" w:unhideWhenUsed="1"/>
    <w:lsdException w:name="Medium Shading 1" w:uiPriority="63"/>
    <w:lsdException w:name="Grid Table 4 Accent 4" w:uiPriority="49"/>
    <w:lsdException w:name="Table Grid 8" w:semiHidden="1" w:unhideWhenUsed="1"/>
    <w:lsdException w:name="Table List 1" w:semiHidden="1" w:unhideWhenUsed="1"/>
    <w:lsdException w:name="Medium Shading 2 Accent 4" w:uiPriority="64"/>
    <w:lsdException w:name="Grid Table 3" w:uiPriority="48"/>
    <w:lsdException w:name="Colorful Shading Accent 6" w:uiPriority="71"/>
    <w:lsdException w:name="Medium Grid 2" w:uiPriority="68"/>
    <w:lsdException w:name="List Table 1 Light Accent 5" w:uiPriority="46"/>
    <w:lsdException w:name="Dark List Accent 2" w:uiPriority="70"/>
    <w:lsdException w:name="Colorful List Accent 2" w:uiPriority="72"/>
    <w:lsdException w:name="List Table 3 Accent 6" w:uiPriority="48"/>
    <w:lsdException w:name="Grid Table 1 Light Accent 3" w:uiPriority="46"/>
    <w:lsdException w:name="heading 9" w:semiHidden="1" w:unhideWhenUsed="1" w:qFormat="1"/>
    <w:lsdException w:name="Grid Table 7 Colorful Accent 5" w:uiPriority="52"/>
    <w:lsdException w:name="Table Grid 1" w:semiHidden="1" w:unhideWhenUsed="1"/>
    <w:lsdException w:name="Grid Table 4 Accent 2" w:uiPriority="49"/>
    <w:lsdException w:name="Medium List 2 Accent 6" w:uiPriority="66"/>
    <w:lsdException w:name="Medium Shading 1 Accent 4" w:uiPriority="63"/>
    <w:lsdException w:name="List Table 5 Dark Accent 6" w:uiPriority="50"/>
    <w:lsdException w:name="Grid Table 6 Colorful Accent 5" w:uiPriority="51"/>
    <w:lsdException w:name="Grid Table 5 Dark Accent 5" w:uiPriority="50"/>
    <w:lsdException w:name="Grid Table 6 Colorful Accent 3" w:uiPriority="51"/>
    <w:lsdException w:name="Table Classic 2" w:semiHidden="1" w:unhideWhenUsed="1"/>
    <w:lsdException w:name="Outline List 1" w:uiPriority="99" w:semiHidden="1" w:unhideWhenUsed="1"/>
    <w:lsdException w:name="Medium Grid 2 Accent 3" w:uiPriority="68"/>
    <w:lsdException w:name="Subtle Emphasis" w:uiPriority="19" w:qFormat="1"/>
    <w:lsdException w:name="Subtle Reference" w:uiPriority="31" w:qFormat="1"/>
    <w:lsdException w:name="List Table 7 Colorful Accent 6" w:uiPriority="52"/>
    <w:lsdException w:name="Table Contemporary" w:semiHidden="1" w:unhideWhenUsed="1"/>
    <w:lsdException w:name="Light List" w:uiPriority="61"/>
    <w:lsdException w:name="Grid Table 5 Dark Accent 6" w:uiPriority="50"/>
    <w:lsdException w:name="Grid Table 5 Dark Accent 4" w:uiPriority="50"/>
    <w:lsdException w:name="caption" w:semiHidden="1" w:unhideWhenUsed="1" w:qFormat="1"/>
    <w:lsdException w:name="List Table 4 Accent 6" w:uiPriority="49"/>
    <w:lsdException w:name="Table Grid 3" w:semiHidden="1" w:unhideWhenUsed="1"/>
    <w:lsdException w:name="Medium List 2" w:uiPriority="66"/>
    <w:lsdException w:name="Medium Grid 2 Accent 2" w:uiPriority="68"/>
    <w:lsdException w:name="List Table 2 Accent 4" w:uiPriority="47"/>
    <w:lsdException w:name="Table List 7" w:semiHidden="1" w:unhideWhenUsed="1"/>
    <w:lsdException w:name="Medium Shading 2 Accent 2" w:uiPriority="64"/>
    <w:lsdException w:name="TOC Heading" w:uiPriority="39" w:semiHidden="1" w:unhideWhenUsed="1" w:qFormat="1"/>
    <w:lsdException w:name="Table Columns 3" w:semiHidden="1" w:unhideWhenUsed="1"/>
    <w:lsdException w:name="Table List 4" w:semiHidden="1" w:unhideWhenUsed="1"/>
    <w:lsdException w:name="List Table 4 Accent 4" w:uiPriority="49"/>
    <w:lsdException w:name="List Table 7 Colorful Accent 2" w:uiPriority="52"/>
    <w:lsdException w:name="Table Grid 5" w:semiHidden="1" w:unhideWhenUsed="1"/>
    <w:lsdException w:name="Medium Shading 1 Accent 2" w:uiPriority="63"/>
    <w:lsdException w:name="Intense Emphasis" w:uiPriority="21" w:qFormat="1"/>
    <w:lsdException w:name="Table Web 3" w:semiHidden="1" w:unhideWhenUsed="1"/>
    <w:lsdException w:name="Subtitle" w:qFormat="1"/>
    <w:lsdException w:name="Colorful Shading" w:uiPriority="71"/>
    <w:lsdException w:name="Table Theme" w:semiHidden="1" w:unhideWhenUsed="1"/>
    <w:lsdException w:name="Medium Shading 2" w:uiPriority="64"/>
    <w:lsdException w:name="Medium List 2 Accent 2" w:uiPriority="66"/>
    <w:lsdException w:name="List Table 7 Colorful Accent 3" w:uiPriority="52"/>
    <w:lsdException w:name="Colorful Grid Accent 3" w:uiPriority="73"/>
    <w:lsdException w:name="Table List 8" w:semiHidden="1" w:unhideWhenUsed="1"/>
    <w:lsdException w:name="Table Columns 4" w:semiHidden="1" w:unhideWhenUsed="1"/>
    <w:lsdException w:name="Table Simple 1" w:semiHidden="1" w:unhideWhenUsed="1"/>
    <w:lsdException w:name="List Table 4" w:uiPriority="49"/>
    <w:lsdException w:name="Grid Table 1 Light" w:uiPriority="46"/>
    <w:lsdException w:name="Colorful Shading Accent 5" w:uiPriority="71"/>
    <w:lsdException w:name="HTML Top of Form" w:uiPriority="99" w:semiHidden="1" w:unhideWhenUsed="1"/>
    <w:lsdException w:name="Bibliography" w:uiPriority="37" w:semiHidden="1" w:unhideWhenUsed="1"/>
    <w:lsdException w:name="List Table 4 Accent 5" w:uiPriority="49"/>
    <w:lsdException w:name="Grid Table 4" w:uiPriority="49"/>
    <w:lsdException w:name="List Table 1 Light Accent 4" w:uiPriority="46"/>
    <w:lsdException w:name="Grid Table 3 Accent 5" w:uiPriority="48"/>
    <w:lsdException w:name="Dark List Accent 4" w:uiPriority="70"/>
    <w:lsdException w:name="Grid Table 2" w:uiPriority="47"/>
    <w:lsdException w:name="heading 7" w:semiHidden="1" w:unhideWhenUsed="1" w:qFormat="1"/>
    <w:lsdException w:name="List Table 4 Accent 2" w:uiPriority="49"/>
    <w:lsdException w:name="Colorful Grid Accent 2" w:uiPriority="73"/>
    <w:lsdException w:name="Default Paragraph Font" w:uiPriority="1" w:semiHidden="1" w:unhideWhenUsed="1" w:qFormat="1"/>
    <w:lsdException w:name="Grid Table 5 Dark Accent 1" w:uiPriority="50"/>
    <w:lsdException w:name="Medium Grid 1 Accent 5" w:uiPriority="67"/>
    <w:lsdException w:name="Plain Table 1" w:uiPriority="41"/>
    <w:lsdException w:name="Grid Table 3 Accent 1" w:uiPriority="48"/>
    <w:lsdException w:name="Light List Accent 2" w:uiPriority="61"/>
    <w:lsdException w:name="List Table 5 Dark Accent 2" w:uiPriority="50"/>
    <w:lsdException w:name="Table Classic 1" w:semiHidden="1" w:unhideWhenUsed="1"/>
    <w:lsdException w:name="Grid Table 1 Light Accent 2" w:uiPriority="46"/>
    <w:lsdException w:name="Medium Grid 3" w:uiPriority="69"/>
    <w:lsdException w:name="Colorful Shading Accent 4" w:uiPriority="71"/>
    <w:lsdException w:name="Grid Table 1 Light Accent 6" w:uiPriority="46"/>
    <w:lsdException w:name="Outline List 2" w:uiPriority="99" w:semiHidden="1" w:unhideWhenUsed="1"/>
    <w:lsdException w:name="Grid Table 7 Colorful Accent 2" w:uiPriority="52"/>
    <w:lsdException w:name="Light List Accent 4" w:uiPriority="61"/>
    <w:lsdException w:name="Grid Table 1 Light Accent 4" w:uiPriority="46"/>
    <w:lsdException w:name="Plain Table 2" w:uiPriority="42"/>
    <w:lsdException w:name="Colorful Grid Accent 6" w:uiPriority="73"/>
    <w:lsdException w:name="Colorful Shading Accent 3" w:uiPriority="71"/>
    <w:lsdException w:name="Medium Grid 3 Accent 1" w:uiPriority="69"/>
    <w:lsdException w:name="List Table 3" w:uiPriority="48"/>
    <w:lsdException w:name="Medium Grid 3 Accent 5" w:uiPriority="69"/>
    <w:lsdException w:name="Table Colorful 1" w:semiHidden="1" w:unhideWhenUsed="1"/>
    <w:lsdException w:name="Medium Shading 1 Accent 6" w:uiPriority="63"/>
    <w:lsdException w:name="Colorful Grid Accent 4" w:uiPriority="73"/>
    <w:lsdException w:name="Strong" w:uiPriority="22" w:qFormat="1"/>
    <w:lsdException w:name="Light Shading Accent 3" w:uiPriority="60"/>
    <w:lsdException w:name="Grid Table 7 Colorful" w:uiPriority="52"/>
    <w:lsdException w:name="Light Shading Accent 4" w:uiPriority="60"/>
    <w:lsdException w:name="Grid Table 2 Accent 2" w:uiPriority="47"/>
  </w:latentStyles>
  <w:style w:type="numbering" w:styleId="000010" w:default="1">
    <w:name w:val="No List"/>
    <w:uiPriority w:val="99"/>
    <w:semiHidden w:val="1"/>
    <w:unhideWhenUsed w:val="1"/>
  </w:style>
  <w:style w:type="paragraph" w:styleId="00000a">
    <w:name w:val="heading 3"/>
    <w:basedOn w:val="000005"/>
    <w:link w:val="00000b"/>
    <w:uiPriority w:val="9"/>
    <w:qFormat w:val="1"/>
    <w:pPr>
      <w:widowControl w:val="1"/>
      <w:spacing w:before="100" w:beforeAutospacing="1" w:after="100" w:afterAutospacing="1"/>
      <w:ind w:firstLine="0" w:firstLineChars="0"/>
      <w:jc w:val="left"/>
      <w:outlineLvl w:val="2"/>
    </w:pPr>
    <w:rPr>
      <w:rFonts w:ascii="宋体" w:hAnsi="宋体" w:eastAsia="宋体" w:cs="宋体"/>
      <w:b w:val="1"/>
      <w:bCs w:val="1"/>
      <w:kern w:val="0"/>
      <w:sz w:val="27"/>
      <w:szCs w:val="27"/>
    </w:rPr>
  </w:style>
  <w:style w:type="character" w:styleId="00000b" w:customStyle="1">
    <w:name w:val="标题 3 字符"/>
    <w:basedOn w:val="00000e"/>
    <w:link w:val="00000a"/>
    <w:uiPriority w:val="9"/>
    <w:qFormat w:val="1"/>
    <w:rPr>
      <w:rFonts w:ascii="宋体" w:hAnsi="宋体" w:eastAsia="宋体" w:cs="宋体"/>
      <w:b w:val="1"/>
      <w:bCs w:val="1"/>
      <w:sz w:val="27"/>
      <w:szCs w:val="27"/>
    </w:rPr>
  </w:style>
  <w:style w:type="paragraph" w:styleId="000013">
    <w:name w:val="header"/>
    <w:basedOn w:val="000005"/>
    <w:link w:val="000014"/>
    <w:qFormat w:val="1"/>
    <w:pPr>
      <w:pBdr>
        <w:bottom w:val="single" w:color="auto" w:sz="6" w:space="1"/>
      </w:pBdr>
      <w:tabs>
        <w:tab w:val="center" w:pos="4153"/>
        <w:tab w:val="right" w:pos="8306"/>
      </w:tabs>
      <w:snapToGrid w:val="0"/>
      <w:jc w:val="center"/>
    </w:pPr>
    <w:rPr>
      <w:sz w:val="18"/>
      <w:szCs w:val="18"/>
    </w:rPr>
  </w:style>
  <w:style w:type="character" w:styleId="000014" w:customStyle="1">
    <w:name w:val="页眉 字符"/>
    <w:basedOn w:val="00000e"/>
    <w:link w:val="000013"/>
    <w:qFormat w:val="1"/>
    <w:rPr>
      <w:kern w:val="2"/>
      <w:sz w:val="18"/>
      <w:szCs w:val="18"/>
    </w:rPr>
  </w:style>
  <w:style w:type="paragraph" w:styleId="000008">
    <w:name w:val="heading 2"/>
    <w:basedOn w:val="000005"/>
    <w:next w:val="000005"/>
    <w:link w:val="000009"/>
    <w:unhideWhenUsed w:val="1"/>
    <w:qFormat w:val="1"/>
    <w:pPr>
      <w:keepNext w:val="1"/>
      <w:keepLines w:val="1"/>
      <w:spacing w:before="260" w:after="260"/>
      <w:ind w:firstLine="0" w:firstLineChars="0"/>
      <w:outlineLvl w:val="1"/>
    </w:pPr>
    <w:rPr>
      <w:rFonts w:asciiTheme="majorHAnsi" w:hAnsiTheme="majorHAnsi" w:eastAsiaTheme="majorEastAsia" w:cstheme="majorBidi"/>
      <w:b w:val="1"/>
      <w:bCs w:val="1"/>
      <w:sz w:val="32"/>
      <w:szCs w:val="32"/>
    </w:rPr>
  </w:style>
  <w:style w:type="paragraph" w:styleId="000011">
    <w:name w:val="footer"/>
    <w:basedOn w:val="000005"/>
    <w:link w:val="000012"/>
    <w:qFormat w:val="1"/>
    <w:pPr>
      <w:tabs>
        <w:tab w:val="center" w:pos="4153"/>
        <w:tab w:val="right" w:pos="8306"/>
      </w:tabs>
      <w:snapToGrid w:val="0"/>
      <w:jc w:val="left"/>
    </w:pPr>
    <w:rPr>
      <w:sz w:val="18"/>
      <w:szCs w:val="18"/>
    </w:rPr>
  </w:style>
  <w:style w:type="paragraph" w:styleId="000005" w:default="1">
    <w:name w:val="Normal"/>
    <w:qFormat w:val="1"/>
    <w:pPr>
      <w:widowControl w:val="0"/>
      <w:spacing w:line="360" w:lineRule="auto"/>
      <w:ind w:firstLine="200" w:firstLineChars="200"/>
      <w:jc w:val="both"/>
    </w:pPr>
    <w:rPr>
      <w:rFonts w:eastAsiaTheme="minorEastAsia" w:cstheme="minorBidi"/>
      <w:kern w:val="2"/>
      <w:sz w:val="24"/>
      <w:szCs w:val="24"/>
    </w:rPr>
  </w:style>
  <w:style w:type="table" w:styleId="00000f" w:default="1">
    <w:name w:val="Normal Table"/>
    <w:uiPriority w:val="99"/>
    <w:semiHidden w:val="1"/>
    <w:unhideWhenUsed w:val="1"/>
    <w:tblPr>
      <w:tblInd w:w="0" w:type="dxa"/>
      <w:tblCellMar>
        <w:top w:w="0" w:type="dxa"/>
        <w:left w:w="108" w:type="dxa"/>
        <w:bottom w:w="0" w:type="dxa"/>
        <w:right w:w="108" w:type="dxa"/>
      </w:tblCellMar>
    </w:tblPr>
  </w:style>
  <w:style w:type="character" w:styleId="000018">
    <w:name w:val="Strong"/>
    <w:basedOn w:val="00000e"/>
    <w:uiPriority w:val="22"/>
    <w:qFormat w:val="1"/>
    <w:rPr>
      <w:b w:val="1"/>
      <w:bCs w:val="1"/>
    </w:rPr>
  </w:style>
  <w:style w:type="paragraph" w:styleId="000015">
    <w:name w:val="Normal (Web)"/>
    <w:basedOn w:val="000005"/>
    <w:uiPriority w:val="99"/>
    <w:unhideWhenUsed w:val="1"/>
    <w:qFormat w:val="1"/>
    <w:pPr>
      <w:widowControl w:val="1"/>
      <w:spacing w:before="100" w:beforeAutospacing="1" w:after="100" w:afterAutospacing="1"/>
      <w:jc w:val="left"/>
    </w:pPr>
    <w:rPr>
      <w:rFonts w:ascii="宋体" w:hAnsi="宋体" w:eastAsia="宋体" w:cs="宋体"/>
      <w:kern w:val="0"/>
    </w:rPr>
  </w:style>
  <w:style w:type="character" w:styleId="000017" w:customStyle="1">
    <w:name w:val="标题 字符"/>
    <w:basedOn w:val="00000e"/>
    <w:link w:val="000016"/>
    <w:qFormat w:val="1"/>
    <w:rPr>
      <w:rFonts w:asciiTheme="majorHAnsi" w:hAnsiTheme="majorHAnsi" w:eastAsiaTheme="majorEastAsia" w:cstheme="majorBidi"/>
      <w:b w:val="1"/>
      <w:bCs w:val="1"/>
      <w:kern w:val="2"/>
      <w:sz w:val="32"/>
      <w:szCs w:val="32"/>
    </w:rPr>
  </w:style>
  <w:style w:type="character" w:styleId="000009" w:customStyle="1">
    <w:name w:val="标题 2 字符"/>
    <w:basedOn w:val="00000e"/>
    <w:link w:val="000008"/>
    <w:qFormat w:val="1"/>
    <w:rPr>
      <w:rFonts w:asciiTheme="majorHAnsi" w:hAnsiTheme="majorHAnsi" w:eastAsiaTheme="majorEastAsia" w:cstheme="majorBidi"/>
      <w:b w:val="1"/>
      <w:bCs w:val="1"/>
      <w:kern w:val="2"/>
      <w:sz w:val="32"/>
      <w:szCs w:val="32"/>
    </w:rPr>
  </w:style>
  <w:style w:type="character" w:styleId="000007" w:customStyle="1">
    <w:name w:val="标题 1 字符"/>
    <w:basedOn w:val="00000e"/>
    <w:link w:val="000006"/>
    <w:qFormat w:val="1"/>
    <w:rPr>
      <w:rFonts w:ascii="Times New Roman" w:hAnsi="Times New Roman"/>
      <w:b w:val="1"/>
      <w:bCs w:val="1"/>
      <w:kern w:val="44"/>
      <w:sz w:val="44"/>
      <w:szCs w:val="44"/>
    </w:rPr>
  </w:style>
  <w:style w:type="paragraph" w:styleId="000006">
    <w:name w:val="heading 1"/>
    <w:basedOn w:val="000005"/>
    <w:next w:val="000005"/>
    <w:link w:val="000007"/>
    <w:qFormat w:val="1"/>
    <w:pPr>
      <w:keepNext w:val="1"/>
      <w:keepLines w:val="1"/>
      <w:spacing w:before="340" w:after="330" w:line="578" w:lineRule="auto"/>
      <w:ind w:firstLine="0" w:firstLineChars="0"/>
      <w:outlineLvl w:val="0"/>
    </w:pPr>
    <w:rPr>
      <w:b w:val="1"/>
      <w:bCs w:val="1"/>
      <w:kern w:val="44"/>
      <w:sz w:val="44"/>
      <w:szCs w:val="44"/>
    </w:rPr>
  </w:style>
  <w:style w:type="character" w:styleId="000012" w:customStyle="1">
    <w:name w:val="页脚 字符"/>
    <w:basedOn w:val="00000e"/>
    <w:link w:val="000011"/>
    <w:qFormat w:val="1"/>
    <w:rPr>
      <w:kern w:val="2"/>
      <w:sz w:val="18"/>
      <w:szCs w:val="18"/>
    </w:rPr>
  </w:style>
  <w:style w:type="paragraph" w:styleId="000016">
    <w:name w:val="Title"/>
    <w:basedOn w:val="000005"/>
    <w:next w:val="000005"/>
    <w:link w:val="000017"/>
    <w:qFormat w:val="1"/>
    <w:pPr>
      <w:spacing w:before="240" w:after="60"/>
      <w:jc w:val="center"/>
      <w:outlineLvl w:val="0"/>
    </w:pPr>
    <w:rPr>
      <w:rFonts w:asciiTheme="majorHAnsi" w:hAnsiTheme="majorHAnsi" w:eastAsiaTheme="majorEastAsia" w:cstheme="majorBidi"/>
      <w:b w:val="1"/>
      <w:bCs w:val="1"/>
      <w:sz w:val="32"/>
      <w:szCs w:val="32"/>
    </w:rPr>
  </w:style>
  <w:style w:type="paragraph" w:styleId="00000c">
    <w:name w:val="heading 4"/>
    <w:basedOn w:val="000005"/>
    <w:link w:val="00000d"/>
    <w:uiPriority w:val="9"/>
    <w:qFormat w:val="1"/>
    <w:pPr>
      <w:widowControl w:val="1"/>
      <w:spacing w:before="100" w:beforeAutospacing="1" w:after="100" w:afterAutospacing="1"/>
      <w:jc w:val="left"/>
      <w:outlineLvl w:val="3"/>
    </w:pPr>
    <w:rPr>
      <w:rFonts w:ascii="宋体" w:hAnsi="宋体" w:eastAsia="宋体" w:cs="宋体"/>
      <w:b w:val="1"/>
      <w:bCs w:val="1"/>
      <w:kern w:val="0"/>
    </w:rPr>
  </w:style>
  <w:style w:type="character" w:styleId="00000d" w:customStyle="1">
    <w:name w:val="标题 4 字符"/>
    <w:basedOn w:val="00000e"/>
    <w:link w:val="00000c"/>
    <w:uiPriority w:val="9"/>
    <w:qFormat w:val="1"/>
    <w:rPr>
      <w:rFonts w:ascii="宋体" w:hAnsi="宋体" w:eastAsia="宋体" w:cs="宋体"/>
      <w:b w:val="1"/>
      <w:bCs w:val="1"/>
      <w:sz w:val="24"/>
      <w:szCs w:val="24"/>
    </w:rPr>
  </w:style>
  <w:style w:type="character" w:styleId="00000e" w:default="1">
    <w:name w:val="Default Paragraph Font"/>
    <w:uiPriority w:val="1"/>
    <w:semiHidden w:val="1"/>
    <w:unhideWhenUsed w:val="1"/>
  </w:style>
</w:styles>
</file>

<file path=word/_rels/document.xml.rels><?xml version="1.0" encoding="UTF-8" standalone="yes"?><Relationships xmlns="http://schemas.openxmlformats.org/package/2006/relationships"><Relationship Id="rId9" Type="http://schemas.openxmlformats.org/officeDocument/2006/relationships/header" Target="header3.xml" /><Relationship Id="rId7" Type="http://schemas.openxmlformats.org/officeDocument/2006/relationships/header" Target="header1.xml" /><Relationship Id="rId8" Type="http://schemas.openxmlformats.org/officeDocument/2006/relationships/header" Target="header2.xml" /><Relationship Id="rId6" Type="http://schemas.openxmlformats.org/officeDocument/2006/relationships/numbering" Target="numbering.xml" /><Relationship Id="rId5" Type="http://schemas.openxmlformats.org/officeDocument/2006/relationships/theme" Target="theme/theme1.xml" /><Relationship Id="rId3" Type="http://schemas.openxmlformats.org/officeDocument/2006/relationships/endnotes" Target="endnotes.xml" /><Relationship Id="rId1" Type="http://schemas.openxmlformats.org/officeDocument/2006/relationships/settings" Target="settings.xml" /><Relationship Id="rId0" Type="http://schemas.openxmlformats.org/officeDocument/2006/relationships/styles" Target="styles.xml" /><Relationship Id="rId10" Type="http://schemas.openxmlformats.org/officeDocument/2006/relationships/footer" Target="footer1.xml" /><Relationship Id="rId4" Type="http://schemas.openxmlformats.org/officeDocument/2006/relationships/fontTable" Target="fontTable.xml" /><Relationship Id="rId11" Type="http://schemas.openxmlformats.org/officeDocument/2006/relationships/footer" Target="footer2.xml" /><Relationship Id="rId12" Type="http://schemas.openxmlformats.org/officeDocument/2006/relationships/footer" Target="footer3.xml" /><Relationship Id="rId2" Type="http://schemas.openxmlformats.org/officeDocument/2006/relationships/footnotes" Target="footnot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2026-02-10T17:34:26Z</dcterms:created>
  <dcterms:modified xsi:type="dcterms:W3CDTF">2026-02-10T17:34:26Z</dcterms:modified>
</cp:coreProperties>
</file>