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Times New Roman" w:cs="Times New Roman"/>
          <w:b/>
          <w:i w:val="0"/>
          <w:sz w:val="32"/>
        </w:rPr>
        <w:t>Highlights</w:t>
      </w:r>
    </w:p>
    <w:p>
      <w:r>
        <w:rPr>
          <w:rFonts w:ascii="Times New Roman" w:hAnsi="Times New Roman" w:eastAsia="Times New Roman" w:cs="Times New Roman"/>
          <w:b w:val="0"/>
          <w:i w:val="0"/>
          <w:sz w:val="22"/>
        </w:rPr>
        <w:t>Manuscript: KNOSYS-D-26-07461R1</w:t>
      </w:r>
    </w:p>
    <w:p>
      <w:r>
        <w:rPr>
          <w:rFonts w:ascii="Times New Roman" w:hAnsi="Times New Roman" w:eastAsia="Times New Roman" w:cs="Times New Roman"/>
          <w:b w:val="0"/>
          <w:i w:val="0"/>
          <w:sz w:val="22"/>
        </w:rPr>
        <w:t>Title: Decision-aligned eviction-value prediction for learning-augmented caching</w:t>
      </w:r>
    </w:p>
    <w:p>
      <w:pPr>
        <w:pStyle w:val="ListBullet"/>
      </w:pPr>
      <w:r>
        <w:rPr>
          <w:rFonts w:ascii="Times New Roman" w:hAnsi="Times New Roman" w:eastAsia="Times New Roman" w:cs="Times New Roman"/>
          <w:b w:val="0"/>
          <w:i w:val="0"/>
          <w:sz w:val="22"/>
        </w:rPr>
        <w:t>Candidate-level miss-cost labels are tested for learning-augmented cache eviction.</w:t>
      </w:r>
    </w:p>
    <w:p>
      <w:pPr>
        <w:pStyle w:val="ListBullet"/>
      </w:pPr>
      <w:r>
        <w:rPr>
          <w:rFonts w:ascii="Times New Roman" w:hAnsi="Times New Roman" w:eastAsia="Times New Roman" w:cs="Times New Roman"/>
          <w:b w:val="0"/>
          <w:i w:val="0"/>
          <w:sz w:val="22"/>
        </w:rPr>
        <w:t>The learned policy does not beat matched learned or lightweight baselines.</w:t>
      </w:r>
    </w:p>
    <w:p>
      <w:pPr>
        <w:pStyle w:val="ListBullet"/>
      </w:pPr>
      <w:r>
        <w:rPr>
          <w:rFonts w:ascii="Times New Roman" w:hAnsi="Times New Roman" w:eastAsia="Times New Roman" w:cs="Times New Roman"/>
          <w:b w:val="0"/>
          <w:i w:val="0"/>
          <w:sz w:val="22"/>
        </w:rPr>
        <w:t>Matched objective controls do not implicate the eviction-loss label itself.</w:t>
      </w:r>
    </w:p>
    <w:p>
      <w:pPr>
        <w:pStyle w:val="ListBullet"/>
      </w:pPr>
      <w:r>
        <w:rPr>
          <w:rFonts w:ascii="Times New Roman" w:hAnsi="Times New Roman" w:eastAsia="Times New Roman" w:cs="Times New Roman"/>
          <w:b w:val="0"/>
          <w:i w:val="0"/>
          <w:sz w:val="22"/>
        </w:rPr>
        <w:t>Large optimal action sets explain weak discrimination despite high agreement.</w:t>
      </w:r>
    </w:p>
    <w:p>
      <w:pPr>
        <w:pStyle w:val="ListBullet"/>
      </w:pPr>
      <w:r>
        <w:rPr>
          <w:rFonts w:ascii="Times New Roman" w:hAnsi="Times New Roman" w:eastAsia="Times New Roman" w:cs="Times New Roman"/>
          <w:b w:val="0"/>
          <w:i w:val="0"/>
          <w:sz w:val="22"/>
        </w:rPr>
        <w:t>Continuation correction is partial; a shift correction worsens cache misses.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i w:val="0"/>
        <w:sz w:val="18"/>
      </w:rPr>
      <w:t xml:space="preserve">Page </w:t>
    </w:r>
    <w:r>
      <w:rPr>
        <w:rFonts w:ascii="Times New Roman" w:hAnsi="Times New Roman" w:eastAsia="Times New Roman" w:cs="Times New Roman"/>
        <w:b w:val="0"/>
        <w:i w:val="0"/>
        <w:sz w:val="18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76" w:lineRule="auto"/>
    </w:pPr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