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Declaration of Competing Interest</w:t>
      </w:r>
    </w:p>
    <w:p>
      <w:r>
        <w:rPr>
          <w:rFonts w:ascii="Times New Roman" w:hAnsi="Times New Roman" w:eastAsia="Times New Roman" w:cs="Times New Roman"/>
          <w:b w:val="0"/>
          <w:i w:val="0"/>
          <w:sz w:val="22"/>
        </w:rPr>
        <w:t>Manuscript: KNOSYS-D-26-07461R1</w:t>
      </w:r>
    </w:p>
    <w:p>
      <w:r>
        <w:rPr>
          <w:rFonts w:ascii="Times New Roman" w:hAnsi="Times New Roman" w:eastAsia="Times New Roman" w:cs="Times New Roman"/>
          <w:b w:val="0"/>
          <w:i w:val="0"/>
          <w:sz w:val="22"/>
        </w:rPr>
        <w:t>Title: Decision-aligned eviction-value prediction for learning-augmented caching</w:t>
      </w:r>
    </w:p>
    <w:p>
      <w:r>
        <w:rPr>
          <w:rFonts w:ascii="Times New Roman" w:hAnsi="Times New Roman" w:eastAsia="Times New Roman" w:cs="Times New Roman"/>
          <w:b w:val="0"/>
          <w:i w:val="0"/>
          <w:sz w:val="22"/>
        </w:rPr>
        <w:t>Author: Soroush Vahidi</w:t>
      </w:r>
    </w:p>
    <w:p>
      <w:r>
        <w:rPr>
          <w:rFonts w:ascii="Times New Roman" w:hAnsi="Times New Roman" w:eastAsia="Times New Roman" w:cs="Times New Roman"/>
          <w:b w:val="0"/>
          <w:i w:val="0"/>
          <w:sz w:val="22"/>
        </w:rPr>
        <w:t>The author declares that there is no known competing financial interest or personal relationship that could have appeared to influence the work reported in this paper.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i w:val="0"/>
        <w:sz w:val="18"/>
      </w:rPr>
      <w:t xml:space="preserve">Page </w:t>
    </w:r>
    <w:r>
      <w:rPr>
        <w:rFonts w:ascii="Times New Roman" w:hAnsi="Times New Roman" w:eastAsia="Times New Roman" w:cs="Times New Roman"/>
        <w:b w:val="0"/>
        <w:i w:val="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