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FirstParagraph"/>
      </w:pPr>
      <w:r>
        <w:t xml:space="preserve">Manuscript: KNOSYS-D-26-07461</w:t>
      </w:r>
      <w:r>
        <w:br/>
      </w:r>
      <w:r>
        <w:t xml:space="preserve">Title: Decision-aligned eviction-value prediction for learning-augmented caching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Finite-horizon eviction-value target for candidate-level cache decisions.</w:t>
      </w:r>
    </w:p>
    <w:p>
      <w:pPr>
        <w:pStyle w:val="Compact"/>
        <w:numPr>
          <w:ilvl w:val="0"/>
          <w:numId w:val="1001"/>
        </w:numPr>
      </w:pPr>
      <w:r>
        <w:t xml:space="preserve">Online replay across seven trace families at cache sizes 32, 64, and 128.</w:t>
      </w:r>
    </w:p>
    <w:p>
      <w:pPr>
        <w:pStyle w:val="Compact"/>
        <w:numPr>
          <w:ilvl w:val="0"/>
          <w:numId w:val="1001"/>
        </w:numPr>
      </w:pPr>
      <w:r>
        <w:t xml:space="preserve">SIEVE and FIFO-Reinsertion added as strong lightweight baselines.</w:t>
      </w:r>
    </w:p>
    <w:p>
      <w:pPr>
        <w:pStyle w:val="Compact"/>
        <w:numPr>
          <w:ilvl w:val="0"/>
          <w:numId w:val="1001"/>
        </w:numPr>
      </w:pPr>
      <w:r>
        <w:t xml:space="preserve">Capacity-dependent gaps analyzed, including non-monotonic reversal at 128.</w:t>
      </w:r>
    </w:p>
    <w:p>
      <w:pPr>
        <w:pStyle w:val="Compact"/>
        <w:numPr>
          <w:ilvl w:val="0"/>
          <w:numId w:val="1001"/>
        </w:numPr>
      </w:pPr>
      <w:r>
        <w:t xml:space="preserve">Controlled overhead benchmark quantifies per-decision scoring cost.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2026-06-21T22:24:26Z</dcterms:created>
  <dcterms:modified xsi:type="dcterms:W3CDTF">2026-06-21T22:24:26Z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