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ponse-to-reviewers"/>
    <w:p>
      <w:pPr>
        <w:pStyle w:val="Heading1"/>
      </w:pPr>
      <w:r>
        <w:t xml:space="preserve">Response to Reviewers</w:t>
      </w:r>
    </w:p>
    <w:p>
      <w:pPr>
        <w:pStyle w:val="FirstParagraph"/>
      </w:pPr>
      <w:r>
        <w:t xml:space="preserve">Manuscript: KNOSYS-D-26-07461R1</w:t>
      </w:r>
      <w:r>
        <w:t xml:space="preserve"> </w:t>
      </w:r>
      <w:r>
        <w:t xml:space="preserve">Decision: Second revision</w:t>
      </w:r>
      <w:r>
        <w:t xml:space="preserve"> </w:t>
      </w:r>
      <w:r>
        <w:t xml:space="preserve">Date: 2026-08-13</w:t>
      </w:r>
    </w:p>
    <w:p>
      <w:pPr>
        <w:pStyle w:val="BodyText"/>
      </w:pPr>
      <w:r>
        <w:t xml:space="preserve">This letter responds point-by-point to Reviewer #2's four major comments and</w:t>
      </w:r>
      <w:r>
        <w:t xml:space="preserve"> </w:t>
      </w:r>
      <w:r>
        <w:t xml:space="preserve">Reviewer #3's primary unresolved issue on the previous revision. All section,</w:t>
      </w:r>
      <w:r>
        <w:t xml:space="preserve"> </w:t>
      </w:r>
      <w:r>
        <w:t xml:space="preserve">table, and page references below are to the enclosed revised manuscript PDF</w:t>
      </w:r>
      <w:r>
        <w:t xml:space="preserve"> </w:t>
      </w:r>
      <w:r>
        <w:t xml:space="preserve">(44 pages).</w:t>
      </w:r>
    </w:p>
    <w:p>
      <w:pPr>
        <w:pStyle w:val="BodyText"/>
      </w:pPr>
      <w:r>
        <w:t xml:space="preserve">We thank both reviewers for pushing this manuscript toward a substantially</w:t>
      </w:r>
      <w:r>
        <w:t xml:space="preserve"> </w:t>
      </w:r>
      <w:r>
        <w:t xml:space="preserve">more rigorous and honest empirical study. In preparing this revision we also</w:t>
      </w:r>
      <w:r>
        <w:t xml:space="preserve"> </w:t>
      </w:r>
      <w:r>
        <w:t xml:space="preserve">identified, and disclose directly here and in the manuscript, a train/test</w:t>
      </w:r>
      <w:r>
        <w:t xml:space="preserve"> </w:t>
      </w:r>
      <w:r>
        <w:t xml:space="preserve">overlap in the model underlying the manuscript's original end-to-end</w:t>
      </w:r>
      <w:r>
        <w:t xml:space="preserve"> </w:t>
      </w:r>
      <w:r>
        <w:t xml:space="preserve">evaluation (Table 5, Section 3.4); the corrected, leakage-free evaluation</w:t>
      </w:r>
      <w:r>
        <w:t xml:space="preserve"> </w:t>
      </w:r>
      <w:r>
        <w:t xml:space="preserve">built to address Reviewer #2's Major Comment 1 also resolves this issue and</w:t>
      </w:r>
      <w:r>
        <w:t xml:space="preserve"> </w:t>
      </w:r>
      <w:r>
        <w:t xml:space="preserve">is now the paper's primary evidence for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's comparative</w:t>
      </w:r>
      <w:r>
        <w:t xml:space="preserve"> </w:t>
      </w:r>
      <w:r>
        <w:t xml:space="preserve">performance.</w:t>
      </w:r>
    </w:p>
    <w:p>
      <w:r>
        <w:pict>
          <v:rect style="width:0;height:1.5pt" o:hralign="center" o:hrstd="t" o:hr="t"/>
        </w:pict>
      </w:r>
    </w:p>
    <w:bookmarkStart w:id="9" w:name="response-to-the-associate-editor"/>
    <w:p>
      <w:pPr>
        <w:pStyle w:val="Heading2"/>
      </w:pPr>
      <w:r>
        <w:t xml:space="preserve">Response to the Associate Editor</w:t>
      </w:r>
    </w:p>
    <w:p>
      <w:pPr>
        <w:pStyle w:val="BlockText"/>
      </w:pPr>
      <w:r>
        <w:t xml:space="preserve">We thank the Associate Editor and both reviewers for their detailed and</w:t>
      </w:r>
      <w:r>
        <w:t xml:space="preserve"> </w:t>
      </w:r>
      <w:r>
        <w:t xml:space="preserve">constructive feedback on the previous revision. In this new revision we</w:t>
      </w:r>
      <w:r>
        <w:t xml:space="preserve"> </w:t>
      </w:r>
      <w:r>
        <w:t xml:space="preserve">have: (1) added a corrected, leakage-free comparison of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against four learned cache-replacement systems (LRB, 3L-Cache, CACHEUS,</w:t>
      </w:r>
      <w:r>
        <w:t xml:space="preserve"> </w:t>
      </w:r>
      <w:r>
        <w:t xml:space="preserve">HALP) and three classical baselines, requested specifically for LRB and</w:t>
      </w:r>
      <w:r>
        <w:t xml:space="preserve"> </w:t>
      </w:r>
      <w:r>
        <w:t xml:space="preserve">3L-Cache, under a matched evaluation protocol — the result is negative for</w:t>
      </w:r>
      <w:r>
        <w:t xml:space="preserve"> </w:t>
      </w:r>
      <w:r>
        <w:t xml:space="preserve">our method; (2) directly tested, rather than merely argued for, the premise</w:t>
      </w:r>
      <w:r>
        <w:t xml:space="preserve"> </w:t>
      </w:r>
      <w:r>
        <w:t xml:space="preserve">that our eviction-loss supervision target is better suited to the eviction</w:t>
      </w:r>
      <w:r>
        <w:t xml:space="preserve"> </w:t>
      </w:r>
      <w:r>
        <w:t xml:space="preserve">decision than reuse-distance, next-arrival, or pairwise-preference</w:t>
      </w:r>
      <w:r>
        <w:t xml:space="preserve"> </w:t>
      </w:r>
      <w:r>
        <w:t xml:space="preserve">alternatives — the evidence rejects this premise; (3) replaced a previously</w:t>
      </w:r>
      <w:r>
        <w:t xml:space="preserve"> </w:t>
      </w:r>
      <w:r>
        <w:t xml:space="preserve">speculative causal account of the offline/online performance gap with a</w:t>
      </w:r>
      <w:r>
        <w:t xml:space="preserve"> </w:t>
      </w:r>
      <w:r>
        <w:t xml:space="preserve">mechanistic diagnosis (an exact-target oracle, a target-degeneracy audit,</w:t>
      </w:r>
      <w:r>
        <w:t xml:space="preserve"> </w:t>
      </w:r>
      <w:r>
        <w:t xml:space="preserve">and a learned/exact agreement analysis) and a controlled causal ablation</w:t>
      </w:r>
      <w:r>
        <w:t xml:space="preserve"> </w:t>
      </w:r>
      <w:r>
        <w:t xml:space="preserve">directly testing the continuation-label mismatch hypothesis Reviewer #3</w:t>
      </w:r>
      <w:r>
        <w:t xml:space="preserve"> </w:t>
      </w:r>
      <w:r>
        <w:t xml:space="preserve">identified as untested; (4) replaced our earlier single-run local timing</w:t>
      </w:r>
      <w:r>
        <w:t xml:space="preserve"> </w:t>
      </w:r>
      <w:r>
        <w:t xml:space="preserve">benchmark with a controlled, repeated-measurement wall-clock campaign and</w:t>
      </w:r>
      <w:r>
        <w:t xml:space="preserve"> </w:t>
      </w:r>
      <w:r>
        <w:t xml:space="preserve">added an explicit statement of intended use and current practical</w:t>
      </w:r>
      <w:r>
        <w:t xml:space="preserve"> </w:t>
      </w:r>
      <w:r>
        <w:t xml:space="preserve">limitations; and (5) disclosed and addressed a train/test-overlap issue we</w:t>
      </w:r>
      <w:r>
        <w:t xml:space="preserve"> </w:t>
      </w:r>
      <w:r>
        <w:t xml:space="preserve">found in the model underlying our original end-to-end table while</w:t>
      </w:r>
      <w:r>
        <w:t xml:space="preserve"> </w:t>
      </w:r>
      <w:r>
        <w:t xml:space="preserve">preparing this revision. We report all of this evidence candidly: the</w:t>
      </w:r>
      <w:r>
        <w:t xml:space="preserve"> </w:t>
      </w:r>
      <w:r>
        <w:t xml:space="preserve">revised manuscript's central finding is that the proposed target does not</w:t>
      </w:r>
      <w:r>
        <w:t xml:space="preserve"> </w:t>
      </w:r>
      <w:r>
        <w:t xml:space="preserve">outperform any tested baseline or alternative objective, and we now</w:t>
      </w:r>
      <w:r>
        <w:t xml:space="preserve"> </w:t>
      </w:r>
      <w:r>
        <w:t xml:space="preserve">explain why in detail rather than leaving the gap unexplained.</w:t>
      </w:r>
    </w:p>
    <w:p>
      <w:r>
        <w:pict>
          <v:rect style="width:0;height:1.5pt" o:hralign="center" o:hrstd="t" o:hr="t"/>
        </w:pict>
      </w:r>
    </w:p>
    <w:bookmarkEnd w:id="9"/>
    <w:bookmarkStart w:id="14" w:name="response-to-reviewer-2"/>
    <w:p>
      <w:pPr>
        <w:pStyle w:val="Heading2"/>
      </w:pPr>
      <w:r>
        <w:t xml:space="preserve">Response to Reviewer #2</w:t>
      </w:r>
    </w:p>
    <w:bookmarkStart w:id="10" w:name="Xb83010db8bcd8bbb945665afcac61f7ad5e69d9"/>
    <w:p>
      <w:pPr>
        <w:pStyle w:val="Heading3"/>
      </w:pPr>
      <w:r>
        <w:t xml:space="preserve">Major Comment 1 — Insufficient comparison with existing learned cache-replacement methods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Insufficient comparison with existing learned cache-replacement methods.</w:t>
      </w:r>
      <w:r>
        <w:t xml:space="preserve"> </w:t>
      </w:r>
      <w:r>
        <w:t xml:space="preserve">Direct comparisons are needed, particularly with LRB and 3L-Cache. Such</w:t>
      </w:r>
      <w:r>
        <w:t xml:space="preserve"> </w:t>
      </w:r>
      <w:r>
        <w:t xml:space="preserve">comparisons are necessary to determine whether the proposed candidate-level</w:t>
      </w:r>
      <w:r>
        <w:t xml:space="preserve"> </w:t>
      </w:r>
      <w:r>
        <w:t xml:space="preserve">eviction-loss objective offers advantages over existing learning-based</w:t>
      </w:r>
      <w:r>
        <w:t xml:space="preserve"> </w:t>
      </w:r>
      <w:r>
        <w:t xml:space="preserve">approaches. Fair comparison requires the same traces, capacities,</w:t>
      </w:r>
      <w:r>
        <w:t xml:space="preserve"> </w:t>
      </w:r>
      <w:r>
        <w:t xml:space="preserve">preprocessing, request budgets, and metrics.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agree, and have added the requested direct comparison. We retrained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under a leave-one-family-out protocol (no request from an</w:t>
      </w:r>
      <w:r>
        <w:t xml:space="preserve"> </w:t>
      </w:r>
      <w:r>
        <w:t xml:space="preserve">evaluated family contributes to that family's training, validation,</w:t>
      </w:r>
      <w:r>
        <w:t xml:space="preserve"> </w:t>
      </w:r>
      <w:r>
        <w:t xml:space="preserve">hyperparameter selection, or early stopping at any point) and evaluated it</w:t>
      </w:r>
      <w:r>
        <w:t xml:space="preserve"> </w:t>
      </w:r>
      <w:r>
        <w:t xml:space="preserve">against LRB, 3L-Cache, CACHEUS, and HALP — plus LRU, SIEVE, and</w:t>
      </w:r>
      <w:r>
        <w:t xml:space="preserve"> </w:t>
      </w:r>
      <w:r>
        <w:t xml:space="preserve">FIFO-Reinsertion — under a matched protocol: identical traces (verified by</w:t>
      </w:r>
      <w:r>
        <w:t xml:space="preserve"> </w:t>
      </w:r>
      <w:r>
        <w:t xml:space="preserve">SHA-256 hash, not filename), identical capacities (32, 64, 128), an identical</w:t>
      </w:r>
      <w:r>
        <w:t xml:space="preserve"> </w:t>
      </w:r>
      <w:r>
        <w:t xml:space="preserve">history prefix (</w:t>
      </w:r>
      <w:r>
        <w:rPr>
          <w:rStyle w:val="VerbatimChar"/>
        </w:rPr>
        <w:t xml:space="preserve">[0, 10,000)</w:t>
      </w:r>
      <w:r>
        <w:t xml:space="preserve">), an identical scored suffix (</w:t>
      </w:r>
      <w:r>
        <w:rPr>
          <w:rStyle w:val="VerbatimChar"/>
        </w:rPr>
        <w:t xml:space="preserve">[10,000, 50,000)</w:t>
      </w:r>
      <w:r>
        <w:t xml:space="preserve">, 40,000 scored requests), identical object-slot/unit-object</w:t>
      </w:r>
      <w:r>
        <w:t xml:space="preserve"> </w:t>
      </w:r>
      <w:r>
        <w:t xml:space="preserve">semantics, and identical hit/miss accounting.</w:t>
      </w:r>
    </w:p>
    <w:p>
      <w:pPr>
        <w:pStyle w:val="BodyText"/>
      </w:pPr>
      <w:r>
        <w:t xml:space="preserve">The answer to the reviewer's specific question is direct:</w:t>
      </w:r>
      <w:r>
        <w:t xml:space="preserve"> </w:t>
      </w:r>
      <w:r>
        <w:rPr>
          <w:b/>
          <w:bCs/>
        </w:rPr>
        <w:t xml:space="preserve">the comparison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establish an advantage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evict_value_v1</w:t>
      </w:r>
      <w:r>
        <w:rPr>
          <w:b/>
          <w:bCs/>
        </w:rPr>
        <w:t xml:space="preserve">.</w:t>
      </w:r>
      <w:r>
        <w:t xml:space="preserve"> </w:t>
      </w:r>
      <w:r>
        <w:t xml:space="preserve">It loses on a clear</w:t>
      </w:r>
      <w:r>
        <w:t xml:space="preserve"> </w:t>
      </w:r>
      <w:r>
        <w:t xml:space="preserve">majority of the 21 matched (family, capacity) cells against every one of the</w:t>
      </w:r>
      <w:r>
        <w:t xml:space="preserve"> </w:t>
      </w:r>
      <w:r>
        <w:t xml:space="preserve">seven baselines, including LRB (13 losses, 5 wins, 3 ties;</w:t>
      </w:r>
      <w:r>
        <w:t xml:space="preserve"> </w:t>
      </w:r>
      <m:oMath>
        <m:r>
          <m:rPr>
            <m:sty m:val="p"/>
          </m:rPr>
          <m:t>+</m:t>
        </m:r>
        <m:r>
          <m:t>1.85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</w:t>
      </w:r>
      <w:r>
        <w:t xml:space="preserve"> </w:t>
      </w:r>
      <w:r>
        <w:t xml:space="preserve">miss ratio) and 3L-Cache (13 losses, 5 wins, 3 ties;</w:t>
      </w:r>
      <w:r>
        <w:t xml:space="preserve"> </w:t>
      </w:r>
      <m:oMath>
        <m:r>
          <m:rPr>
            <m:sty m:val="p"/>
          </m:rPr>
          <m:t>+</m:t>
        </m:r>
        <m:r>
          <m:t>1.13</m:t>
        </m:r>
        <m:r>
          <m:rPr>
            <m:sty m:val="p"/>
          </m:rPr>
          <m:t>%</m:t>
        </m:r>
      </m:oMath>
      <w:r>
        <w:t xml:space="preserve">). We report</w:t>
      </w:r>
      <w:r>
        <w:t xml:space="preserve"> </w:t>
      </w:r>
      <w:r>
        <w:t xml:space="preserve">this candidly rather than qualify it away, and we use the same corrected,</w:t>
      </w:r>
      <w:r>
        <w:t xml:space="preserve"> </w:t>
      </w:r>
      <w:r>
        <w:t xml:space="preserve">leakage-free evaluation to replace the train/test-overlap-affected model that</w:t>
      </w:r>
      <w:r>
        <w:t xml:space="preserve"> </w:t>
      </w:r>
      <w:r>
        <w:t xml:space="preserve">had underpinned the manuscript's original end-to-end table.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1"/>
        </w:numPr>
      </w:pPr>
      <w:r>
        <w:t xml:space="preserve">New Section 3.6, "Matched Comparison Against Learned Cache-Replacement</w:t>
      </w:r>
      <w:r>
        <w:t xml:space="preserve"> </w:t>
      </w:r>
      <w:r>
        <w:t xml:space="preserve">Baselines" (pp. 23–25), with subsections on the corrected training</w:t>
      </w:r>
      <w:r>
        <w:t xml:space="preserve"> </w:t>
      </w:r>
      <w:r>
        <w:t xml:space="preserve">protocol (§3.6.1), the matched evaluation protocol (§3.6.2), results</w:t>
      </w:r>
      <w:r>
        <w:t xml:space="preserve"> </w:t>
      </w:r>
      <w:r>
        <w:t xml:space="preserve">(§3.6.3, Table 7, p. 24), and implementation-fidelity caveats (§3.6.4).</w:t>
      </w:r>
    </w:p>
    <w:p>
      <w:pPr>
        <w:pStyle w:val="Compact"/>
        <w:numPr>
          <w:ilvl w:val="0"/>
          <w:numId w:val="1001"/>
        </w:numPr>
      </w:pPr>
      <w:r>
        <w:t xml:space="preserve">Related Work (§1.4, p. 5) now introduces 3L-Cache and CACHEUS with proper</w:t>
      </w:r>
      <w:r>
        <w:t xml:space="preserve"> </w:t>
      </w:r>
      <w:r>
        <w:t xml:space="preserve">citations alongside the existing LRB and HALP citations, and states that</w:t>
      </w:r>
      <w:r>
        <w:t xml:space="preserve"> </w:t>
      </w:r>
      <w:r>
        <w:t xml:space="preserve">all four are directly compared in §3.6.</w:t>
      </w:r>
    </w:p>
    <w:p>
      <w:pPr>
        <w:pStyle w:val="Compact"/>
        <w:numPr>
          <w:ilvl w:val="0"/>
          <w:numId w:val="1001"/>
        </w:numPr>
      </w:pPr>
      <w:r>
        <w:t xml:space="preserve">Table 3 (Main policy families, p. 17) now lists LRB, 3L-Cache, CACHEUS,</w:t>
      </w:r>
      <w:r>
        <w:t xml:space="preserve"> </w:t>
      </w:r>
      <w:r>
        <w:t xml:space="preserve">and HALP as learned baselines, with their evaluation location and</w:t>
      </w:r>
      <w:r>
        <w:t xml:space="preserve"> </w:t>
      </w:r>
      <w:r>
        <w:t xml:space="preserve">fidelity noted.</w:t>
      </w:r>
    </w:p>
    <w:p>
      <w:pPr>
        <w:pStyle w:val="Compact"/>
        <w:numPr>
          <w:ilvl w:val="0"/>
          <w:numId w:val="1001"/>
        </w:numPr>
      </w:pPr>
      <w:r>
        <w:t xml:space="preserve">Section 3.4 (End-to-End Online Replay Evaluation, p. 18) now discloses the</w:t>
      </w:r>
      <w:r>
        <w:t xml:space="preserve"> </w:t>
      </w:r>
      <w:r>
        <w:t xml:space="preserve">train/test-overlap limitation of its underlying model directly and points</w:t>
      </w:r>
      <w:r>
        <w:t xml:space="preserve"> </w:t>
      </w:r>
      <w:r>
        <w:t xml:space="preserve">to §3.6 as the corrected, primary evidence.</w:t>
      </w:r>
    </w:p>
    <w:p>
      <w:pPr>
        <w:pStyle w:val="Compact"/>
        <w:numPr>
          <w:ilvl w:val="0"/>
          <w:numId w:val="1001"/>
        </w:numPr>
      </w:pPr>
      <w:r>
        <w:t xml:space="preserve">Contributions list, item 2 (p. 4), and Abstract (p. 1) state the matched</w:t>
      </w:r>
      <w:r>
        <w:t xml:space="preserve"> </w:t>
      </w:r>
      <w:r>
        <w:t xml:space="preserve">comparison and its negative result explicitly.</w:t>
      </w:r>
    </w:p>
    <w:p>
      <w:pPr>
        <w:pStyle w:val="FirstParagraph"/>
      </w:pPr>
      <w:r>
        <w:rPr>
          <w:b/>
          <w:bCs/>
        </w:rPr>
        <w:t xml:space="preserve">Additional clarification</w:t>
      </w:r>
    </w:p>
    <w:p>
      <w:pPr>
        <w:pStyle w:val="BodyText"/>
      </w:pPr>
      <w:r>
        <w:t xml:space="preserve">Implementation-fidelity caveats are recorded transparently and are separate</w:t>
      </w:r>
      <w:r>
        <w:t xml:space="preserve"> </w:t>
      </w:r>
      <w:r>
        <w:t xml:space="preserve">from the evaluation-protocol dimensions above, which are exact for all seven</w:t>
      </w:r>
      <w:r>
        <w:t xml:space="preserve"> </w:t>
      </w:r>
      <w:r>
        <w:t xml:space="preserve">baselines: LRB and 3L-Cache are independent repository reimplementations</w:t>
      </w:r>
      <w:r>
        <w:t xml:space="preserve"> </w:t>
      </w:r>
      <w:r>
        <w:t xml:space="preserve">(3L-Cache additionally uses a fixed default batch size not re-tuned for this</w:t>
      </w:r>
      <w:r>
        <w:t xml:space="preserve"> </w:t>
      </w:r>
      <w:r>
        <w:t xml:space="preserve">study); CACHEUS runs the official authors' own decision engine unmodified,</w:t>
      </w:r>
      <w:r>
        <w:t xml:space="preserve"> </w:t>
      </w:r>
      <w:r>
        <w:t xml:space="preserve">with a provenance caveat that the external upstream clone is not currently</w:t>
      </w:r>
      <w:r>
        <w:t xml:space="preserve"> </w:t>
      </w:r>
      <w:r>
        <w:t xml:space="preserve">live-verifiable in this development environment; HALP is an independent</w:t>
      </w:r>
      <w:r>
        <w:t xml:space="preserve"> </w:t>
      </w:r>
      <w:r>
        <w:t xml:space="preserve">reimplementation because no official public HALP implementation exists (see</w:t>
      </w:r>
      <w:r>
        <w:t xml:space="preserve"> </w:t>
      </w:r>
      <w:r>
        <w:t xml:space="preserve">also the response to Reviewer #3, Issue 2, below). None of these caveats</w:t>
      </w:r>
      <w:r>
        <w:t xml:space="preserve"> </w:t>
      </w:r>
      <w:r>
        <w:t xml:space="preserve">affect the matched traces, capacities, windows, budgets, or metrics — only</w:t>
      </w:r>
      <w:r>
        <w:t xml:space="preserve"> </w:t>
      </w:r>
      <w:r>
        <w:t xml:space="preserve">how faithfully each reimplementation reproduces its source algorithm's exact</w:t>
      </w:r>
      <w:r>
        <w:t xml:space="preserve"> </w:t>
      </w:r>
      <w:r>
        <w:t xml:space="preserve">internal behavior. We also note, for full transparency, that "matched</w:t>
      </w:r>
      <w:r>
        <w:t xml:space="preserve"> </w:t>
      </w:r>
      <w:r>
        <w:t xml:space="preserve">evaluation protocol" refers only to evaluation-side inputs: LRB, 3L-Cache,</w:t>
      </w:r>
      <w:r>
        <w:t xml:space="preserve"> </w:t>
      </w:r>
      <w:r>
        <w:t xml:space="preserve">and CACHEUS are online/adaptive baselines with no cross-family training</w:t>
      </w:r>
      <w:r>
        <w:t xml:space="preserve"> </w:t>
      </w:r>
      <w:r>
        <w:t xml:space="preserve">corpus at all, HALP trains offline only on each trace's own history prefix,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trains offline with leave-one-family-out exclusion —</w:t>
      </w:r>
      <w:r>
        <w:t xml:space="preserve"> </w:t>
      </w:r>
      <w:r>
        <w:t xml:space="preserve">these are intentional, disclosed differences in training mechanics, not an</w:t>
      </w:r>
      <w:r>
        <w:t xml:space="preserve"> </w:t>
      </w:r>
      <w:r>
        <w:t xml:space="preserve">evaluation-protocol gap, and no baseline in the comparison has access to</w:t>
      </w:r>
      <w:r>
        <w:t xml:space="preserve"> </w:t>
      </w:r>
      <w:r>
        <w:t xml:space="preserve">future information or another family's data at any point.</w:t>
      </w:r>
    </w:p>
    <w:p>
      <w:r>
        <w:pict>
          <v:rect style="width:0;height:1.5pt" o:hralign="center" o:hrstd="t" o:hr="t"/>
        </w:pict>
      </w:r>
    </w:p>
    <w:bookmarkEnd w:id="10"/>
    <w:bookmarkStart w:id="11" w:name="Xd8fa49a9ddc5db212740292ba6a749a3314fc61"/>
    <w:p>
      <w:pPr>
        <w:pStyle w:val="Heading3"/>
      </w:pPr>
      <w:r>
        <w:t xml:space="preserve">Major Comment 2 — Insufficient justification for finite-horizon eviction-loss supervision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Insufficient justification for the finite-horizon eviction-loss</w:t>
      </w:r>
      <w:r>
        <w:t xml:space="preserve"> </w:t>
      </w:r>
      <w:r>
        <w:t xml:space="preserve">supervision target. Evidence is needed against alternative candidate-level</w:t>
      </w:r>
      <w:r>
        <w:t xml:space="preserve"> </w:t>
      </w:r>
      <w:r>
        <w:t xml:space="preserve">objectives such as reuse distance, next-arrival time, and pairwise</w:t>
      </w:r>
      <w:r>
        <w:t xml:space="preserve"> </w:t>
      </w:r>
      <w:r>
        <w:t xml:space="preserve">preference, to justify why eviction-loss should be preferred.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agree this premise was previously asserted rather than tested, and we now</w:t>
      </w:r>
      <w:r>
        <w:t xml:space="preserve"> </w:t>
      </w:r>
      <w:r>
        <w:t xml:space="preserve">test it directly. Using the same leave-one-family-out training and matched</w:t>
      </w:r>
      <w:r>
        <w:t xml:space="preserve"> </w:t>
      </w:r>
      <w:r>
        <w:t xml:space="preserve">evaluation protocol as the Major Comment 1 response, we trained and evaluated</w:t>
      </w:r>
      <w:r>
        <w:t xml:space="preserve"> </w:t>
      </w:r>
      <w:r>
        <w:t xml:space="preserve">three alternative supervision objectives in place of eviction-loss — reuse</w:t>
      </w:r>
      <w:r>
        <w:t xml:space="preserve"> </w:t>
      </w:r>
      <w:r>
        <w:t xml:space="preserve">distance, next-arrival time, and pairwise preference — holding the horizon,</w:t>
      </w:r>
      <w:r>
        <w:t xml:space="preserve"> </w:t>
      </w:r>
      <w:r>
        <w:t xml:space="preserve">model family, feature set, and every other pipeline component fixed.</w:t>
      </w:r>
    </w:p>
    <w:p>
      <w:pPr>
        <w:pStyle w:val="BodyText"/>
      </w:pPr>
      <w:r>
        <w:t xml:space="preserve">The result rejects the premise that eviction-loss is inherently better</w:t>
      </w:r>
      <w:r>
        <w:t xml:space="preserve"> </w:t>
      </w:r>
      <w:r>
        <w:t xml:space="preserve">aligned with the eviction decision: eviction-loss produces the most total</w:t>
      </w:r>
      <w:r>
        <w:t xml:space="preserve"> </w:t>
      </w:r>
      <w:r>
        <w:t xml:space="preserve">misses of the four objectives (601,569), compared to next-arrival (573,059),</w:t>
      </w:r>
      <w:r>
        <w:t xml:space="preserve"> </w:t>
      </w:r>
      <w:r>
        <w:t xml:space="preserve">reuse-distance (571,456), and pairwise preference (565,127, the best of the</w:t>
      </w:r>
      <w:r>
        <w:t xml:space="preserve"> </w:t>
      </w:r>
      <w:r>
        <w:t xml:space="preserve">four). Eviction-loss is the single worst objective within every one of the</w:t>
      </w:r>
      <w:r>
        <w:t xml:space="preserve"> </w:t>
      </w:r>
      <w:r>
        <w:t xml:space="preserve">seven trace families individually, not merely on average. We report this</w:t>
      </w:r>
      <w:r>
        <w:t xml:space="preserve"> </w:t>
      </w:r>
      <w:r>
        <w:t xml:space="preserve">directly and reframe the manuscript's motivation for the target accordingly,</w:t>
      </w:r>
      <w:r>
        <w:t xml:space="preserve"> </w:t>
      </w:r>
      <w:r>
        <w:t xml:space="preserve">rather than defending the original premise.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2"/>
        </w:numPr>
      </w:pPr>
      <w:r>
        <w:t xml:space="preserve">New Section 3.7, "Direct Comparison Against Alternative Supervision</w:t>
      </w:r>
      <w:r>
        <w:t xml:space="preserve"> </w:t>
      </w:r>
      <w:r>
        <w:t xml:space="preserve">Objectives" (p. 25), with Table 8 (Supervision-objective comparison,</w:t>
      </w:r>
      <w:r>
        <w:t xml:space="preserve"> </w:t>
      </w:r>
      <w:r>
        <w:t xml:space="preserve">p. 26).</w:t>
      </w:r>
    </w:p>
    <w:p>
      <w:pPr>
        <w:pStyle w:val="Compact"/>
        <w:numPr>
          <w:ilvl w:val="0"/>
          <w:numId w:val="1002"/>
        </w:numPr>
      </w:pPr>
      <w:r>
        <w:t xml:space="preserve">Section 4.2 ("Implications of the Proposed Approach", p. 35) is revised to</w:t>
      </w:r>
      <w:r>
        <w:t xml:space="preserve"> </w:t>
      </w:r>
      <w:r>
        <w:t xml:space="preserve">state the more specific design lesson this finding supports: proximity of</w:t>
      </w:r>
      <w:r>
        <w:t xml:space="preserve"> </w:t>
      </w:r>
      <w:r>
        <w:t xml:space="preserve">a target to the eviction decision is not by itself sufficient for the</w:t>
      </w:r>
      <w:r>
        <w:t xml:space="preserve"> </w:t>
      </w:r>
      <w:r>
        <w:t xml:space="preserve">target to be effective; a finite-horizon target must also be checked for</w:t>
      </w:r>
      <w:r>
        <w:t xml:space="preserve"> </w:t>
      </w:r>
      <w:r>
        <w:t xml:space="preserve">decision-level informativeness and horizon adequacy.</w:t>
      </w:r>
    </w:p>
    <w:p>
      <w:pPr>
        <w:pStyle w:val="Compact"/>
        <w:numPr>
          <w:ilvl w:val="0"/>
          <w:numId w:val="1002"/>
        </w:numPr>
      </w:pPr>
      <w:r>
        <w:t xml:space="preserve">Contributions list, item 3 (p. 4), and Abstract (p. 1) state this</w:t>
      </w:r>
      <w:r>
        <w:t xml:space="preserve"> </w:t>
      </w:r>
      <w:r>
        <w:t xml:space="preserve">comparison and its result explicitly.</w:t>
      </w:r>
    </w:p>
    <w:p>
      <w:pPr>
        <w:pStyle w:val="FirstParagraph"/>
      </w:pPr>
      <w:r>
        <w:rPr>
          <w:b/>
          <w:bCs/>
        </w:rPr>
        <w:t xml:space="preserve">Additional clarification</w:t>
      </w:r>
    </w:p>
    <w:p>
      <w:pPr>
        <w:pStyle w:val="BodyText"/>
      </w:pPr>
      <w:r>
        <w:t xml:space="preserve">We connect this negative comparison to a mechanistic explanation rather than</w:t>
      </w:r>
      <w:r>
        <w:t xml:space="preserve"> </w:t>
      </w:r>
      <w:r>
        <w:t xml:space="preserve">leaving it as an isolated ablation result — see the response to Major</w:t>
      </w:r>
      <w:r>
        <w:t xml:space="preserve"> </w:t>
      </w:r>
      <w:r>
        <w:t xml:space="preserve">Comment 3 below and Section 3.8 of the manuscript.</w:t>
      </w:r>
    </w:p>
    <w:p>
      <w:r>
        <w:pict>
          <v:rect style="width:0;height:1.5pt" o:hralign="center" o:hrstd="t" o:hr="t"/>
        </w:pict>
      </w:r>
    </w:p>
    <w:bookmarkEnd w:id="11"/>
    <w:bookmarkStart w:id="12" w:name="Xfde0100f49f4a7ed9c32f20e01257ebe4698c92"/>
    <w:p>
      <w:pPr>
        <w:pStyle w:val="Heading3"/>
      </w:pPr>
      <w:r>
        <w:t xml:space="preserve">Major Comment 3 — Gap between offline learning and online cache performance; speculative distribution-shift explanation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There remains a gap between offline learning performance and online cache</w:t>
      </w:r>
      <w:r>
        <w:t xml:space="preserve"> </w:t>
      </w:r>
      <w:r>
        <w:t xml:space="preserve">performance. The manuscript's explanation invoking distribution shift was</w:t>
      </w:r>
      <w:r>
        <w:t xml:space="preserve"> </w:t>
      </w:r>
      <w:r>
        <w:t xml:space="preserve">speculative. Controlled analyses/experiments are needed to test this</w:t>
      </w:r>
      <w:r>
        <w:t xml:space="preserve"> </w:t>
      </w:r>
      <w:r>
        <w:t xml:space="preserve">explanation rather than assert it.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agree the previous revision's account — a single, unconfirmed hypothesis</w:t>
      </w:r>
      <w:r>
        <w:t xml:space="preserve"> </w:t>
      </w:r>
      <w:r>
        <w:t xml:space="preserve">attributing the online gap to "compounding distribution shift" from the</w:t>
      </w:r>
      <w:r>
        <w:t xml:space="preserve"> </w:t>
      </w:r>
      <w:r>
        <w:t xml:space="preserve">LRU-continuation labeling assumption — was speculative, and we replace it</w:t>
      </w:r>
      <w:r>
        <w:t xml:space="preserve"> </w:t>
      </w:r>
      <w:r>
        <w:t xml:space="preserve">with controlled evidence. We ran three complementary diagnostics, all under</w:t>
      </w:r>
      <w:r>
        <w:t xml:space="preserve"> </w:t>
      </w:r>
      <w:r>
        <w:t xml:space="preserve">the matched leave-one-family-out protocol: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inaccurate prediction the cause?</w:t>
      </w:r>
      <w:r>
        <w:t xml:space="preserve"> </w:t>
      </w:r>
      <w:r>
        <w:t xml:space="preserve">We compare the learned scorer's</w:t>
      </w:r>
      <w:r>
        <w:t xml:space="preserve"> </w:t>
      </w:r>
      <w:r>
        <w:t xml:space="preserve">decisions against an exact solver for the same eviction-loss target. The</w:t>
      </w:r>
      <w:r>
        <w:t xml:space="preserve"> </w:t>
      </w:r>
      <w:r>
        <w:t xml:space="preserve">learned scorer agrees with the exact target's optimal candidate set in</w:t>
      </w:r>
      <w:r>
        <w:t xml:space="preserve"> </w:t>
      </w:r>
      <w:r>
        <w:t xml:space="preserve">97.53% of decisions, disfavoring gross model-fitting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the target itself useful, even optimized perfectly?</w:t>
      </w:r>
      <w:r>
        <w:t xml:space="preserve"> </w:t>
      </w:r>
      <w:r>
        <w:t xml:space="preserve">We replay the</w:t>
      </w:r>
      <w:r>
        <w:t xml:space="preserve"> </w:t>
      </w:r>
      <w:r>
        <w:t xml:space="preserve">exact horizon-4 oracle online. It loses to LRU on 18 of 21 cells (0 wins,</w:t>
      </w:r>
      <w:r>
        <w:t xml:space="preserve"> </w:t>
      </w:r>
      <w:r>
        <w:t xml:space="preserve">3 ties), meaning even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optimization of the eviction-loss target</w:t>
      </w:r>
      <w:r>
        <w:t xml:space="preserve"> </w:t>
      </w:r>
      <w:r>
        <w:t xml:space="preserve">performs worse than LRU. This is the central diagnostic finding: the</w:t>
      </w:r>
      <w:r>
        <w:t xml:space="preserve"> </w:t>
      </w:r>
      <w:r>
        <w:t xml:space="preserve">problem is the target, not the approximation of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does the target fail even when optimized exactly?</w:t>
      </w:r>
      <w:r>
        <w:t xml:space="preserve"> </w:t>
      </w:r>
      <w:r>
        <w:t xml:space="preserve">We audit its</w:t>
      </w:r>
      <w:r>
        <w:t xml:space="preserve"> </w:t>
      </w:r>
      <w:r>
        <w:t xml:space="preserve">decision-level structure: no decision has a unique optimal candidate; in</w:t>
      </w:r>
      <w:r>
        <w:t xml:space="preserve"> </w:t>
      </w:r>
      <w:r>
        <w:t xml:space="preserve">76.4% of decisions every resident candidate is exactly tied for optimal.</w:t>
      </w:r>
      <w:r>
        <w:t xml:space="preserve"> </w:t>
      </w:r>
      <w:r>
        <w:t xml:space="preserve">A companion diagnostic shows the horizon-4 window observes only a small</w:t>
      </w:r>
      <w:r>
        <w:t xml:space="preserve"> </w:t>
      </w:r>
      <w:r>
        <w:t xml:space="preserve">fraction of eventual reuse behavior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∣</m:t>
        </m:r>
        <m:r>
          <m:rPr>
            <m:nor/>
            <m:sty m:val="p"/>
          </m:rPr>
          <m:t>resident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0.9939</m:t>
        </m:r>
      </m:oMath>
      <w:r>
        <w:t xml:space="preserve">),</w:t>
      </w:r>
      <w:r>
        <w:t xml:space="preserve"> </w:t>
      </w:r>
      <w:r>
        <w:t xml:space="preserve">offering a mechanistic explanation for the degeneracy.</w:t>
      </w:r>
    </w:p>
    <w:p>
      <w:pPr>
        <w:pStyle w:val="FirstParagraph"/>
      </w:pPr>
      <w:r>
        <w:t xml:space="preserve">We then directly test the continuation-mismatch hypothesis with a controlled</w:t>
      </w:r>
      <w:r>
        <w:t xml:space="preserve"> </w:t>
      </w:r>
      <w:r>
        <w:t xml:space="preserve">causal ablation, changing exactly one thing between two trained policies</w:t>
      </w:r>
      <w:r>
        <w:t xml:space="preserve"> </w:t>
      </w:r>
      <w:r>
        <w:t xml:space="preserve">(the continuation rule used to build training labels: LRU vs. a frozen</w:t>
      </w:r>
      <w:r>
        <w:t xml:space="preserve"> </w:t>
      </w:r>
      <w:r>
        <w:t xml:space="preserve">first-stage policy). Correcting the continuation label improves 13 of 21</w:t>
      </w:r>
      <w:r>
        <w:t xml:space="preserve"> </w:t>
      </w:r>
      <w:r>
        <w:t xml:space="preserve">cells (macro mean</w:t>
      </w:r>
      <w:r>
        <w:t xml:space="preserve"> </w:t>
      </w:r>
      <m:oMath>
        <m:r>
          <m:rPr>
            <m:sty m:val="p"/>
          </m:rPr>
          <m:t>−</m:t>
        </m:r>
        <m:r>
          <m:t>0.0102</m:t>
        </m:r>
      </m:oMath>
      <w:r>
        <w:t xml:space="preserve">) but worsens 5, including one severe</w:t>
      </w:r>
      <w:r>
        <w:t xml:space="preserve"> </w:t>
      </w:r>
      <w:r>
        <w:t xml:space="preserve">counter-example (BrightKite, capacity 32,</w:t>
      </w:r>
      <w:r>
        <w:t xml:space="preserve"> </w:t>
      </w:r>
      <m:oMath>
        <m:r>
          <m:rPr>
            <m:sty m:val="p"/>
          </m:rPr>
          <m:t>+</m:t>
        </m:r>
        <m:r>
          <m:t>0.2433</m:t>
        </m:r>
      </m:oMath>
      <w:r>
        <w:t xml:space="preserve">) — we classify this as</w:t>
      </w:r>
      <w:r>
        <w:t xml:space="preserve"> </w:t>
      </w:r>
      <w:r>
        <w:rPr>
          <w:b/>
          <w:bCs/>
        </w:rPr>
        <w:t xml:space="preserve">partially supported and regime-dependent</w:t>
      </w:r>
      <w:r>
        <w:t xml:space="preserve">, a real but secondary</w:t>
      </w:r>
      <w:r>
        <w:t xml:space="preserve"> </w:t>
      </w:r>
      <w:r>
        <w:t xml:space="preserve">contributor, not a full explanation. A companion experiment tests whether</w:t>
      </w:r>
      <w:r>
        <w:t xml:space="preserve"> </w:t>
      </w:r>
      <w:r>
        <w:t xml:space="preserve">reducing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measure of training-state distribution shift (one-step</w:t>
      </w:r>
      <w:r>
        <w:t xml:space="preserve"> </w:t>
      </w:r>
      <w:r>
        <w:t xml:space="preserve">DAgger-style correction) improves performance: it reduces the measured shift</w:t>
      </w:r>
      <w:r>
        <w:t xml:space="preserve"> </w:t>
      </w:r>
      <w:r>
        <w:t xml:space="preserve">in 16 of 21 cells while online misses simultaneously</w:t>
      </w:r>
      <w:r>
        <w:t xml:space="preserve"> </w:t>
      </w:r>
      <w:r>
        <w:rPr>
          <w:i/>
          <w:iCs/>
        </w:rPr>
        <w:t xml:space="preserve">worsen</w:t>
      </w:r>
      <w:r>
        <w:t xml:space="preserve"> </w:t>
      </w:r>
      <w:r>
        <w:t xml:space="preserve">in 16 of 21 —</w:t>
      </w:r>
      <w:r>
        <w:t xml:space="preserve"> </w:t>
      </w:r>
      <w:r>
        <w:t xml:space="preserve">a clear negative result for this specific corrective intervention.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4"/>
        </w:numPr>
      </w:pPr>
      <w:r>
        <w:t xml:space="preserve">New Section 3.8, "Mechanistic Diagnosis of the Eviction-Loss Target"</w:t>
      </w:r>
      <w:r>
        <w:t xml:space="preserve"> </w:t>
      </w:r>
      <w:r>
        <w:t xml:space="preserve">(pp. 26–28), covering the oracle, agreement, and degeneracy diagnostics.</w:t>
      </w:r>
    </w:p>
    <w:p>
      <w:pPr>
        <w:pStyle w:val="Compact"/>
        <w:numPr>
          <w:ilvl w:val="0"/>
          <w:numId w:val="1004"/>
        </w:numPr>
      </w:pPr>
      <w:r>
        <w:t xml:space="preserve">Section 3.9, "Discussion and Analysis" (pp. 28–31), replaces the previous</w:t>
      </w:r>
      <w:r>
        <w:t xml:space="preserve"> </w:t>
      </w:r>
      <w:r>
        <w:t xml:space="preserve">speculative paragraph with the C0/C1/C2 causal ablation and the DAgger</w:t>
      </w:r>
      <w:r>
        <w:t xml:space="preserve"> </w:t>
      </w:r>
      <w:r>
        <w:t xml:space="preserve">distribution-shift-correction result, and its closing paragraph (p. 30)</w:t>
      </w:r>
      <w:r>
        <w:t xml:space="preserve"> </w:t>
      </w:r>
      <w:r>
        <w:t xml:space="preserve">restates the full causal picture.</w:t>
      </w:r>
    </w:p>
    <w:p>
      <w:pPr>
        <w:pStyle w:val="Compact"/>
        <w:numPr>
          <w:ilvl w:val="0"/>
          <w:numId w:val="1004"/>
        </w:numPr>
      </w:pPr>
      <w:r>
        <w:t xml:space="preserve">Section 4.3, "Limitations" (p. 36), item 3, states the bounded scope of</w:t>
      </w:r>
      <w:r>
        <w:t xml:space="preserve"> </w:t>
      </w:r>
      <w:r>
        <w:t xml:space="preserve">this causal account (one horizon, one-step continuation correction,</w:t>
      </w:r>
      <w:r>
        <w:t xml:space="preserve"> </w:t>
      </w:r>
      <w:r>
        <w:t xml:space="preserve">one-step DAgger correction tested) and what remains open.</w:t>
      </w:r>
    </w:p>
    <w:p>
      <w:pPr>
        <w:pStyle w:val="Compact"/>
        <w:numPr>
          <w:ilvl w:val="0"/>
          <w:numId w:val="1004"/>
        </w:numPr>
      </w:pPr>
      <w:r>
        <w:t xml:space="preserve">Contributions list, items 4–5 (p. 4), and Abstract (p. 1) state the</w:t>
      </w:r>
      <w:r>
        <w:t xml:space="preserve"> </w:t>
      </w:r>
      <w:r>
        <w:t xml:space="preserve">mechanistic diagnosis and the continuation/DAgger results explicitly.</w:t>
      </w:r>
    </w:p>
    <w:p>
      <w:pPr>
        <w:pStyle w:val="FirstParagraph"/>
      </w:pPr>
      <w:r>
        <w:rPr>
          <w:b/>
          <w:bCs/>
        </w:rPr>
        <w:t xml:space="preserve">Additional clarification</w:t>
      </w:r>
    </w:p>
    <w:p>
      <w:pPr>
        <w:pStyle w:val="BodyText"/>
      </w:pPr>
      <w:r>
        <w:t xml:space="preserve">We deliberately distinguish "distribution shift as a phenomenon" from "this</w:t>
      </w:r>
      <w:r>
        <w:t xml:space="preserve"> </w:t>
      </w:r>
      <w:r>
        <w:t xml:space="preserve">specific corrective intervention as a remedy": the DAgger result shows the</w:t>
      </w:r>
      <w:r>
        <w:t xml:space="preserve"> </w:t>
      </w:r>
      <w:r>
        <w:t xml:space="preserve">tested generic shift-reduction method does not help, not that distribution</w:t>
      </w:r>
      <w:r>
        <w:t xml:space="preserve"> </w:t>
      </w:r>
      <w:r>
        <w:t xml:space="preserve">shift does not exist. This distinction is stated explicitly in Section 3.9</w:t>
      </w:r>
      <w:r>
        <w:t xml:space="preserve"> </w:t>
      </w:r>
      <w:r>
        <w:t xml:space="preserve">(p. 30) to avoid overclaiming in either direction.</w:t>
      </w:r>
    </w:p>
    <w:p>
      <w:r>
        <w:pict>
          <v:rect style="width:0;height:1.5pt" o:hralign="center" o:hrstd="t" o:hr="t"/>
        </w:pict>
      </w:r>
    </w:p>
    <w:bookmarkEnd w:id="12"/>
    <w:bookmarkStart w:id="13" w:name="X512e24b77ac59b99bd5723c3529635805dee290"/>
    <w:p>
      <w:pPr>
        <w:pStyle w:val="Heading3"/>
      </w:pPr>
      <w:r>
        <w:t xml:space="preserve">Major Comment 4 — Practical significance: high overhead and poor performance relative to lightweight baselines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The practical significance of the proposed method is unclear given its</w:t>
      </w:r>
      <w:r>
        <w:t xml:space="preserve"> </w:t>
      </w:r>
      <w:r>
        <w:t xml:space="preserve">high computational overhead and poor performance relative to lightweight</w:t>
      </w:r>
      <w:r>
        <w:t xml:space="preserve"> </w:t>
      </w:r>
      <w:r>
        <w:t xml:space="preserve">baselines. The manuscript should clarify intended-use scenarios and when</w:t>
      </w:r>
      <w:r>
        <w:t xml:space="preserve"> </w:t>
      </w:r>
      <w:r>
        <w:t xml:space="preserve">the cost could be justified.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agree and address this directly rather than minimizing the cost. We</w:t>
      </w:r>
      <w:r>
        <w:t xml:space="preserve"> </w:t>
      </w:r>
      <w:r>
        <w:t xml:space="preserve">replaced our earlier single-machine, single-run local timing probe with a</w:t>
      </w:r>
      <w:r>
        <w:t xml:space="preserve"> </w:t>
      </w:r>
      <w:r>
        <w:t xml:space="preserve">controlled, repeated-measurement campaign: 7 families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capacities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repetitions per policy (420 total timed runs) for LRU,</w:t>
      </w:r>
      <w:r>
        <w:t xml:space="preserve"> </w:t>
      </w:r>
      <w:r>
        <w:t xml:space="preserve">FIFO-Reinsertion, SIEVE, and a causal HALP reimplementation, executed on a</w:t>
      </w:r>
      <w:r>
        <w:t xml:space="preserve"> </w:t>
      </w:r>
      <w:r>
        <w:t xml:space="preserve">dedicated compute node.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was not included in this controlled</w:t>
      </w:r>
      <w:r>
        <w:t xml:space="preserve"> </w:t>
      </w:r>
      <w:r>
        <w:t xml:space="preserve">campaign — a full 5-repetition run was judged computationally infeasible</w:t>
      </w:r>
      <w:r>
        <w:t xml:space="preserve"> </w:t>
      </w:r>
      <w:r>
        <w:t xml:space="preserve">given its substantially higher per-decision cost — so we report its runtime</w:t>
      </w:r>
      <w:r>
        <w:t xml:space="preserve"> </w:t>
      </w:r>
      <w:r>
        <w:t xml:space="preserve">separately, as the single, non-repeated measurement already available from</w:t>
      </w:r>
      <w:r>
        <w:t xml:space="preserve"> </w:t>
      </w:r>
      <w:r>
        <w:t xml:space="preserve">the Major Comment 1 evaluation, and we do not place it in the same table as</w:t>
      </w:r>
      <w:r>
        <w:t xml:space="preserve"> </w:t>
      </w:r>
      <w:r>
        <w:t xml:space="preserve">the four controlled policies.</w:t>
      </w:r>
    </w:p>
    <w:p>
      <w:pPr>
        <w:pStyle w:val="BodyText"/>
      </w:pPr>
      <w:r>
        <w:t xml:space="preserve">LRU (4.68</w:t>
      </w:r>
      <w:r>
        <w:t xml:space="preserve"> </w:t>
      </w:r>
      <m:oMath>
        <m:r>
          <m:t>μ</m:t>
        </m:r>
      </m:oMath>
      <w:r>
        <w:t xml:space="preserve">s/request mean), FIFO-Reinsertion (5.17</w:t>
      </w:r>
      <w:r>
        <w:t xml:space="preserve"> </w:t>
      </w:r>
      <m:oMath>
        <m:r>
          <m:t>μ</m:t>
        </m:r>
      </m:oMath>
      <w:r>
        <w:t xml:space="preserve">s), and SIEVE</w:t>
      </w:r>
      <w:r>
        <w:t xml:space="preserve"> </w:t>
      </w:r>
      <w:r>
        <w:t xml:space="preserve">(9.52</w:t>
      </w:r>
      <w:r>
        <w:t xml:space="preserve"> </w:t>
      </w:r>
      <m:oMath>
        <m:r>
          <m:t>μ</m:t>
        </m:r>
      </m:oMath>
      <w:r>
        <w:t xml:space="preserve">s) remain single-digit-microsecond policies under repeated</w:t>
      </w:r>
      <w:r>
        <w:t xml:space="preserve"> </w:t>
      </w:r>
      <w:r>
        <w:t xml:space="preserve">measurement. HALP is</w:t>
      </w:r>
      <w:r>
        <w:t xml:space="preserve"> </w:t>
      </w:r>
      <m:oMath>
        <m:r>
          <m:t>186</m:t>
        </m:r>
        <m:r>
          <m:rPr>
            <m:sty m:val="p"/>
          </m:rPr>
          <m:t>×</m:t>
        </m:r>
      </m:oMath>
      <w:r>
        <w:t xml:space="preserve"> </w:t>
      </w:r>
      <w:r>
        <w:t xml:space="preserve">slower than LRU.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's</w:t>
      </w:r>
      <w:r>
        <w:t xml:space="preserve"> </w:t>
      </w:r>
      <w:r>
        <w:t xml:space="preserve">single-run measurement is roughly four orders of magnitude slower than LRU.</w:t>
      </w:r>
      <w:r>
        <w:t xml:space="preserve"> </w:t>
      </w:r>
      <w:r>
        <w:t xml:space="preserve">Combined with the negative miss-ratio results (Major Comments 1–2 above), we</w:t>
      </w:r>
      <w:r>
        <w:t xml:space="preserve"> </w:t>
      </w:r>
      <w:r>
        <w:t xml:space="preserve">state plainly that the current instantiation is not a candidate for</w:t>
      </w:r>
      <w:r>
        <w:t xml:space="preserve"> </w:t>
      </w:r>
      <w:r>
        <w:t xml:space="preserve">replacing any evaluated baseline in latency- or throughput-sensitive</w:t>
      </w:r>
      <w:r>
        <w:t xml:space="preserve"> </w:t>
      </w:r>
      <w:r>
        <w:t xml:space="preserve">deployments, and we do not identify or claim a deployment scenario in which</w:t>
      </w:r>
      <w:r>
        <w:t xml:space="preserve"> </w:t>
      </w:r>
      <w:r>
        <w:t xml:space="preserve">its current cost/performance combination is justified. We frame its value</w:t>
      </w:r>
      <w:r>
        <w:t xml:space="preserve"> </w:t>
      </w:r>
      <w:r>
        <w:t xml:space="preserve">instead as diagnostic and methodological: a controlled empirical test that</w:t>
      </w:r>
      <w:r>
        <w:t xml:space="preserve"> </w:t>
      </w:r>
      <w:r>
        <w:t xml:space="preserve">isolates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representative finite-horizon candidate-level target</w:t>
      </w:r>
      <w:r>
        <w:t xml:space="preserve"> </w:t>
      </w:r>
      <w:r>
        <w:t xml:space="preserve">underperforms, which directly informs what a future redesign would need to</w:t>
      </w:r>
      <w:r>
        <w:t xml:space="preserve"> </w:t>
      </w:r>
      <w:r>
        <w:t xml:space="preserve">change.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5"/>
        </w:numPr>
      </w:pPr>
      <w:r>
        <w:t xml:space="preserve">Section 3.10, "Overhead and Scalability" (pp. 31–33), replaces the earlier</w:t>
      </w:r>
      <w:r>
        <w:t xml:space="preserve"> </w:t>
      </w:r>
      <w:r>
        <w:t xml:space="preserve">single-run local benchmark with the controlled 420-run campaign (Table 9,</w:t>
      </w:r>
      <w:r>
        <w:t xml:space="preserve"> </w:t>
      </w:r>
      <w:r>
        <w:t xml:space="preserve">p. 32) and the separately reported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single-run figure.</w:t>
      </w:r>
    </w:p>
    <w:p>
      <w:pPr>
        <w:pStyle w:val="Compact"/>
        <w:numPr>
          <w:ilvl w:val="0"/>
          <w:numId w:val="1005"/>
        </w:numPr>
      </w:pPr>
      <w:r>
        <w:t xml:space="preserve">New Section 3.11, "Practical Significance" (p. 33), directly states the</w:t>
      </w:r>
      <w:r>
        <w:t xml:space="preserve"> </w:t>
      </w:r>
      <w:r>
        <w:t xml:space="preserve">absence of a currently justified deployment scenario and the narrower</w:t>
      </w:r>
      <w:r>
        <w:t xml:space="preserve"> </w:t>
      </w:r>
      <w:r>
        <w:t xml:space="preserve">research-tool framing.</w:t>
      </w:r>
    </w:p>
    <w:p>
      <w:pPr>
        <w:pStyle w:val="Compact"/>
        <w:numPr>
          <w:ilvl w:val="0"/>
          <w:numId w:val="1005"/>
        </w:numPr>
      </w:pPr>
      <w:r>
        <w:t xml:space="preserve">Contributions list, item 6 (p. 4), and Abstract (p. 1) state the timing</w:t>
      </w:r>
      <w:r>
        <w:t xml:space="preserve"> </w:t>
      </w:r>
      <w:r>
        <w:t xml:space="preserve">result and the reframed contribution explicitly.</w:t>
      </w:r>
    </w:p>
    <w:p>
      <w:pPr>
        <w:pStyle w:val="Compact"/>
        <w:numPr>
          <w:ilvl w:val="0"/>
          <w:numId w:val="1005"/>
        </w:numPr>
      </w:pPr>
      <w:r>
        <w:t xml:space="preserve">Section 4.3, "Limitations" (p. 36), item 6, records that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's timing is a single measurement, not part of the</w:t>
      </w:r>
      <w:r>
        <w:t xml:space="preserve"> </w:t>
      </w:r>
      <w:r>
        <w:t xml:space="preserve">controlled 5-repetition campaign, and should not be treated as directly</w:t>
      </w:r>
      <w:r>
        <w:t xml:space="preserve"> </w:t>
      </w:r>
      <w:r>
        <w:t xml:space="preserve">statistically comparable to it.</w:t>
      </w:r>
    </w:p>
    <w:p>
      <w:pPr>
        <w:pStyle w:val="FirstParagraph"/>
      </w:pPr>
      <w:r>
        <w:rPr>
          <w:b/>
          <w:bCs/>
        </w:rPr>
        <w:t xml:space="preserve">Additional clarification</w:t>
      </w:r>
    </w:p>
    <w:p>
      <w:pPr>
        <w:pStyle w:val="BodyText"/>
      </w:pPr>
      <w:r>
        <w:t xml:space="preserve">We verified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-per-miss vs.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complexity-class comparison</w:t>
      </w:r>
      <w:r>
        <w:t xml:space="preserve"> </w:t>
      </w:r>
      <w:r>
        <w:t xml:space="preserve">directly against our own implementations' source code (unchanged from the</w:t>
      </w:r>
      <w:r>
        <w:t xml:space="preserve"> </w:t>
      </w:r>
      <w:r>
        <w:t xml:space="preserve">previous revision), and the new controlled campaign adds repeated-measurement</w:t>
      </w:r>
      <w:r>
        <w:t xml:space="preserve"> </w:t>
      </w:r>
      <w:r>
        <w:t xml:space="preserve">statistical support (mean, median, 95% CI) rather than relying on a single</w:t>
      </w:r>
      <w:r>
        <w:t xml:space="preserve"> </w:t>
      </w:r>
      <w:r>
        <w:t xml:space="preserve">run for the four lightweight/HALP policies.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esponse-to-reviewer-3"/>
    <w:p>
      <w:pPr>
        <w:pStyle w:val="Heading2"/>
      </w:pPr>
      <w:r>
        <w:t xml:space="preserve">Response to Reviewer #3</w:t>
      </w:r>
    </w:p>
    <w:bookmarkStart w:id="15" w:name="X1b20e4453cfc258d257819460df82ac6c81b0fb"/>
    <w:p>
      <w:pPr>
        <w:pStyle w:val="Heading3"/>
      </w:pPr>
      <w:r>
        <w:t xml:space="preserve">Primary issue — untested causal claim about LRU-continuation label construction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The manuscript attributed the offline/online performance gap partly to a</w:t>
      </w:r>
      <w:r>
        <w:t xml:space="preserve"> </w:t>
      </w:r>
      <w:r>
        <w:t xml:space="preserve">mismatch between LRU-continuation label construction and the learned</w:t>
      </w:r>
      <w:r>
        <w:t xml:space="preserve"> </w:t>
      </w:r>
      <w:r>
        <w:t xml:space="preserve">policy's actual deployed trajectory, but this causal claim had not been</w:t>
      </w:r>
      <w:r>
        <w:t xml:space="preserve"> </w:t>
      </w:r>
      <w:r>
        <w:t xml:space="preserve">tested.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thank the reviewer for identifying this gap precisely; it is a direct,</w:t>
      </w:r>
      <w:r>
        <w:t xml:space="preserve"> </w:t>
      </w:r>
      <w:r>
        <w:t xml:space="preserve">specific, and testable claim, and we agree it should not have been asserted</w:t>
      </w:r>
      <w:r>
        <w:t xml:space="preserve"> </w:t>
      </w:r>
      <w:r>
        <w:t xml:space="preserve">without a controlled test. We designed and ran a three-arm causal ablation</w:t>
      </w:r>
      <w:r>
        <w:t xml:space="preserve"> </w:t>
      </w:r>
      <w:r>
        <w:t xml:space="preserve">that isolates exactly this mechanism:</w:t>
      </w:r>
      <w:r>
        <w:t xml:space="preserve"> </w:t>
      </w:r>
      <w:r>
        <w:rPr>
          <w:b/>
          <w:bCs/>
        </w:rPr>
        <w:t xml:space="preserve">C0</w:t>
      </w:r>
      <w:r>
        <w:t xml:space="preserve"> </w:t>
      </w:r>
      <w:r>
        <w:t xml:space="preserve">replays LRU end-to-end (the</w:t>
      </w:r>
      <w:r>
        <w:t xml:space="preserve"> </w:t>
      </w:r>
      <w:r>
        <w:t xml:space="preserve">reference).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trains a policy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 labels built under LRU</w:t>
      </w:r>
      <w:r>
        <w:t xml:space="preserve"> </w:t>
      </w:r>
      <w:r>
        <w:t xml:space="preserve">continuation (the original specification) and deploys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recursively.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trains a second policy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labels built under a corrected</w:t>
      </w:r>
      <w:r>
        <w:t xml:space="preserve"> </w:t>
      </w:r>
      <w:r>
        <w:t xml:space="preserve">continuation rule — the frozen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's own decisions rather than LRU — and</w:t>
      </w:r>
      <w:r>
        <w:t xml:space="preserve"> </w:t>
      </w:r>
      <w:r>
        <w:t xml:space="preserve">deploys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recursively. This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change between C1 and C2,</w:t>
      </w:r>
      <w:r>
        <w:t xml:space="preserve"> </w:t>
      </w:r>
      <w:r>
        <w:t xml:space="preserve">under the leave-one-family-out protocol used throughout this revision.</w:t>
      </w:r>
    </w:p>
    <w:p>
      <w:pPr>
        <w:pStyle w:val="BodyText"/>
      </w:pPr>
      <w:r>
        <w:t xml:space="preserve">Across the 21 (family, capacity) cells: C2 improves over C1 in 13 cells, ties</w:t>
      </w:r>
      <w:r>
        <w:t xml:space="preserve"> </w:t>
      </w:r>
      <w:r>
        <w:t xml:space="preserve">in 3 (the degenerate Wikimedia cells), and worsens in 5, with a macro mean</w:t>
      </w:r>
      <w:r>
        <w:t xml:space="preserve"> </w:t>
      </w:r>
      <w:r>
        <w:t xml:space="preserve">miss-ratio improvement of</w:t>
      </w:r>
      <w:r>
        <w:t xml:space="preserve"> </w:t>
      </w:r>
      <m:oMath>
        <m:r>
          <m:rPr>
            <m:sty m:val="p"/>
          </m:rPr>
          <m:t>−</m:t>
        </m:r>
        <m:r>
          <m:t>0.0102</m:t>
        </m:r>
      </m:oMath>
      <w:r>
        <w:t xml:space="preserve"> </w:t>
      </w:r>
      <w:r>
        <w:t xml:space="preserve">(aggregate misses: C1</w:t>
      </w:r>
      <w:r>
        <w:t xml:space="preserve"> </w:t>
      </w:r>
      <m:oMath>
        <m:r>
          <m:t>601</m:t>
        </m:r>
        <m:r>
          <m:rPr>
            <m:sty m:val="p"/>
          </m:rPr>
          <m:t>,</m:t>
        </m:r>
        <m:r>
          <m:t>569</m:t>
        </m:r>
        <m:r>
          <m:rPr>
            <m:sty m:val="p"/>
          </m:rPr>
          <m:t>→</m:t>
        </m:r>
      </m:oMath>
      <w:r>
        <w:t xml:space="preserve"> </w:t>
      </w:r>
      <w:r>
        <w:t xml:space="preserve">C2</w:t>
      </w:r>
      <w:r>
        <w:t xml:space="preserve"> </w:t>
      </w:r>
      <m:oMath>
        <m:r>
          <m:t>592</m:t>
        </m:r>
        <m:r>
          <m:rPr>
            <m:sty m:val="p"/>
          </m:rPr>
          <m:t>,</m:t>
        </m:r>
        <m:r>
          <m:t>970</m:t>
        </m:r>
      </m:oMath>
      <w:r>
        <w:t xml:space="preserve">, against a C0/LRU reference of</w:t>
      </w:r>
      <w:r>
        <w:t xml:space="preserve"> </w:t>
      </w:r>
      <m:oMath>
        <m:r>
          <m:t>565</m:t>
        </m:r>
        <m:r>
          <m:rPr>
            <m:sty m:val="p"/>
          </m:rPr>
          <m:t>,</m:t>
        </m:r>
        <m:r>
          <m:t>126</m:t>
        </m:r>
      </m:oMath>
      <w:r>
        <w:t xml:space="preserve">). One cell — BrightKite</w:t>
      </w:r>
      <w:r>
        <w:t xml:space="preserve"> </w:t>
      </w:r>
      <w:r>
        <w:t xml:space="preserve">at capacity 32 — regresses sharply (</w:t>
      </w:r>
      <m:oMath>
        <m:r>
          <m:rPr>
            <m:sty m:val="p"/>
          </m:rPr>
          <m:t>+</m:t>
        </m:r>
        <m:r>
          <m:t>0.2433</m:t>
        </m:r>
      </m:oMath>
      <w:r>
        <w:t xml:space="preserve">), which by itself precludes a</w:t>
      </w:r>
      <w:r>
        <w:t xml:space="preserve"> </w:t>
      </w:r>
      <w:r>
        <w:t xml:space="preserve">claim of uniform benefit.</w:t>
      </w:r>
    </w:p>
    <w:p>
      <w:pPr>
        <w:pStyle w:val="BodyText"/>
      </w:pPr>
      <w:r>
        <w:rPr>
          <w:b/>
          <w:bCs/>
        </w:rPr>
        <w:t xml:space="preserve">Our answer to the reviewer's question is therefore: partially supported and</w:t>
      </w:r>
      <w:r>
        <w:rPr>
          <w:b/>
          <w:bCs/>
        </w:rPr>
        <w:t xml:space="preserve"> </w:t>
      </w:r>
      <w:r>
        <w:rPr>
          <w:b/>
          <w:bCs/>
        </w:rPr>
        <w:t xml:space="preserve">regime-dependent, not fully supported and not disfavored outright.</w:t>
      </w:r>
      <w:r>
        <w:t xml:space="preserve"> </w:t>
      </w:r>
      <w:r>
        <w:t xml:space="preserve">The</w:t>
      </w:r>
      <w:r>
        <w:t xml:space="preserve"> </w:t>
      </w:r>
      <w:r>
        <w:t xml:space="preserve">continuation-label mismatch is a real, measurable, secondary contributor to</w:t>
      </w:r>
      <w:r>
        <w:t xml:space="preserve"> </w:t>
      </w:r>
      <w:r>
        <w:t xml:space="preserve">the offline/online gap in most family/capacity combinations, but it does not</w:t>
      </w:r>
      <w:r>
        <w:t xml:space="preserve"> </w:t>
      </w:r>
      <w:r>
        <w:t xml:space="preserve">fully explain the gap, and one specific case shows a large effect in the</w:t>
      </w:r>
      <w:r>
        <w:t xml:space="preserve"> </w:t>
      </w:r>
      <w:r>
        <w:t xml:space="preserve">opposite direction. We have replaced the manuscript's previous speculative</w:t>
      </w:r>
      <w:r>
        <w:t xml:space="preserve"> </w:t>
      </w:r>
      <w:r>
        <w:t xml:space="preserve">language with this controlled result throughout.</w:t>
      </w:r>
    </w:p>
    <w:p>
      <w:pPr>
        <w:pStyle w:val="BodyText"/>
      </w:pPr>
      <w:r>
        <w:t xml:space="preserve">We also tested, as a related but distinct question, whether correcting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measure of training-state distribution shift (rather than the</w:t>
      </w:r>
      <w:r>
        <w:t xml:space="preserve"> </w:t>
      </w:r>
      <w:r>
        <w:t xml:space="preserve">continuation label specifically) helps: a one-step DAgger-style intervention</w:t>
      </w:r>
      <w:r>
        <w:t xml:space="preserve"> </w:t>
      </w:r>
      <w:r>
        <w:t xml:space="preserve">reduces the measured shift metric in 16 of 21 cells, yet online misses</w:t>
      </w:r>
      <w:r>
        <w:t xml:space="preserve"> </w:t>
      </w:r>
      <w:r>
        <w:rPr>
          <w:i/>
          <w:iCs/>
        </w:rPr>
        <w:t xml:space="preserve">worsen</w:t>
      </w:r>
      <w:r>
        <w:t xml:space="preserve"> </w:t>
      </w:r>
      <w:r>
        <w:t xml:space="preserve">in 16 of 21 (macro mean</w:t>
      </w:r>
      <w:r>
        <w:t xml:space="preserve"> </w:t>
      </w:r>
      <m:oMath>
        <m:r>
          <m:rPr>
            <m:sty m:val="p"/>
          </m:rPr>
          <m:t>+</m:t>
        </m:r>
        <m:r>
          <m:t>0.0094</m:t>
        </m:r>
      </m:oMath>
      <w:r>
        <w:t xml:space="preserve">). We report this as a companion</w:t>
      </w:r>
      <w:r>
        <w:t xml:space="preserve"> </w:t>
      </w:r>
      <w:r>
        <w:t xml:space="preserve">negative result and are careful not to conflate it with the continuation-label</w:t>
      </w:r>
      <w:r>
        <w:t xml:space="preserve"> </w:t>
      </w:r>
      <w:r>
        <w:t xml:space="preserve">finding above: they test different mechanisms (label construction vs.</w:t>
      </w:r>
      <w:r>
        <w:t xml:space="preserve"> </w:t>
      </w:r>
      <w:r>
        <w:t xml:space="preserve">broader state-visitation correction), and only the former shows partial</w:t>
      </w:r>
      <w:r>
        <w:t xml:space="preserve"> </w:t>
      </w:r>
      <w:r>
        <w:t xml:space="preserve">positive support.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6"/>
        </w:numPr>
      </w:pPr>
      <w:r>
        <w:t xml:space="preserve">Section 3.9, "Discussion and Analysis" (pp. 28–30), presents the full C0/</w:t>
      </w:r>
      <w:r>
        <w:t xml:space="preserve"> </w:t>
      </w:r>
      <w:r>
        <w:t xml:space="preserve">C1/C2 causal ablation and the DAgger distribution-shift result, replacing</w:t>
      </w:r>
      <w:r>
        <w:t xml:space="preserve"> </w:t>
      </w:r>
      <w:r>
        <w:t xml:space="preserve">the previous single unconfirmed hypothesis.</w:t>
      </w:r>
    </w:p>
    <w:p>
      <w:pPr>
        <w:pStyle w:val="Compact"/>
        <w:numPr>
          <w:ilvl w:val="0"/>
          <w:numId w:val="1006"/>
        </w:numPr>
      </w:pPr>
      <w:r>
        <w:t xml:space="preserve">Section 4.3, "Limitations" (p. 36), item 3, states the causal account's</w:t>
      </w:r>
      <w:r>
        <w:t xml:space="preserve"> </w:t>
      </w:r>
      <w:r>
        <w:t xml:space="preserve">bounded scope (single horizon, one-step continuation correction, one-step</w:t>
      </w:r>
      <w:r>
        <w:t xml:space="preserve"> </w:t>
      </w:r>
      <w:r>
        <w:t xml:space="preserve">DAgger correction) and flags multi-round correction as future work</w:t>
      </w:r>
      <w:r>
        <w:t xml:space="preserve"> </w:t>
      </w:r>
      <w:r>
        <w:t xml:space="preserve">(Section 4.4, p. 38).</w:t>
      </w:r>
    </w:p>
    <w:p>
      <w:pPr>
        <w:pStyle w:val="Compact"/>
        <w:numPr>
          <w:ilvl w:val="0"/>
          <w:numId w:val="1006"/>
        </w:numPr>
      </w:pPr>
      <w:r>
        <w:t xml:space="preserve">Contributions list, item 5 (p. 4), and Abstract (p. 1) state the partial,</w:t>
      </w:r>
      <w:r>
        <w:t xml:space="preserve"> </w:t>
      </w:r>
      <w:r>
        <w:t xml:space="preserve">regime-dependent finding explicitly, avoiding the word "explains" in favor</w:t>
      </w:r>
      <w:r>
        <w:t xml:space="preserve"> </w:t>
      </w:r>
      <w:r>
        <w:t xml:space="preserve">of "partial, family-dependent secondary contributor."</w:t>
      </w:r>
    </w:p>
    <w:p>
      <w:pPr>
        <w:pStyle w:val="FirstParagraph"/>
      </w:pPr>
      <w:r>
        <w:rPr>
          <w:b/>
          <w:bCs/>
        </w:rPr>
        <w:t xml:space="preserve">Additional clarification</w:t>
      </w:r>
    </w:p>
    <w:p>
      <w:pPr>
        <w:pStyle w:val="BodyText"/>
      </w:pPr>
      <w:r>
        <w:t xml:space="preserve">We chose a leave-one-family-out protocol for this ablation (rather than a</w:t>
      </w:r>
      <w:r>
        <w:t xml:space="preserve"> </w:t>
      </w:r>
      <w:r>
        <w:t xml:space="preserve">single fixed split) specifically to avoid the train/test-overlap issue</w:t>
      </w:r>
      <w:r>
        <w:t xml:space="preserve"> </w:t>
      </w:r>
      <w:r>
        <w:t xml:space="preserve">disclosed in our response to Major Comment 1 above, so that the causal</w:t>
      </w:r>
      <w:r>
        <w:t xml:space="preserve"> </w:t>
      </w:r>
      <w:r>
        <w:t xml:space="preserve">ablation's own conclusions are not confounded by the same contamination</w:t>
      </w:r>
      <w:r>
        <w:t xml:space="preserve"> </w:t>
      </w:r>
      <w:r>
        <w:t xml:space="preserve">concern.</w:t>
      </w:r>
    </w:p>
    <w:p>
      <w:r>
        <w:pict>
          <v:rect style="width:0;height:1.5pt" o:hralign="center" o:hrstd="t" o:hr="t"/>
        </w:pict>
      </w:r>
    </w:p>
    <w:bookmarkEnd w:id="15"/>
    <w:bookmarkStart w:id="16" w:name="Xd1c27c6faa3a9bb247fcdbb4f2049b720ae3b6d"/>
    <w:p>
      <w:pPr>
        <w:pStyle w:val="Heading3"/>
      </w:pPr>
      <w:r>
        <w:t xml:space="preserve">Issue 2 — insufficient differentiation from HALP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Insufficient empirical differentiation from HALP, which the previous</w:t>
      </w:r>
      <w:r>
        <w:t xml:space="preserve"> </w:t>
      </w:r>
      <w:r>
        <w:t xml:space="preserve">revision addressed only analytically rather than empirically.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We agree and have added an empirical HALP comparison. Section 3.6 (Table 7,</w:t>
      </w:r>
      <w:r>
        <w:t xml:space="preserve"> </w:t>
      </w:r>
      <w:r>
        <w:t xml:space="preserve">p. 24) reports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against HALP under the matched</w:t>
      </w:r>
      <w:r>
        <w:t xml:space="preserve"> </w:t>
      </w:r>
      <w:r>
        <w:t xml:space="preserve">leave-one-family-out protocol: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loses on 17 of 21 cells (1</w:t>
      </w:r>
      <w:r>
        <w:t xml:space="preserve"> </w:t>
      </w:r>
      <w:r>
        <w:t xml:space="preserve">win, 3 ties), a</w:t>
      </w:r>
      <w:r>
        <w:t xml:space="preserve"> </w:t>
      </w:r>
      <m:oMath>
        <m:r>
          <m:rPr>
            <m:sty m:val="p"/>
          </m:rPr>
          <m:t>+</m:t>
        </m:r>
        <m:r>
          <m:t>3.59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miss-ratio disadvantage. Because no</w:t>
      </w:r>
      <w:r>
        <w:t xml:space="preserve"> </w:t>
      </w:r>
      <w:r>
        <w:t xml:space="preserve">official public HALP implementation exists, our comparison uses an</w:t>
      </w:r>
      <w:r>
        <w:t xml:space="preserve"> </w:t>
      </w:r>
      <w:r>
        <w:t xml:space="preserve">independent reimplementation, which we disclose as a lower-fidelity</w:t>
      </w:r>
      <w:r>
        <w:t xml:space="preserve"> </w:t>
      </w:r>
      <w:r>
        <w:t xml:space="preserve">supporting comparison (Section 3.6.4, p. 25) rather than an official</w:t>
      </w:r>
      <w:r>
        <w:t xml:space="preserve"> </w:t>
      </w:r>
      <w:r>
        <w:t xml:space="preserve">empirical baseline; this is consistent with the reviewer's request for</w:t>
      </w:r>
      <w:r>
        <w:t xml:space="preserve"> </w:t>
      </w:r>
      <w:r>
        <w:t xml:space="preserve">differentiation from HALP specifically, rather than a claim of an official</w:t>
      </w:r>
      <w:r>
        <w:t xml:space="preserve"> </w:t>
      </w:r>
      <w:r>
        <w:t xml:space="preserve">reproduction.</w:t>
      </w:r>
    </w:p>
    <w:p>
      <w:pPr>
        <w:pStyle w:val="BodyText"/>
      </w:pPr>
      <w:r>
        <w:rPr>
          <w:b/>
          <w:bCs/>
        </w:rPr>
        <w:t xml:space="preserve">Changes in the revised manuscript</w:t>
      </w:r>
    </w:p>
    <w:p>
      <w:pPr>
        <w:pStyle w:val="Compact"/>
        <w:numPr>
          <w:ilvl w:val="0"/>
          <w:numId w:val="1007"/>
        </w:numPr>
      </w:pPr>
      <w:r>
        <w:t xml:space="preserve">Table 7 (p. 24) includes HALP as an empirical row.</w:t>
      </w:r>
    </w:p>
    <w:p>
      <w:pPr>
        <w:pStyle w:val="Compact"/>
        <w:numPr>
          <w:ilvl w:val="0"/>
          <w:numId w:val="1007"/>
        </w:numPr>
      </w:pPr>
      <w:r>
        <w:t xml:space="preserve">Section 3.6.4 (p. 25) and Section 4.3 (p. 36), item 6, disclose the</w:t>
      </w:r>
      <w:r>
        <w:t xml:space="preserve"> </w:t>
      </w:r>
      <w:r>
        <w:t xml:space="preserve">reimplementation-fidelity caveat.</w:t>
      </w:r>
    </w:p>
    <w:p>
      <w:pPr>
        <w:pStyle w:val="Compact"/>
        <w:numPr>
          <w:ilvl w:val="0"/>
          <w:numId w:val="1007"/>
        </w:numPr>
      </w:pPr>
      <w:r>
        <w:t xml:space="preserve">Related Work (§1.4, p. 5) retains the analytical differentiation from HALP</w:t>
      </w:r>
      <w:r>
        <w:t xml:space="preserve"> </w:t>
      </w:r>
      <w:r>
        <w:t xml:space="preserve">and now also points to the empirical result.</w:t>
      </w:r>
    </w:p>
    <w:p>
      <w:r>
        <w:pict>
          <v:rect style="width:0;height:1.5pt" o:hralign="center" o:hrstd="t" o:hr="t"/>
        </w:pict>
      </w:r>
    </w:p>
    <w:bookmarkEnd w:id="16"/>
    <w:bookmarkStart w:id="17" w:name="Xf01481057c5513e1423fea5dffb152db0153c87"/>
    <w:p>
      <w:pPr>
        <w:pStyle w:val="Heading3"/>
      </w:pPr>
      <w:r>
        <w:t xml:space="preserve">Issue 3 — cost not addressed with controlled measurement</w:t>
      </w:r>
    </w:p>
    <w:p>
      <w:pPr>
        <w:pStyle w:val="FirstParagraph"/>
      </w:pPr>
      <w:r>
        <w:rPr>
          <w:b/>
          <w:bCs/>
        </w:rPr>
        <w:t xml:space="preserve">Reviewer comment</w:t>
      </w:r>
    </w:p>
    <w:p>
      <w:pPr>
        <w:pStyle w:val="BlockText"/>
      </w:pPr>
      <w:r>
        <w:t xml:space="preserve">Computational cost was not addressed with a controlled measurement.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BodyText"/>
      </w:pPr>
      <w:r>
        <w:t xml:space="preserve">Addressed in full above under Major Comment 4; see Section 3.10 (Table 9,</w:t>
      </w:r>
      <w:r>
        <w:t xml:space="preserve"> </w:t>
      </w:r>
      <w:r>
        <w:t xml:space="preserve">p. 32) for the controlled 420-run, 5-repetition timing campaign.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ummary-of-scientific-status-changes"/>
    <w:p>
      <w:pPr>
        <w:pStyle w:val="Heading2"/>
      </w:pPr>
      <w:r>
        <w:t xml:space="preserve">Summary of scientific-status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Previous status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Major 1 (LRB/3L-Cache comparison)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Complete; negative result (§3.6)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Major 2 (objective justification)</w:t>
            </w:r>
          </w:p>
        </w:tc>
        <w:tc>
          <w:tcPr/>
          <w:p>
            <w:pPr>
              <w:pStyle w:val="Compact"/>
            </w:pPr>
            <w:r>
              <w:t xml:space="preserve">Asserted, not tested</w:t>
            </w:r>
          </w:p>
        </w:tc>
        <w:tc>
          <w:tcPr/>
          <w:p>
            <w:pPr>
              <w:pStyle w:val="Compact"/>
            </w:pPr>
            <w:r>
              <w:t xml:space="preserve">Tested; eviction-loss is worst of four (§3.7)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Major 3 (offline/online gap)</w:t>
            </w:r>
          </w:p>
        </w:tc>
        <w:tc>
          <w:tcPr/>
          <w:p>
            <w:pPr>
              <w:pStyle w:val="Compact"/>
            </w:pPr>
            <w:r>
              <w:t xml:space="preserve">Speculative hypothesis</w:t>
            </w:r>
          </w:p>
        </w:tc>
        <w:tc>
          <w:tcPr/>
          <w:p>
            <w:pPr>
              <w:pStyle w:val="Compact"/>
            </w:pPr>
            <w:r>
              <w:t xml:space="preserve">Mechanistically diagnosed (§3.8) and causally tested (§3.9)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Major 4 (practical significance)</w:t>
            </w:r>
          </w:p>
        </w:tc>
        <w:tc>
          <w:tcPr/>
          <w:p>
            <w:pPr>
              <w:pStyle w:val="Compact"/>
            </w:pPr>
            <w:r>
              <w:t xml:space="preserve">Earlier single local run</w:t>
            </w:r>
          </w:p>
        </w:tc>
        <w:tc>
          <w:tcPr/>
          <w:p>
            <w:pPr>
              <w:pStyle w:val="Compact"/>
            </w:pPr>
            <w:r>
              <w:t xml:space="preserve">Controlled 420-run campaign (§3.10) + explicit scope statement (§3.11)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primary issue (continuation causal claim)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  <w:tc>
          <w:tcPr/>
          <w:p>
            <w:pPr>
              <w:pStyle w:val="Compact"/>
            </w:pPr>
            <w:r>
              <w:t xml:space="preserve">Tested; partially supported, regime-dependent (§3.9)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Issue 2 (HALP differentiation)</w:t>
            </w:r>
          </w:p>
        </w:tc>
        <w:tc>
          <w:tcPr/>
          <w:p>
            <w:pPr>
              <w:pStyle w:val="Compact"/>
            </w:pPr>
            <w:r>
              <w:t xml:space="preserve">Analytical only</w:t>
            </w:r>
          </w:p>
        </w:tc>
        <w:tc>
          <w:tcPr/>
          <w:p>
            <w:pPr>
              <w:pStyle w:val="Compact"/>
            </w:pPr>
            <w:r>
              <w:t xml:space="preserve">Empirical comparison added (§3.6, Table 7)</w:t>
            </w:r>
          </w:p>
        </w:tc>
      </w:tr>
    </w:tbl>
    <w:p>
      <w:pPr>
        <w:pStyle w:val="BodyText"/>
      </w:pPr>
      <w:r>
        <w:t xml:space="preserve">No claim in this revision states that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outperforms any</w:t>
      </w:r>
      <w:r>
        <w:t xml:space="preserve"> </w:t>
      </w:r>
      <w:r>
        <w:t xml:space="preserve">evaluated baseline, that eviction-loss is empirically superior to the</w:t>
      </w:r>
      <w:r>
        <w:t xml:space="preserve"> </w:t>
      </w:r>
      <w:r>
        <w:t xml:space="preserve">alternative objectives tested, that continuation-label mismatch fully</w:t>
      </w:r>
      <w:r>
        <w:t xml:space="preserve"> </w:t>
      </w:r>
      <w:r>
        <w:t xml:space="preserve">explains the offline/online gap, that the DAgger intervention improves online</w:t>
      </w:r>
      <w:r>
        <w:t xml:space="preserve"> </w:t>
      </w:r>
      <w:r>
        <w:t xml:space="preserve">performance, or that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was part of the controlled</w:t>
      </w:r>
      <w:r>
        <w:t xml:space="preserve"> </w:t>
      </w:r>
      <w:r>
        <w:t xml:space="preserve">5-repetition timing campaign. The manuscript reports a negative but</w:t>
      </w:r>
      <w:r>
        <w:t xml:space="preserve"> </w:t>
      </w:r>
      <w:r>
        <w:t xml:space="preserve">mechanistically explained result throughout, and we believe this directly</w:t>
      </w:r>
      <w:r>
        <w:t xml:space="preserve"> </w:t>
      </w:r>
      <w:r>
        <w:t xml:space="preserve">and completely addresses each concern raised by the Associate Editor and</w:t>
      </w:r>
      <w:r>
        <w:t xml:space="preserve"> </w:t>
      </w:r>
      <w:r>
        <w:t xml:space="preserve">both reviewers.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2026-08-13T17:12:22Z</dcterms:created>
  <dcterms:modified xsi:type="dcterms:W3CDTF">2026-08-13T17:12:22Z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