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FirstParagraph"/>
      </w:pPr>
      <w:r>
        <w:t xml:space="preserve">Manuscript: KNOSYS-D-26-07461R1</w:t>
      </w:r>
      <w:r>
        <w:t xml:space="preserve"> </w:t>
      </w:r>
      <w:r>
        <w:t xml:space="preserve">Title: Decision-aligned eviction-value prediction for learning-augmented caching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Finite-horizon eviction-value target for candidate-level cache decisions.</w:t>
      </w:r>
    </w:p>
    <w:p>
      <w:pPr>
        <w:pStyle w:val="Compact"/>
        <w:numPr>
          <w:ilvl w:val="0"/>
          <w:numId w:val="1001"/>
        </w:numPr>
      </w:pPr>
      <w:r>
        <w:t xml:space="preserve">Online replay across seven trace families at cache sizes 32, 64, and 128.</w:t>
      </w:r>
    </w:p>
    <w:p>
      <w:pPr>
        <w:pStyle w:val="Compact"/>
        <w:numPr>
          <w:ilvl w:val="0"/>
          <w:numId w:val="1001"/>
        </w:numPr>
      </w:pPr>
      <w:r>
        <w:t xml:space="preserve">Matched comparison finds no advantage over seven classical and learned baselines.</w:t>
      </w:r>
    </w:p>
    <w:p>
      <w:pPr>
        <w:pStyle w:val="Compact"/>
        <w:numPr>
          <w:ilvl w:val="0"/>
          <w:numId w:val="1001"/>
        </w:numPr>
      </w:pPr>
      <w:r>
        <w:t xml:space="preserve">Eviction-loss is worst among four tested finite-horizon objectives.</w:t>
      </w:r>
    </w:p>
    <w:p>
      <w:pPr>
        <w:pStyle w:val="Compact"/>
        <w:numPr>
          <w:ilvl w:val="0"/>
          <w:numId w:val="1001"/>
        </w:numPr>
      </w:pPr>
      <w:r>
        <w:t xml:space="preserve">Target degeneracy and horizon truncation explain the negative result.</w:t>
      </w:r>
    </w:p>
    <w:p>
      <w:pPr>
        <w:pStyle w:val="Compact"/>
        <w:numPr>
          <w:ilvl w:val="0"/>
          <w:numId w:val="1001"/>
        </w:numPr>
      </w:pPr>
      <w:r>
        <w:t xml:space="preserve">Controlled timing quantifies substantial learned-policy overhead.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2026-08-13T17:12:22Z</dcterms:created>
  <dcterms:modified xsi:type="dcterms:W3CDTF">2026-08-13T17:12:22Z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