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Trace-driven simulation tests scheduler ranking portability.</w:t>
      </w:r>
      <w:r>
        <w:t xml:space="preserve"> </w:t>
      </w:r>
      <w:r>
        <w:t xml:space="preserve">Paired comparisons span workloads, load regions, and metrics.</w:t>
      </w:r>
      <w:r>
        <w:t xml:space="preserve"> </w:t>
      </w:r>
      <w:r>
        <w:t xml:space="preserve">Supported reversals are rare but workload- and load-dependent.</w:t>
      </w:r>
      <w:r>
        <w:t xml:space="preserve"> </w:t>
      </w:r>
      <w:r>
        <w:t xml:space="preserve">Sample complexity estimates the window budget for ranking recovery.</w:t>
      </w:r>
      <w:r>
        <w:t xml:space="preserve"> </w:t>
      </w:r>
      <w:r>
        <w:t xml:space="preserve">Physical validation exposes a simulator-fidelity boundary.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2026-10-02T11:31:53Z</dcterms:created>
  <dcterms:modified xsi:type="dcterms:W3CDTF">2026-10-02T11:31:53Z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