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Scheduler rankings are tested across independent LLM workload sources.</w:t>
      </w:r>
    </w:p>
    <w:p>
      <w:pPr>
        <w:pStyle w:val="ListBullet"/>
      </w:pPr>
      <w:r>
        <w:t>Ranking portability depends on workload source, load region, and metric.</w:t>
      </w:r>
    </w:p>
    <w:p>
      <w:pPr>
        <w:pStyle w:val="ListBullet"/>
      </w:pPr>
      <w:r>
        <w:t>Supported cross-source reversals are rare and structurally concentrated.</w:t>
      </w:r>
    </w:p>
    <w:p>
      <w:pPr>
        <w:pStyle w:val="ListBullet"/>
      </w:pPr>
      <w:r>
        <w:t>Cross-metric scheduler rankings are substantially less portable.</w:t>
      </w:r>
    </w:p>
    <w:p>
      <w:pPr>
        <w:pStyle w:val="ListBullet"/>
      </w:pPr>
      <w:r>
        <w:t>Selected real-system validation exposes a simulator-fidelity boundary.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Soroush Vahidi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