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Bouncing Ball</w:t>
      </w:r>
    </w:p>
    <w:p>
      <w:pPr>
        <w:wordWrap w:val="0"/>
        <w:bidi w:val="0"/>
        <w:jc w:val="right"/>
        <w:rPr>
          <w:sz w:val="18"/>
          <w:szCs w:val="18"/>
        </w:rPr>
      </w:pPr>
      <w:r>
        <w:rPr>
          <w:rFonts w:hint="default"/>
          <w:sz w:val="18"/>
          <w:szCs w:val="18"/>
        </w:rPr>
        <w:t>2016220205027 张梓豪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让</w:t>
      </w:r>
      <w:r>
        <w:rPr>
          <w:rFonts w:hint="default" w:asciiTheme="minorEastAsia" w:hAnsiTheme="minorEastAsia" w:cstheme="minorEastAsia"/>
        </w:rPr>
        <w:t>小</w:t>
      </w:r>
      <w:r>
        <w:rPr>
          <w:rFonts w:hint="eastAsia" w:asciiTheme="minorEastAsia" w:hAnsiTheme="minorEastAsia" w:eastAsiaTheme="minorEastAsia" w:cstheme="minorEastAsia"/>
        </w:rPr>
        <w:t>球在16*8矩阵屏幕中（</w:t>
      </w:r>
      <w:r>
        <w:rPr>
          <w:rFonts w:hint="default" w:asciiTheme="minorEastAsia" w:hAnsiTheme="minorEastAsia" w:cstheme="minorEastAsia"/>
        </w:rPr>
        <w:t>实际</w:t>
      </w:r>
      <w:r>
        <w:rPr>
          <w:rFonts w:hint="eastAsia" w:asciiTheme="minorEastAsia" w:hAnsiTheme="minorEastAsia" w:eastAsiaTheme="minorEastAsia" w:cstheme="minorEastAsia"/>
        </w:rPr>
        <w:t>屏幕排列方式为8*16）无限反弹。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部件连接图：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993900" cy="1563370"/>
            <wp:effectExtent l="0" t="0" r="12700" b="11430"/>
            <wp:docPr id="1" name="图片 1" descr="18953569-EAA1-47DE-AC1F-9D1BD8FBF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953569-EAA1-47DE-AC1F-9D1BD8FBF0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使用元件：Arduino Uno开发板，16*8 LED矩阵，以及数据线等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962785" cy="1472565"/>
            <wp:effectExtent l="0" t="0" r="18415" b="635"/>
            <wp:docPr id="4" name="图片 4" descr="9891808CA46F112A68986AEFEA57F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91808CA46F112A68986AEFEA57F5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118995" cy="1589405"/>
            <wp:effectExtent l="0" t="0" r="14605" b="10795"/>
            <wp:docPr id="6" name="图片 6" descr="D4557E85C07A739B106BE613AD1F4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4557E85C07A739B106BE613AD1F4A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搭建环境：mac操作系统，arduino IDE（官方），C语言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库函数：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37465</wp:posOffset>
                </wp:positionV>
                <wp:extent cx="4871085" cy="712470"/>
                <wp:effectExtent l="6350" t="6350" r="2476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300" y="6182995"/>
                          <a:ext cx="4871085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&lt;Wire.h&gt;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&lt;Adafruit_GFX.h&gt; // Adafruit GFX Library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#include "Adafruit_LEDBackpack.h" //Adafruit LED Backpack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2.95pt;height:56.1pt;width:383.55pt;z-index:251658240;mso-width-relative:page;mso-height-relative:page;" fillcolor="#FFFFFF [3201]" filled="t" stroked="t" coordsize="21600,21600" o:gfxdata="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qbvfNUAAAAIAQAADwAAAAAAAAABACAAAAA4AAAAZHJzL2Rvd25yZXYueG1sUEsBAhQAFAAAAAgA&#10;h07iQAjh4QZLAgAAdQQAAA4AAAAAAAAAAQAgAAAAO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&lt;Wire.h&gt;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&lt;Adafruit_GFX.h&gt; // Adafruit GFX Library</w:t>
                      </w:r>
                    </w:p>
                    <w:p>
                      <w:r>
                        <w:rPr>
                          <w:rFonts w:hint="eastAsia"/>
                        </w:rPr>
                        <w:t>#include "Adafruit_LEDBackpack.h" //Adafruit LED Backpack Library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原理</w:t>
      </w:r>
      <w:r>
        <w:rPr>
          <w:rFonts w:hint="default" w:asciiTheme="minorEastAsia" w:hAnsiTheme="minorEastAsia" w:cstheme="minorEastAsia"/>
        </w:rPr>
        <w:t>及其实现代码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硬件</w:t>
      </w:r>
      <w:r>
        <w:rPr>
          <w:rFonts w:hint="eastAsia" w:asciiTheme="minorEastAsia" w:hAnsiTheme="minorEastAsia" w:eastAsiaTheme="minorEastAsia" w:cstheme="minorEastAsia"/>
        </w:rPr>
        <w:t>注意点：LED矩阵排列模式为纵向，即16*8</w:t>
      </w:r>
      <w:r>
        <w:rPr>
          <w:rFonts w:hint="default" w:asciiTheme="minorEastAsia" w:hAnsi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</w:rPr>
        <w:t>如下图所示：</w:t>
      </w:r>
      <w:r>
        <w:rPr>
          <w:rFonts w:hint="default" w:asciiTheme="minorEastAsia" w:hAnsiTheme="minorEastAsia" w:cstheme="minorEastAsia"/>
        </w:rPr>
        <w:t>（数字为矩阵坐标）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024505" cy="1428750"/>
            <wp:effectExtent l="0" t="0" r="23495" b="19050"/>
            <wp:docPr id="9" name="图片 9" descr="961F81FA-34F4-4B70-94EB-71563FA5D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61F81FA-34F4-4B70-94EB-71563FA5D2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图一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即：两个矩阵排列并非左右连通</w:t>
      </w:r>
      <w:r>
        <w:rPr>
          <w:rFonts w:hint="default" w:asciiTheme="minorEastAsia" w:hAnsiTheme="minorEastAsia" w:cstheme="minorEastAsia"/>
        </w:rPr>
        <w:t>（最终结果要求为左右连通）</w:t>
      </w:r>
      <w:r>
        <w:rPr>
          <w:rFonts w:hint="eastAsia" w:asciiTheme="minorEastAsia" w:hAnsiTheme="minorEastAsia" w:eastAsiaTheme="minorEastAsia" w:cstheme="minorEastAsia"/>
        </w:rPr>
        <w:t>，而是上下连通，但是元件物理结构为左右连通。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代码逻辑：tell：0表示方向向右，1表示左。till：0表示方向向上，1表示向下。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首先考虑小球移动方向分解，分解为左右方向和上下方向。但是由于元件并非左右连通，如果想要实现8*16模式，则需要在交接边修改坐标。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综上所述，从每个矩阵各个边框开始考虑。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2.1矩阵一号（来自图一）左边框：</w:t>
      </w:r>
      <w:r>
        <w:rPr>
          <w:rFonts w:hint="default" w:asciiTheme="minorEastAsia" w:hAnsiTheme="minorEastAsia" w:cstheme="minorEastAsia"/>
        </w:rPr>
        <w:t>在小球撞击边界点时，可以确定小球水平方向一定向左，</w:t>
      </w:r>
      <w:r>
        <w:rPr>
          <w:rFonts w:hint="default" w:asciiTheme="minorEastAsia" w:hAnsiTheme="minorEastAsia" w:cstheme="minorEastAsia"/>
        </w:rPr>
        <w:t>竖直方向单独考虑。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012825" cy="727710"/>
            <wp:effectExtent l="0" t="0" r="3175" b="8890"/>
            <wp:docPr id="10" name="图片 10" descr="10948ECF-205B-4E0C-82CE-24B2CC428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948ECF-205B-4E0C-82CE-24B2CC4280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2.1.1左边框上边界点：可以确定这一点的竖直方向为上。那么撞击了边界后，水平和竖直方向均会改变。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767715" cy="622935"/>
            <wp:effectExtent l="0" t="0" r="19685" b="12065"/>
            <wp:docPr id="11" name="图片 11" descr="F0865A1D-DDF2-409F-87F7-88F3CF57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0865A1D-DDF2-409F-87F7-88F3CF5777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2.1.2左边框下边界点：同理与上边界点，水平和竖直方向均会改变。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2.1.3左边框常规点（非上下边界点）：那么只有撞击到边界的方向会改变，即水平方向改变。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代码：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176655" cy="1259840"/>
            <wp:effectExtent l="0" t="0" r="17145" b="10160"/>
            <wp:docPr id="12" name="图片 12" descr="275490AF-EB12-4F26-BFE8-ED7FCF05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75490AF-EB12-4F26-BFE8-ED7FCF0547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简化代码：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130935" cy="1023620"/>
            <wp:effectExtent l="0" t="0" r="12065" b="17780"/>
            <wp:docPr id="13" name="图片 13" descr="168C7250-C9F7-432E-915D-87ED98C91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8C7250-C9F7-432E-915D-87ED98C911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2.2矩阵一号右边框：矩阵一号的右边框并非整体的右边框，而是两个矩阵的交界处，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960755" cy="1061720"/>
            <wp:effectExtent l="0" t="0" r="4445" b="5080"/>
            <wp:docPr id="14" name="图片 14" descr="EA9B1267-CEB2-438C-8F86-C98046BF18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A9B1267-CEB2-438C-8F86-C98046BF182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2.2.1小球到达右边框水平方向为右：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2.2.1.1上下边界点：更改上下方向，水平方向不变。纵坐标+8（移动到下一个矩阵坐标系中），横坐标修改为最大横坐标。下图为上边界点两个状态的转换。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212975" cy="1495425"/>
            <wp:effectExtent l="0" t="0" r="22225" b="3175"/>
            <wp:docPr id="18" name="图片 18" descr="509C14FD-7172-4837-8FD4-3D59232B0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09C14FD-7172-4837-8FD4-3D59232B0E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t xml:space="preserve">    </w:t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117725" cy="1443355"/>
            <wp:effectExtent l="0" t="0" r="15875" b="4445"/>
            <wp:docPr id="17" name="图片 17" descr="44C40D90-4583-44DB-B18E-29511D066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4C40D90-4583-44DB-B18E-29511D0660A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2.2.1.2.右边框非边界点：修改坐标即可（因为没有碰触逻辑边界不用修改方向）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2.2.2</w:t>
      </w:r>
      <w:r>
        <w:rPr>
          <w:rFonts w:hint="default" w:asciiTheme="minorEastAsia" w:hAnsiTheme="minorEastAsia" w:cstheme="minorEastAsia"/>
        </w:rPr>
        <w:t>小球到达右边框方向为</w:t>
      </w:r>
      <w:r>
        <w:rPr>
          <w:rFonts w:hint="default" w:asciiTheme="minorEastAsia" w:hAnsiTheme="minorEastAsia" w:cstheme="minorEastAsia"/>
        </w:rPr>
        <w:t>左</w:t>
      </w:r>
      <w:r>
        <w:rPr>
          <w:rFonts w:hint="default" w:asciiTheme="minorEastAsia" w:hAnsiTheme="minorEastAsia" w:cstheme="minorEastAsia"/>
        </w:rPr>
        <w:t>：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2.2.2.1上下边界点：修改水平方向，竖直方向不变。以下从左至右为移动方向。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195830" cy="1411605"/>
            <wp:effectExtent l="0" t="0" r="13970" b="10795"/>
            <wp:docPr id="19" name="图片 19" descr="01CA206A-E98E-4F32-87E7-03F74E5EF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1CA206A-E98E-4F32-87E7-03F74E5EF1F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353310" cy="1538605"/>
            <wp:effectExtent l="0" t="0" r="8890" b="10795"/>
            <wp:docPr id="20" name="图片 20" descr="2C9FB7DB-AE20-4A4B-93ED-10B8BA5D4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C9FB7DB-AE20-4A4B-93ED-10B8BA5D4DD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2.2.2.2非边界点：无需修改。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代码逻辑：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859280" cy="2047875"/>
            <wp:effectExtent l="0" t="0" r="20320" b="9525"/>
            <wp:docPr id="21" name="图片 21" descr="9651C304-D271-487F-BBF0-5BBDB138C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651C304-D271-487F-BBF0-5BBDB138CE8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简化：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242695" cy="2006600"/>
            <wp:effectExtent l="0" t="0" r="1905" b="0"/>
            <wp:docPr id="22" name="图片 22" descr="4F3F9581-6F48-4B5A-807D-758F1FAE2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F3F9581-6F48-4B5A-807D-758F1FAE286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2.3矩阵一号上下边框：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2.3.1边界点无需考虑，左右边框处理已经完成边界点。</w:t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2.3.2非边界点：修改竖直方向，水平方向不变。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539240" cy="1791970"/>
            <wp:effectExtent l="0" t="0" r="10160" b="11430"/>
            <wp:docPr id="23" name="图片 23" descr="2C6B0655-72CD-40BC-B5FD-680E5808E4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C6B0655-72CD-40BC-B5FD-680E5808E49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614805" cy="1579245"/>
            <wp:effectExtent l="0" t="0" r="10795" b="20955"/>
            <wp:docPr id="24" name="图片 24" descr="2815BE29-AD12-4827-A9F2-C4A57F6AB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5BE29-AD12-4827-A9F2-C4A57F6ABE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代码：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524125" cy="1589405"/>
            <wp:effectExtent l="0" t="0" r="15875" b="10795"/>
            <wp:docPr id="25" name="图片 25" descr="BA0D3951-5F0A-4DC6-B406-21DEDBD7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A0D3951-5F0A-4DC6-B406-21DEDBD767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2.4矩阵二号处理模式与矩阵一号同理。原理不过多解释，以下为部分关键代码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986280" cy="1290955"/>
            <wp:effectExtent l="0" t="0" r="20320" b="4445"/>
            <wp:docPr id="26" name="图片 26" descr="DE9CEF0F-32D9-4E57-B641-25423931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E9CEF0F-32D9-4E57-B641-254239316B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000250" cy="1229995"/>
            <wp:effectExtent l="0" t="0" r="6350" b="14605"/>
            <wp:docPr id="28" name="图片 28" descr="8D8CFD68-C635-46AF-8283-B5C23A200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D8CFD68-C635-46AF-8283-B5C23A200F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115820" cy="1322070"/>
            <wp:effectExtent l="0" t="0" r="17780" b="24130"/>
            <wp:docPr id="30" name="图片 30" descr="F9A03DFC-197B-41E4-B41C-52D534044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9A03DFC-197B-41E4-B41C-52D534044A9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043430" cy="1163320"/>
            <wp:effectExtent l="0" t="0" r="13970" b="5080"/>
            <wp:docPr id="31" name="图片 31" descr="0543EB60-39E2-4379-BFAD-1BD225E55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543EB60-39E2-4379-BFAD-1BD225E558A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运行效果照片：</w: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202180" cy="1351915"/>
            <wp:effectExtent l="0" t="0" r="7620" b="19685"/>
            <wp:docPr id="32" name="图片 32" descr="DE8863F11719C7FC31A2D92CB9DEA5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E8863F11719C7FC31A2D92CB9DEA5E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2096135" cy="1398905"/>
            <wp:effectExtent l="0" t="0" r="12065" b="23495"/>
            <wp:docPr id="33" name="图片 33" descr="DF61E05D948A2022A17ACF12AD24C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DF61E05D948A2022A17ACF12AD24C9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参考文献：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</w:rPr>
        <w:t>8.1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Arduino Uno and a 8x8 LED Matrix HT16K33 backpack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"https://create.arduino.cc/projecthub/wrightmac/arduino-uno-and-a-8x8-led-matrix-ht16k33-backpack-43e052"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https://create.arduino.cc/projecthub/wrightmac/arduino-uno-and-a-8x8-led-matrix-ht16k33-backpack-43e052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8.2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"https://create.arduino.cc/projecthub/Kian_Calnan/bouncing-ball-7ff589?ref=platform&amp;ref_id=424_trending_part_beginner_&amp;offset=21"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https://create.arduino.cc/projecthub/Kian_Calnan/bouncing-ball-7ff589?ref=platform&amp;ref_id=424_trending_part_beginner_&amp;offset=21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8.3Adafruit GFX图形库的使用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"http://www.elecfans.com/d/1123443.html"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http://www.elecfans.com/d/1123443.html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8.4Arduino Adafruit GFX图形库介绍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"https://blog.csdn.net/weixin_44481398/article/details/99662120"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https://blog.csdn.net/weixin_44481398/article/details/99662120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github地址：https://github.com/Sorrowa/Bouncing-Ball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yponine sans 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C1849"/>
    <w:multiLevelType w:val="singleLevel"/>
    <w:tmpl w:val="5EAC18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AC1E48"/>
    <w:multiLevelType w:val="singleLevel"/>
    <w:tmpl w:val="5EAC1E4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AC271F"/>
    <w:multiLevelType w:val="singleLevel"/>
    <w:tmpl w:val="5EAC271F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1AE0A"/>
    <w:rsid w:val="133FAFF1"/>
    <w:rsid w:val="1BBF83D1"/>
    <w:rsid w:val="1FD69477"/>
    <w:rsid w:val="329F514F"/>
    <w:rsid w:val="3CDFE4B5"/>
    <w:rsid w:val="3E71AE0A"/>
    <w:rsid w:val="3F733BD5"/>
    <w:rsid w:val="5BF988E8"/>
    <w:rsid w:val="5F7B0D63"/>
    <w:rsid w:val="7FE93153"/>
    <w:rsid w:val="BFFB590D"/>
    <w:rsid w:val="CF874101"/>
    <w:rsid w:val="DDBF51D5"/>
    <w:rsid w:val="DDFC45B2"/>
    <w:rsid w:val="DFE3F97E"/>
    <w:rsid w:val="EDB7C0A4"/>
    <w:rsid w:val="EF6FEE5B"/>
    <w:rsid w:val="FDF7C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2020-05-01T20:09:00Z</dcterms:created>
  <dc:creator>zhangzihao</dc:creator>
  <cp:lastModifiedBy>zhangzihao</cp:lastModifiedBy>
  <dcterms:modified xsi:type="dcterms:W3CDTF">2020-05-01T21:53:33Z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