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eastAsia="Times New Roman"/>
          <w:b/>
          <w:i w:val="0"/>
          <w:color w:val="1F4E79"/>
          <w:sz w:val="36"/>
        </w:rPr>
        <w:t>Projekt: Badanie działania metod uczenia maszynowego i sztucznych sieci neuronowych</w:t>
      </w:r>
    </w:p>
    <w:p>
      <w:pPr>
        <w:jc w:val="center"/>
      </w:pPr>
      <w:r>
        <w:rPr>
          <w:rFonts w:ascii="Times New Roman" w:hAnsi="Times New Roman" w:eastAsia="Times New Roman"/>
          <w:b/>
          <w:i w:val="0"/>
          <w:sz w:val="32"/>
        </w:rPr>
        <w:t>Część regresyjna</w:t>
      </w:r>
    </w:p>
    <w:p>
      <w:pPr>
        <w:jc w:val="center"/>
      </w:pPr>
      <w:r>
        <w:rPr>
          <w:rFonts w:ascii="Times New Roman" w:hAnsi="Times New Roman" w:eastAsia="Times New Roman"/>
          <w:b/>
          <w:i w:val="0"/>
          <w:color w:val="1F4E79"/>
          <w:sz w:val="34"/>
        </w:rPr>
        <w:t>Predykcja ceny zamknięcia Bitcoina</w:t>
      </w:r>
    </w:p>
    <w:p>
      <w:pPr>
        <w:jc w:val="center"/>
      </w:pPr>
      <w:r>
        <w:rPr>
          <w:rFonts w:ascii="Times New Roman" w:hAnsi="Times New Roman" w:eastAsia="Times New Roman"/>
          <w:b w:val="0"/>
          <w:i w:val="0"/>
          <w:sz w:val="24"/>
        </w:rPr>
        <w:t>Dataset: Cryptocurrency Historical Prices (Kaggle)</w:t>
      </w:r>
    </w:p>
    <w:p>
      <w:pPr>
        <w:jc w:val="center"/>
      </w:pPr>
      <w:r>
        <w:rPr>
          <w:rFonts w:ascii="Times New Roman" w:hAnsi="Times New Roman" w:eastAsia="Times New Roman"/>
          <w:b w:val="0"/>
          <w:i w:val="0"/>
          <w:sz w:val="24"/>
        </w:rPr>
        <w:t>Plik: coin_Bitcoin.csv</w:t>
      </w:r>
    </w:p>
    <w:p>
      <w:pPr>
        <w:jc w:val="center"/>
      </w:pPr>
      <w:r>
        <w:rPr>
          <w:rFonts w:ascii="Times New Roman" w:hAnsi="Times New Roman" w:eastAsia="Times New Roman"/>
          <w:b w:val="0"/>
          <w:i w:val="0"/>
          <w:sz w:val="24"/>
        </w:rPr>
        <w:t>Wersja raportu zgodna z ostatnią finalną wersją projektu</w:t>
      </w:r>
    </w:p>
    <w:p>
      <w:r>
        <w:br w:type="page"/>
      </w:r>
    </w:p>
    <w:p>
      <w:pPr>
        <w:pStyle w:val="Heading1"/>
        <w:spacing w:line="276" w:lineRule="auto" w:after="100" w:before="0"/>
      </w:pPr>
      <w:r>
        <w:rPr>
          <w:rFonts w:ascii="Times New Roman" w:hAnsi="Times New Roman" w:eastAsia="Times New Roman"/>
          <w:b/>
          <w:i w:val="0"/>
          <w:color w:val="1F4E79"/>
          <w:sz w:val="28"/>
        </w:rPr>
        <w:t>1. Opis podjętego problemu</w:t>
      </w:r>
    </w:p>
    <w:p>
      <w:pPr>
        <w:spacing w:line="276" w:lineRule="auto" w:after="120" w:before="0"/>
        <w:ind w:firstLine="425"/>
      </w:pPr>
      <w:r>
        <w:rPr>
          <w:rFonts w:ascii="Times New Roman" w:hAnsi="Times New Roman" w:eastAsia="Times New Roman"/>
          <w:b w:val="0"/>
          <w:i w:val="0"/>
          <w:sz w:val="24"/>
        </w:rPr>
        <w:t>Celem projektu jest rozwiązanie problemu regresyjnego polegającego na przewidywaniu ceny zamknięcia Bitcoina na kolejny dzień. Model zwraca konkretną wartość liczbową, dlatego zadanie ma charakter prognozowania szeregu czasowego.</w:t>
      </w:r>
    </w:p>
    <w:p>
      <w:pPr>
        <w:spacing w:line="276" w:lineRule="auto" w:after="120" w:before="0"/>
        <w:ind w:firstLine="425"/>
      </w:pPr>
      <w:r>
        <w:rPr>
          <w:rFonts w:ascii="Times New Roman" w:hAnsi="Times New Roman" w:eastAsia="Times New Roman"/>
          <w:b w:val="0"/>
          <w:i w:val="0"/>
          <w:sz w:val="24"/>
        </w:rPr>
        <w:t>W projekcie wykorzystano zbiór Cryptocurrency Historical Prices z serwisu Kaggle. Do analizy wybrano dane dla Bitcoina zapisane w pliku coin_Bitcoin.csv. Zbiór po przygotowaniu zawiera 2983 użyteczne obserwacje. Dane zostały podzielone chronologicznie na zbiory treningowy, walidacyjny i testowy.</w:t>
      </w:r>
    </w:p>
    <w:p>
      <w:pPr>
        <w:spacing w:line="276" w:lineRule="auto" w:after="120" w:before="0"/>
        <w:ind w:firstLine="425"/>
      </w:pPr>
      <w:r>
        <w:rPr>
          <w:rFonts w:ascii="Times New Roman" w:hAnsi="Times New Roman" w:eastAsia="Times New Roman"/>
          <w:b w:val="0"/>
          <w:i w:val="0"/>
          <w:sz w:val="24"/>
        </w:rPr>
        <w:t>Wykorzystane cechy wejściowe obejmują zarówno podstawowe dane rynkowe, jak i cechy pochodne: Open, High, Low, Volume, Marketcap, Close_lag_1, Close_lag_2, Close_lag_3, High_Low_diff, Open_Close_diff, Close_change, Close_mean_3 oraz Close_mean_7. Zmienna docelowa została zdefiniowana jako cena zamknięcia z dnia następnego.</w:t>
      </w:r>
    </w:p>
    <w:p>
      <w:pPr>
        <w:pStyle w:val="Heading1"/>
        <w:spacing w:line="276" w:lineRule="auto" w:after="100" w:before="0"/>
      </w:pPr>
      <w:r>
        <w:rPr>
          <w:rFonts w:ascii="Times New Roman" w:hAnsi="Times New Roman" w:eastAsia="Times New Roman"/>
          <w:b/>
          <w:i w:val="0"/>
          <w:color w:val="1F4E79"/>
          <w:sz w:val="28"/>
        </w:rPr>
        <w:t>2. Przegląd literatury</w:t>
      </w:r>
    </w:p>
    <w:p>
      <w:pPr>
        <w:spacing w:line="276" w:lineRule="auto" w:after="120" w:before="0"/>
        <w:ind w:firstLine="425"/>
      </w:pPr>
      <w:r>
        <w:rPr>
          <w:rFonts w:ascii="Times New Roman" w:hAnsi="Times New Roman" w:eastAsia="Times New Roman"/>
          <w:b w:val="0"/>
          <w:i w:val="0"/>
          <w:sz w:val="24"/>
        </w:rPr>
        <w:t>Prognozowanie cen kryptowalut stanowi trudny problem z pogranicza analizy szeregów czasowych i uczenia maszynowego. Jak pokazali McNally, Roche i Caton [1], skuteczność modeli neuronowych w zadaniu predykcji Bitcoina silnie zależy od sposobu przygotowania danych i procedury uczenia.</w:t>
      </w:r>
    </w:p>
    <w:p>
      <w:pPr>
        <w:spacing w:line="276" w:lineRule="auto" w:after="120" w:before="0"/>
        <w:ind w:firstLine="425"/>
      </w:pPr>
      <w:r>
        <w:rPr>
          <w:rFonts w:ascii="Times New Roman" w:hAnsi="Times New Roman" w:eastAsia="Times New Roman"/>
          <w:b w:val="0"/>
          <w:i w:val="0"/>
          <w:sz w:val="24"/>
        </w:rPr>
        <w:t>Mallqui i Fernandes [2] badali przewidywanie kierunku, minimum, maksimum i ceny zamknięcia Bitcoina metodami uczenia maszynowego. Ich wyniki potwierdzają, że porównanie kilku rodzin modeli jest konieczne do wiarygodnej oceny jakości prognozy.</w:t>
      </w:r>
    </w:p>
    <w:p>
      <w:pPr>
        <w:spacing w:line="276" w:lineRule="auto" w:after="120" w:before="0"/>
        <w:ind w:firstLine="425"/>
      </w:pPr>
      <w:r>
        <w:rPr>
          <w:rFonts w:ascii="Times New Roman" w:hAnsi="Times New Roman" w:eastAsia="Times New Roman"/>
          <w:b w:val="0"/>
          <w:i w:val="0"/>
          <w:sz w:val="24"/>
        </w:rPr>
        <w:t>Ji, Kim i Im [3] wykazali, że bardziej złożona architektura głębokiego uczenia nie zawsze gwarantuje lepszy wynik, co jest szczególnie istotne w niestacjonarnych szeregach czasowych.</w:t>
      </w:r>
    </w:p>
    <w:p>
      <w:pPr>
        <w:pStyle w:val="Heading1"/>
        <w:spacing w:line="276" w:lineRule="auto" w:after="100" w:before="0"/>
      </w:pPr>
      <w:r>
        <w:rPr>
          <w:rFonts w:ascii="Times New Roman" w:hAnsi="Times New Roman" w:eastAsia="Times New Roman"/>
          <w:b/>
          <w:i w:val="0"/>
          <w:color w:val="1F4E79"/>
          <w:sz w:val="28"/>
        </w:rPr>
        <w:t>3. Opis zastosowanych metod</w:t>
      </w:r>
    </w:p>
    <w:p>
      <w:pPr>
        <w:spacing w:line="276" w:lineRule="auto" w:after="120" w:before="0"/>
        <w:ind w:firstLine="425"/>
      </w:pPr>
      <w:r>
        <w:rPr>
          <w:rFonts w:ascii="Times New Roman" w:hAnsi="Times New Roman" w:eastAsia="Times New Roman"/>
          <w:b w:val="0"/>
          <w:i w:val="0"/>
          <w:sz w:val="24"/>
        </w:rPr>
        <w:t>W projekcie porównano baseline Last Value, baseline Moving Average, regresję liniową, k-NN, Random Forest oraz własną sieć neuronową. Baseline Last Value wykorzystuje ostatnią znaną cenę zamknięcia jako prognozę kolejnego dnia, natomiast Moving Average używa średniej z trzech ostatnich lagów ceny. Regresja liniowa modeluje zależność targetu od cech jako kombinację liniową uczoną metodą gradient descent.</w:t>
      </w:r>
    </w:p>
    <w:p>
      <w:pPr>
        <w:spacing w:line="276" w:lineRule="auto" w:after="120" w:before="0"/>
        <w:ind w:firstLine="425"/>
      </w:pPr>
      <w:r>
        <w:rPr>
          <w:rFonts w:ascii="Times New Roman" w:hAnsi="Times New Roman" w:eastAsia="Times New Roman"/>
          <w:b w:val="0"/>
          <w:i w:val="0"/>
          <w:sz w:val="24"/>
        </w:rPr>
        <w:t>Model k-NN przewiduje wartość na podstawie najbardziej podobnych obserwacji ze zbioru treningowego. W analizie badano wpływ parametru k oraz metryki odległości. Random Forest jest metodą zespołową opartą na wielu drzewach decyzyjnych; dla tej metody analizowano liczbę drzew i maksymalną głębokość. Własna sieć neuronowa do regresji została zaimplementowana od zera w NumPy i wspiera różną liczbę warstw, neuronów, funkcje aktywacji, inicjalizacje wag i różne tryby batchowania.</w:t>
      </w:r>
    </w:p>
    <w:p>
      <w:pPr>
        <w:pStyle w:val="Heading1"/>
        <w:spacing w:line="276" w:lineRule="auto" w:after="100" w:before="0"/>
      </w:pPr>
      <w:r>
        <w:rPr>
          <w:rFonts w:ascii="Times New Roman" w:hAnsi="Times New Roman" w:eastAsia="Times New Roman"/>
          <w:b/>
          <w:i w:val="0"/>
          <w:color w:val="1F4E79"/>
          <w:sz w:val="28"/>
        </w:rPr>
        <w:t>4. Część UM - analiza metod uczenia maszynowego</w:t>
      </w:r>
    </w:p>
    <w:p>
      <w:pPr>
        <w:pStyle w:val="Heading2"/>
        <w:spacing w:line="276" w:lineRule="auto" w:after="100" w:before="0"/>
      </w:pPr>
      <w:r>
        <w:rPr>
          <w:rFonts w:ascii="Times New Roman" w:hAnsi="Times New Roman" w:eastAsia="Times New Roman"/>
          <w:b/>
          <w:i w:val="0"/>
          <w:sz w:val="25"/>
        </w:rPr>
        <w:t>4.1. Końcowe porównanie metod</w:t>
      </w:r>
    </w:p>
    <w:p>
      <w:pPr>
        <w:spacing w:line="276" w:lineRule="auto" w:after="120" w:before="0"/>
        <w:ind w:firstLine="425"/>
      </w:pPr>
      <w:r>
        <w:rPr>
          <w:rFonts w:ascii="Times New Roman" w:hAnsi="Times New Roman" w:eastAsia="Times New Roman"/>
          <w:b w:val="0"/>
          <w:i w:val="0"/>
          <w:sz w:val="24"/>
        </w:rPr>
        <w:t>W ostatecznym porównaniu zastosowano najlepsze dostępne konfiguracje każdej metody. Dla regresji liniowej włączono najlepszy wariant learning rate uzyskany w dodatkowym pomocniczym sweepie parametrów przeprowadzonym na tym samym podziale danych i przy 2000 iteracjach.</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89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Metoda</w:t>
            </w:r>
          </w:p>
        </w:tc>
        <w:tc>
          <w:tcPr>
            <w:tcW w:type="dxa" w:w="119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MAPE</w:t>
            </w:r>
          </w:p>
        </w:tc>
        <w:tc>
          <w:tcPr>
            <w:tcW w:type="dxa" w:w="119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MAPE</w:t>
            </w:r>
          </w:p>
        </w:tc>
        <w:tc>
          <w:tcPr>
            <w:tcW w:type="dxa" w:w="136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RMSE</w:t>
            </w:r>
          </w:p>
        </w:tc>
        <w:tc>
          <w:tcPr>
            <w:tcW w:type="dxa" w:w="136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MAE</w:t>
            </w:r>
          </w:p>
        </w:tc>
      </w:tr>
      <w:tr>
        <w:tc>
          <w:tcPr>
            <w:tcW w:type="dxa" w:w="28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Baseline Last Value</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4.0417</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3.8710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1878.4046</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1174.9239</w:t>
            </w:r>
          </w:p>
        </w:tc>
      </w:tr>
      <w:tr>
        <w:tc>
          <w:tcPr>
            <w:tcW w:type="dxa" w:w="28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Linear Regression</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10.5313</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3.9339</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1699.2665</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1054.5588</w:t>
            </w:r>
          </w:p>
        </w:tc>
      </w:tr>
      <w:tr>
        <w:tc>
          <w:tcPr>
            <w:tcW w:type="dxa" w:w="28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Baseline Moving Average</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4.6002</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4.4655</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2164.0504</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1369.7301</w:t>
            </w:r>
          </w:p>
        </w:tc>
      </w:tr>
      <w:tr>
        <w:tc>
          <w:tcPr>
            <w:tcW w:type="dxa" w:w="28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Neural Network Best</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74.8004</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8.1737</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3850.0889</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2593.3963</w:t>
            </w:r>
          </w:p>
        </w:tc>
      </w:tr>
      <w:tr>
        <w:tc>
          <w:tcPr>
            <w:tcW w:type="dxa" w:w="28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KNN Best</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28.3080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19569.2128</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12401.5657</w:t>
            </w:r>
          </w:p>
        </w:tc>
      </w:tr>
      <w:tr>
        <w:tc>
          <w:tcPr>
            <w:tcW w:type="dxa" w:w="28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Random Forest Best</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1.2145</w:t>
            </w:r>
          </w:p>
        </w:tc>
        <w:tc>
          <w:tcPr>
            <w:tcW w:type="dxa" w:w="119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29.0636</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19110.5130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12220.3440</w:t>
            </w:r>
          </w:p>
        </w:tc>
      </w:tr>
    </w:tbl>
    <w:p>
      <w:pPr>
        <w:spacing w:before="60" w:after="160"/>
        <w:jc w:val="center"/>
      </w:pPr>
      <w:r>
        <w:rPr>
          <w:rFonts w:ascii="Times New Roman" w:hAnsi="Times New Roman" w:eastAsia="Times New Roman"/>
          <w:b w:val="0"/>
          <w:i/>
          <w:sz w:val="20"/>
        </w:rPr>
        <w:t>Tabela 1. Końcowe porównanie metod po uwzględnieniu najlepszego wariantu regresji liniowej.</w:t>
      </w:r>
    </w:p>
    <w:p>
      <w:pPr>
        <w:spacing w:after="80"/>
        <w:jc w:val="center"/>
      </w:pPr>
      <w:r>
        <w:drawing>
          <wp:inline xmlns:a="http://schemas.openxmlformats.org/drawingml/2006/main" xmlns:pic="http://schemas.openxmlformats.org/drawingml/2006/picture">
            <wp:extent cx="5580000" cy="3064271"/>
            <wp:docPr id="1" name="Picture 1"/>
            <wp:cNvGraphicFramePr>
              <a:graphicFrameLocks noChangeAspect="1"/>
            </wp:cNvGraphicFramePr>
            <a:graphic>
              <a:graphicData uri="http://schemas.openxmlformats.org/drawingml/2006/picture">
                <pic:pic>
                  <pic:nvPicPr>
                    <pic:cNvPr id="0" name="methods.png"/>
                    <pic:cNvPicPr/>
                  </pic:nvPicPr>
                  <pic:blipFill>
                    <a:blip r:embed="rId9"/>
                    <a:stretch>
                      <a:fillRect/>
                    </a:stretch>
                  </pic:blipFill>
                  <pic:spPr>
                    <a:xfrm>
                      <a:off x="0" y="0"/>
                      <a:ext cx="5580000" cy="3064271"/>
                    </a:xfrm>
                    <a:prstGeom prst="rect"/>
                  </pic:spPr>
                </pic:pic>
              </a:graphicData>
            </a:graphic>
          </wp:inline>
        </w:drawing>
      </w:r>
    </w:p>
    <w:p>
      <w:pPr>
        <w:spacing w:before="60" w:after="160"/>
        <w:jc w:val="center"/>
      </w:pPr>
      <w:r>
        <w:rPr>
          <w:rFonts w:ascii="Times New Roman" w:hAnsi="Times New Roman" w:eastAsia="Times New Roman"/>
          <w:b w:val="0"/>
          <w:i/>
          <w:sz w:val="20"/>
        </w:rPr>
        <w:t>Rysunek 1. Ranking metod według TEST MAPE.</w:t>
      </w:r>
    </w:p>
    <w:p>
      <w:pPr>
        <w:spacing w:line="276" w:lineRule="auto" w:after="120" w:before="0"/>
        <w:ind w:firstLine="425"/>
      </w:pPr>
      <w:r>
        <w:rPr>
          <w:rFonts w:ascii="Times New Roman" w:hAnsi="Times New Roman" w:eastAsia="Times New Roman"/>
          <w:b w:val="0"/>
          <w:i w:val="0"/>
          <w:sz w:val="24"/>
        </w:rPr>
        <w:t>Wniosek: najlepszą metodą pozostaje Baseline Last Value, ale po analizie parametru learning rate regresja liniowa znacząco poprawiła wynik i wyprzedziła baseline Moving Average. Własna SSN pozostaje słabsza od najlepszego wariantu regresji liniowej.</w:t>
      </w:r>
    </w:p>
    <w:p>
      <w:pPr>
        <w:pStyle w:val="Heading2"/>
        <w:spacing w:line="276" w:lineRule="auto" w:after="100" w:before="0"/>
      </w:pPr>
      <w:r>
        <w:rPr>
          <w:rFonts w:ascii="Times New Roman" w:hAnsi="Times New Roman" w:eastAsia="Times New Roman"/>
          <w:b/>
          <w:i w:val="0"/>
          <w:sz w:val="25"/>
        </w:rPr>
        <w:t>4.2. Regresja liniowa - analiza parametru learning rate</w:t>
      </w:r>
    </w:p>
    <w:p>
      <w:pPr>
        <w:spacing w:line="276" w:lineRule="auto" w:after="120" w:before="0"/>
        <w:ind w:firstLine="425"/>
      </w:pPr>
      <w:r>
        <w:rPr>
          <w:rFonts w:ascii="Times New Roman" w:hAnsi="Times New Roman" w:eastAsia="Times New Roman"/>
          <w:b w:val="0"/>
          <w:i w:val="0"/>
          <w:sz w:val="24"/>
        </w:rPr>
        <w:t>W głównym kodzie projektu regresja liniowa była uruchamiana dla learning_rate = 0.01. Dodatkowo wykonano pomocniczą analizę tego parametru dla czterech wartości: 0.001, 0.01, 0.05 i 0.1, przy stałej liczbie 2000 iteracji. Dzięki temu raport obejmuje również wymaganą analizę parametru metody UM.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30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Learning rate</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MAPE</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MAPE</w:t>
            </w:r>
          </w:p>
        </w:tc>
        <w:tc>
          <w:tcPr>
            <w:tcW w:type="dxa" w:w="1417"/>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RMSE</w:t>
            </w:r>
          </w:p>
        </w:tc>
        <w:tc>
          <w:tcPr>
            <w:tcW w:type="dxa" w:w="1417"/>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MAE</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0.0010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171.0151</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19.6604</w:t>
            </w:r>
          </w:p>
        </w:tc>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8270.8921</w:t>
            </w:r>
          </w:p>
        </w:tc>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6119.0986</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0.0100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7.4653</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7.7495</w:t>
            </w:r>
          </w:p>
        </w:tc>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2412.8823</w:t>
            </w:r>
          </w:p>
        </w:tc>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1621.9349</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0.0500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9.3490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5.5017</w:t>
            </w:r>
          </w:p>
        </w:tc>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1953.1348</w:t>
            </w:r>
          </w:p>
        </w:tc>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1275.1571</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0.1000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10.5313</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3.9339</w:t>
            </w:r>
          </w:p>
        </w:tc>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1699.2665</w:t>
            </w:r>
          </w:p>
        </w:tc>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1054.5588</w:t>
            </w:r>
          </w:p>
        </w:tc>
      </w:tr>
    </w:tbl>
    <w:p>
      <w:pPr>
        <w:spacing w:before="60" w:after="160"/>
        <w:jc w:val="center"/>
      </w:pPr>
      <w:r>
        <w:rPr>
          <w:rFonts w:ascii="Times New Roman" w:hAnsi="Times New Roman" w:eastAsia="Times New Roman"/>
          <w:b w:val="0"/>
          <w:i/>
          <w:sz w:val="20"/>
        </w:rPr>
        <w:t>Tabela 2. Wpływ learning rate na jakość regresji liniowej.</w:t>
      </w:r>
    </w:p>
    <w:p>
      <w:pPr>
        <w:spacing w:after="80"/>
        <w:jc w:val="center"/>
      </w:pPr>
      <w:r>
        <w:drawing>
          <wp:inline xmlns:a="http://schemas.openxmlformats.org/drawingml/2006/main" xmlns:pic="http://schemas.openxmlformats.org/drawingml/2006/picture">
            <wp:extent cx="5328000" cy="2925885"/>
            <wp:docPr id="2" name="Picture 2"/>
            <wp:cNvGraphicFramePr>
              <a:graphicFrameLocks noChangeAspect="1"/>
            </wp:cNvGraphicFramePr>
            <a:graphic>
              <a:graphicData uri="http://schemas.openxmlformats.org/drawingml/2006/picture">
                <pic:pic>
                  <pic:nvPicPr>
                    <pic:cNvPr id="0" name="lin_lr.png"/>
                    <pic:cNvPicPr/>
                  </pic:nvPicPr>
                  <pic:blipFill>
                    <a:blip r:embed="rId10"/>
                    <a:stretch>
                      <a:fillRect/>
                    </a:stretch>
                  </pic:blipFill>
                  <pic:spPr>
                    <a:xfrm>
                      <a:off x="0" y="0"/>
                      <a:ext cx="5328000" cy="2925885"/>
                    </a:xfrm>
                    <a:prstGeom prst="rect"/>
                  </pic:spPr>
                </pic:pic>
              </a:graphicData>
            </a:graphic>
          </wp:inline>
        </w:drawing>
      </w:r>
    </w:p>
    <w:p>
      <w:pPr>
        <w:spacing w:before="60" w:after="160"/>
        <w:jc w:val="center"/>
      </w:pPr>
      <w:r>
        <w:rPr>
          <w:rFonts w:ascii="Times New Roman" w:hAnsi="Times New Roman" w:eastAsia="Times New Roman"/>
          <w:b w:val="0"/>
          <w:i/>
          <w:sz w:val="20"/>
        </w:rPr>
        <w:t>Rysunek 2. Regresja liniowa - wpływ learning rate na TEST MAPE.</w:t>
      </w:r>
    </w:p>
    <w:p>
      <w:pPr>
        <w:spacing w:line="276" w:lineRule="auto" w:after="120" w:before="0"/>
        <w:ind w:firstLine="425"/>
      </w:pPr>
      <w:r>
        <w:rPr>
          <w:rFonts w:ascii="Times New Roman" w:hAnsi="Times New Roman" w:eastAsia="Times New Roman"/>
          <w:b w:val="0"/>
          <w:i w:val="0"/>
          <w:sz w:val="24"/>
        </w:rPr>
        <w:t>Wniosek: najlepszy wynik uzyskano dla learning_rate = 0.1, co daje TEST MAPE = 3.9339. To właśnie ten wariant został uwzględniony w końcowym rankingu metod.</w:t>
      </w:r>
    </w:p>
    <w:p>
      <w:pPr>
        <w:pStyle w:val="Heading2"/>
        <w:spacing w:line="276" w:lineRule="auto" w:after="100" w:before="0"/>
      </w:pPr>
      <w:r>
        <w:rPr>
          <w:rFonts w:ascii="Times New Roman" w:hAnsi="Times New Roman" w:eastAsia="Times New Roman"/>
          <w:b/>
          <w:i w:val="0"/>
          <w:sz w:val="25"/>
        </w:rPr>
        <w:t>4.3. k-NN - analiza parametrów</w:t>
      </w:r>
    </w:p>
    <w:p>
      <w:pPr>
        <w:spacing w:line="276" w:lineRule="auto" w:after="120" w:before="0"/>
        <w:ind w:firstLine="425"/>
      </w:pPr>
      <w:r>
        <w:rPr>
          <w:rFonts w:ascii="Times New Roman" w:hAnsi="Times New Roman" w:eastAsia="Times New Roman"/>
          <w:b w:val="0"/>
          <w:i w:val="0"/>
          <w:sz w:val="24"/>
        </w:rPr>
        <w:t>W kodzie projektu dla modelu k-NN testowane są wyłącznie wartości k = {1, 3, 5, 9}. Analiza poniżej jest więc w pełni zgodna z kodem. Parametr weighted ma tylko dwie wartości logiczne, dlatego nie jest traktowany jako samodzielny główny parametr spełniający wymóg czterech wartości; pełni on rolę ustawienia pomocniczego przy wyborze najlepszej konfiguracji.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68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k</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MAPE</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MAPE</w:t>
            </w:r>
          </w:p>
        </w:tc>
        <w:tc>
          <w:tcPr>
            <w:tcW w:type="dxa" w:w="136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RMSE</w:t>
            </w:r>
          </w:p>
        </w:tc>
        <w:tc>
          <w:tcPr>
            <w:tcW w:type="dxa" w:w="136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MAE</w:t>
            </w:r>
          </w:p>
        </w:tc>
      </w:tr>
      <w:tr>
        <w:tc>
          <w:tcPr>
            <w:tcW w:type="dxa" w:w="68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29.1280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19356.3078</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12377.9246</w:t>
            </w:r>
          </w:p>
        </w:tc>
      </w:tr>
      <w:tr>
        <w:tc>
          <w:tcPr>
            <w:tcW w:type="dxa" w:w="68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28.4472</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19614.3939</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12435.9624</w:t>
            </w:r>
          </w:p>
        </w:tc>
      </w:tr>
      <w:tr>
        <w:tc>
          <w:tcPr>
            <w:tcW w:type="dxa" w:w="68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28.3080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19535.1406</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12401.5657</w:t>
            </w:r>
          </w:p>
        </w:tc>
      </w:tr>
      <w:tr>
        <w:tc>
          <w:tcPr>
            <w:tcW w:type="dxa" w:w="68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28.5077</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19696.1900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12518.3388</w:t>
            </w:r>
          </w:p>
        </w:tc>
      </w:tr>
    </w:tbl>
    <w:p>
      <w:pPr>
        <w:spacing w:before="60" w:after="160"/>
        <w:jc w:val="center"/>
      </w:pPr>
      <w:r>
        <w:rPr>
          <w:rFonts w:ascii="Times New Roman" w:hAnsi="Times New Roman" w:eastAsia="Times New Roman"/>
          <w:b w:val="0"/>
          <w:i/>
          <w:sz w:val="20"/>
        </w:rPr>
        <w:t>Tabela 3. Wpływ parametru k na jakość modelu k-NN.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417"/>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Metryka</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MAPE</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MAPE</w:t>
            </w:r>
          </w:p>
        </w:tc>
        <w:tc>
          <w:tcPr>
            <w:tcW w:type="dxa" w:w="136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RMSE</w:t>
            </w:r>
          </w:p>
        </w:tc>
        <w:tc>
          <w:tcPr>
            <w:tcW w:type="dxa" w:w="136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MAE</w:t>
            </w:r>
          </w:p>
        </w:tc>
      </w:tr>
      <w:tr>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manhattan</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28.3080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19356.3078</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12377.9246</w:t>
            </w:r>
          </w:p>
        </w:tc>
      </w:tr>
      <w:tr>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euclidean</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32.9479</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19535.1406</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12937.6077</w:t>
            </w:r>
          </w:p>
        </w:tc>
      </w:tr>
      <w:tr>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minkowski</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40.1960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19620.2190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13575.3896</w:t>
            </w:r>
          </w:p>
        </w:tc>
      </w:tr>
      <w:tr>
        <w:tc>
          <w:tcPr>
            <w:tcW w:type="dxa" w:w="141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chebyshev</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47.0862</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19528.0159</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14258.6540</w:t>
            </w:r>
          </w:p>
        </w:tc>
      </w:tr>
    </w:tbl>
    <w:p>
      <w:pPr>
        <w:spacing w:before="60" w:after="160"/>
        <w:jc w:val="center"/>
      </w:pPr>
      <w:r>
        <w:rPr>
          <w:rFonts w:ascii="Times New Roman" w:hAnsi="Times New Roman" w:eastAsia="Times New Roman"/>
          <w:b w:val="0"/>
          <w:i/>
          <w:sz w:val="20"/>
        </w:rPr>
        <w:t>Tabela 4. Wpływ metryki odległości na jakość modelu k-NN.</w:t>
      </w:r>
    </w:p>
    <w:p>
      <w:pPr>
        <w:spacing w:line="276" w:lineRule="auto" w:after="120" w:before="0"/>
        <w:ind w:firstLine="425"/>
      </w:pPr>
      <w:r>
        <w:rPr>
          <w:rFonts w:ascii="Times New Roman" w:hAnsi="Times New Roman" w:eastAsia="Times New Roman"/>
          <w:b w:val="0"/>
          <w:i w:val="0"/>
          <w:sz w:val="24"/>
        </w:rPr>
        <w:t>Wniosek: najlepszy wariant k-NN wykorzystuje k = 5 oraz metrykę Manhattan. Model osiąga bardzo niski błąd treningowy, ale znacznie gorszy wynik na teście, co wskazuje na słabą generalizację.</w:t>
      </w:r>
    </w:p>
    <w:p>
      <w:pPr>
        <w:pStyle w:val="Heading2"/>
        <w:spacing w:line="276" w:lineRule="auto" w:after="100" w:before="0"/>
      </w:pPr>
      <w:r>
        <w:rPr>
          <w:rFonts w:ascii="Times New Roman" w:hAnsi="Times New Roman" w:eastAsia="Times New Roman"/>
          <w:b/>
          <w:i w:val="0"/>
          <w:sz w:val="25"/>
        </w:rPr>
        <w:t>4.4. Random Forest - analiza parametrów</w:t>
      </w:r>
    </w:p>
    <w:p>
      <w:pPr>
        <w:spacing w:line="276" w:lineRule="auto" w:after="120" w:before="0"/>
        <w:ind w:firstLine="425"/>
      </w:pPr>
      <w:r>
        <w:rPr>
          <w:rFonts w:ascii="Times New Roman" w:hAnsi="Times New Roman" w:eastAsia="Times New Roman"/>
          <w:b w:val="0"/>
          <w:i w:val="0"/>
          <w:sz w:val="24"/>
        </w:rPr>
        <w:t>Dla modelu Random Forest analiza w projekcie obejmuje dwa parametry z kodu: liczbę drzew oraz maksymalną głębokość. W tabelach podano zarówno wyniki treningowe, jak i testowe, zgodnie z wytycznymi. Dodatkowego trzeciego parametru nie analizowano w kodzie projektu, dlatego raport nie dopisuje go sztucznie.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30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n_estimators</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MAPE</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MAPE</w:t>
            </w:r>
          </w:p>
        </w:tc>
        <w:tc>
          <w:tcPr>
            <w:tcW w:type="dxa" w:w="136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RMSE</w:t>
            </w:r>
          </w:p>
        </w:tc>
        <w:tc>
          <w:tcPr>
            <w:tcW w:type="dxa" w:w="136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MAE</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1.8092</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29.4370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18978.4095</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12181.7809</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1.6816</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29.2127</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19052.2127</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12207.3149</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1.6832</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29.0888</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19053.5735</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12191.1224</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200.0000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1.6648</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29.0826</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19102.5470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12218.5923</w:t>
            </w:r>
          </w:p>
        </w:tc>
      </w:tr>
    </w:tbl>
    <w:p>
      <w:pPr>
        <w:spacing w:before="60" w:after="160"/>
        <w:jc w:val="center"/>
      </w:pPr>
      <w:r>
        <w:rPr>
          <w:rFonts w:ascii="Times New Roman" w:hAnsi="Times New Roman" w:eastAsia="Times New Roman"/>
          <w:b w:val="0"/>
          <w:i/>
          <w:sz w:val="20"/>
        </w:rPr>
        <w:t>Tabela 5. Wpływ liczby drzew w Random Forest.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30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max_depth</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MAPE</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MAPE</w:t>
            </w:r>
          </w:p>
        </w:tc>
        <w:tc>
          <w:tcPr>
            <w:tcW w:type="dxa" w:w="136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RMSE</w:t>
            </w:r>
          </w:p>
        </w:tc>
        <w:tc>
          <w:tcPr>
            <w:tcW w:type="dxa" w:w="136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MAE</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60.1288</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38.4730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21652.9330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14660.1982</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5.7550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29.3032</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19123.4662</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12256.4845</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1.6832</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29.0888</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19053.5735</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12191.1224</w:t>
            </w:r>
          </w:p>
        </w:tc>
      </w:tr>
      <w:tr>
        <w:tc>
          <w:tcPr>
            <w:tcW w:type="dxa" w:w="130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20.0000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1.2145</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29.0636</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19110.5130</w:t>
            </w:r>
          </w:p>
        </w:tc>
        <w:tc>
          <w:tcPr>
            <w:tcW w:type="dxa" w:w="136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12220.3440</w:t>
            </w:r>
          </w:p>
        </w:tc>
      </w:tr>
    </w:tbl>
    <w:p>
      <w:pPr>
        <w:spacing w:before="60" w:after="160"/>
        <w:jc w:val="center"/>
      </w:pPr>
      <w:r>
        <w:rPr>
          <w:rFonts w:ascii="Times New Roman" w:hAnsi="Times New Roman" w:eastAsia="Times New Roman"/>
          <w:b w:val="0"/>
          <w:i/>
          <w:sz w:val="20"/>
        </w:rPr>
        <w:t>Tabela 6. Wpływ maksymalnej głębokości w Random Forest.</w:t>
      </w:r>
    </w:p>
    <w:p>
      <w:pPr>
        <w:spacing w:line="276" w:lineRule="auto" w:after="120" w:before="0"/>
        <w:ind w:firstLine="425"/>
      </w:pPr>
      <w:r>
        <w:rPr>
          <w:rFonts w:ascii="Times New Roman" w:hAnsi="Times New Roman" w:eastAsia="Times New Roman"/>
          <w:b w:val="0"/>
          <w:i w:val="0"/>
          <w:sz w:val="24"/>
        </w:rPr>
        <w:t>Wniosek: najlepszy wariant Random Forest osiąga TEST MAPE = 29.0636, więc pozostaje wyraźnie słabszy od baseline’ów, regresji liniowej i finalnej SSN.</w:t>
      </w:r>
    </w:p>
    <w:p>
      <w:r>
        <w:br w:type="page"/>
      </w:r>
    </w:p>
    <w:p>
      <w:pPr>
        <w:pStyle w:val="Heading1"/>
        <w:spacing w:line="276" w:lineRule="auto" w:after="100" w:before="0"/>
      </w:pPr>
      <w:r>
        <w:rPr>
          <w:rFonts w:ascii="Times New Roman" w:hAnsi="Times New Roman" w:eastAsia="Times New Roman"/>
          <w:b/>
          <w:i w:val="0"/>
          <w:color w:val="1F4E79"/>
          <w:sz w:val="28"/>
        </w:rPr>
        <w:t>5. Część SSN - analiza sieci neuronowej</w:t>
      </w:r>
    </w:p>
    <w:p>
      <w:pPr>
        <w:spacing w:line="276" w:lineRule="auto" w:after="120" w:before="0"/>
        <w:ind w:firstLine="425"/>
      </w:pPr>
      <w:r>
        <w:rPr>
          <w:rFonts w:ascii="Times New Roman" w:hAnsi="Times New Roman" w:eastAsia="Times New Roman"/>
          <w:b w:val="0"/>
          <w:i w:val="0"/>
          <w:sz w:val="24"/>
        </w:rPr>
        <w:t>Własna sieć neuronowa została zaimplementowana od zera w NumPy. Dla analiz parametrów każdą konfigurację uruchamiano trzykrotnie dla seedów 42, 123 i 2024. W tabelach raportowano średnią, odchylenie standardowe, minimum i maksimum dla TRAIN MAPE i TEST MAPE. Poniżej przywrócono pełny zestaw ośmiu analiz parametrów generowanych przez kod projektu.</w:t>
      </w:r>
    </w:p>
    <w:p>
      <w:pPr>
        <w:pStyle w:val="Heading2"/>
        <w:spacing w:line="276" w:lineRule="auto" w:after="100" w:before="0"/>
      </w:pPr>
      <w:r>
        <w:rPr>
          <w:rFonts w:ascii="Times New Roman" w:hAnsi="Times New Roman" w:eastAsia="Times New Roman"/>
          <w:b/>
          <w:i w:val="0"/>
          <w:sz w:val="25"/>
        </w:rPr>
        <w:t>5.1. Współczynnik uczenia</w:t>
      </w:r>
    </w:p>
    <w:p>
      <w:pPr>
        <w:spacing w:line="276" w:lineRule="auto" w:after="120" w:before="0"/>
        <w:ind w:firstLine="425"/>
      </w:pPr>
      <w:r>
        <w:rPr>
          <w:rFonts w:ascii="Times New Roman" w:hAnsi="Times New Roman" w:eastAsia="Times New Roman"/>
          <w:b w:val="0"/>
          <w:i w:val="0"/>
          <w:sz w:val="24"/>
        </w:rPr>
        <w:t>Wartości testowane: {0.001, 0.005, 0.01, 0.05}.</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587"/>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Wartość</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Max</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Max</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0.0010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447.7971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0.8161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447.1802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448.9503</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84.9335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0.1362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84.7737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85.1064</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0.0050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381.6549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9.3814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369.2102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391.8601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67.3101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2.0489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64.4995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69.3258</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0.0100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79.9199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1.6394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78.2637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82.1531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8.9156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0.4232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8.4444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9.4709</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0.0500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79.8554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1.8521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77.8099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82.2950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8.9105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0.4485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8.3969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9.4897</w:t>
            </w:r>
          </w:p>
        </w:tc>
      </w:tr>
    </w:tbl>
    <w:p>
      <w:pPr>
        <w:spacing w:before="60" w:after="160"/>
        <w:jc w:val="center"/>
      </w:pPr>
      <w:r>
        <w:rPr>
          <w:rFonts w:ascii="Times New Roman" w:hAnsi="Times New Roman" w:eastAsia="Times New Roman"/>
          <w:b w:val="0"/>
          <w:i/>
          <w:sz w:val="20"/>
        </w:rPr>
        <w:t>Tabela 7. 5.1. Współczynnik uczenia.</w:t>
      </w:r>
    </w:p>
    <w:p>
      <w:pPr>
        <w:spacing w:after="80"/>
        <w:jc w:val="center"/>
      </w:pPr>
      <w:r>
        <w:drawing>
          <wp:inline xmlns:a="http://schemas.openxmlformats.org/drawingml/2006/main" xmlns:pic="http://schemas.openxmlformats.org/drawingml/2006/picture">
            <wp:extent cx="5436000" cy="2985193"/>
            <wp:docPr id="3" name="Picture 3"/>
            <wp:cNvGraphicFramePr>
              <a:graphicFrameLocks noChangeAspect="1"/>
            </wp:cNvGraphicFramePr>
            <a:graphic>
              <a:graphicData uri="http://schemas.openxmlformats.org/drawingml/2006/picture">
                <pic:pic>
                  <pic:nvPicPr>
                    <pic:cNvPr id="0" name="ssn_lr.png"/>
                    <pic:cNvPicPr/>
                  </pic:nvPicPr>
                  <pic:blipFill>
                    <a:blip r:embed="rId11"/>
                    <a:stretch>
                      <a:fillRect/>
                    </a:stretch>
                  </pic:blipFill>
                  <pic:spPr>
                    <a:xfrm>
                      <a:off x="0" y="0"/>
                      <a:ext cx="5436000" cy="2985193"/>
                    </a:xfrm>
                    <a:prstGeom prst="rect"/>
                  </pic:spPr>
                </pic:pic>
              </a:graphicData>
            </a:graphic>
          </wp:inline>
        </w:drawing>
      </w:r>
    </w:p>
    <w:p>
      <w:pPr>
        <w:spacing w:before="60" w:after="160"/>
        <w:jc w:val="center"/>
      </w:pPr>
      <w:r>
        <w:rPr>
          <w:rFonts w:ascii="Times New Roman" w:hAnsi="Times New Roman" w:eastAsia="Times New Roman"/>
          <w:b w:val="0"/>
          <w:i/>
          <w:sz w:val="20"/>
        </w:rPr>
        <w:t>Rysunek 3. 5.1. Współczynnik uczenia - średni TEST MAPE dla badanych wariantów.</w:t>
      </w:r>
    </w:p>
    <w:p>
      <w:pPr>
        <w:spacing w:line="276" w:lineRule="auto" w:after="120" w:before="0"/>
        <w:ind w:firstLine="425"/>
      </w:pPr>
      <w:r>
        <w:rPr>
          <w:rFonts w:ascii="Times New Roman" w:hAnsi="Times New Roman" w:eastAsia="Times New Roman"/>
          <w:b w:val="0"/>
          <w:i w:val="0"/>
          <w:sz w:val="24"/>
        </w:rPr>
        <w:t>Wniosek: Najlepsze średnie wyniki uzyskano dla 0.05 i 0.01, natomiast bardzo małe learning rate praktycznie uniemożliwiały sensowne uczenie.</w:t>
      </w:r>
    </w:p>
    <w:p>
      <w:pPr>
        <w:pStyle w:val="Heading2"/>
        <w:spacing w:line="276" w:lineRule="auto" w:after="100" w:before="0"/>
      </w:pPr>
      <w:r>
        <w:rPr>
          <w:rFonts w:ascii="Times New Roman" w:hAnsi="Times New Roman" w:eastAsia="Times New Roman"/>
          <w:b/>
          <w:i w:val="0"/>
          <w:sz w:val="25"/>
        </w:rPr>
        <w:t>5.2. Liczba neuronów w warstwie ukrytej</w:t>
      </w:r>
    </w:p>
    <w:p>
      <w:pPr>
        <w:spacing w:line="276" w:lineRule="auto" w:after="120" w:before="0"/>
        <w:ind w:firstLine="425"/>
      </w:pPr>
      <w:r>
        <w:rPr>
          <w:rFonts w:ascii="Times New Roman" w:hAnsi="Times New Roman" w:eastAsia="Times New Roman"/>
          <w:b w:val="0"/>
          <w:i w:val="0"/>
          <w:sz w:val="24"/>
        </w:rPr>
        <w:t>Wartości testowane: {8, 16, 32, 64}.</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587"/>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Wartość</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Max</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Max</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8.0000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340.7480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80.1354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246.2623</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442.1837</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59.9751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17.9425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39.2186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82.9936</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16.0000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168.5542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49.4476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99.5049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212.6575</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23.0752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8.4837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11.1525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30.1979</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32.0000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107.4012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17.4540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91.2481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131.6417</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12.8137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3.3785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9.9718</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17.5609</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64.0000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79.9199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1.6394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78.2637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82.1531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8.9156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0.4232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8.4444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9.4709</w:t>
            </w:r>
          </w:p>
        </w:tc>
      </w:tr>
    </w:tbl>
    <w:p>
      <w:pPr>
        <w:spacing w:before="60" w:after="160"/>
        <w:jc w:val="center"/>
      </w:pPr>
      <w:r>
        <w:rPr>
          <w:rFonts w:ascii="Times New Roman" w:hAnsi="Times New Roman" w:eastAsia="Times New Roman"/>
          <w:b w:val="0"/>
          <w:i/>
          <w:sz w:val="20"/>
        </w:rPr>
        <w:t>Tabela 8. 5.2. Liczba neuronów w warstwie ukrytej.</w:t>
      </w:r>
    </w:p>
    <w:p>
      <w:pPr>
        <w:spacing w:after="80"/>
        <w:jc w:val="center"/>
      </w:pPr>
      <w:r>
        <w:drawing>
          <wp:inline xmlns:a="http://schemas.openxmlformats.org/drawingml/2006/main" xmlns:pic="http://schemas.openxmlformats.org/drawingml/2006/picture">
            <wp:extent cx="5436000" cy="2985193"/>
            <wp:docPr id="4" name="Picture 4"/>
            <wp:cNvGraphicFramePr>
              <a:graphicFrameLocks noChangeAspect="1"/>
            </wp:cNvGraphicFramePr>
            <a:graphic>
              <a:graphicData uri="http://schemas.openxmlformats.org/drawingml/2006/picture">
                <pic:pic>
                  <pic:nvPicPr>
                    <pic:cNvPr id="0" name="ssn_hsize.png"/>
                    <pic:cNvPicPr/>
                  </pic:nvPicPr>
                  <pic:blipFill>
                    <a:blip r:embed="rId12"/>
                    <a:stretch>
                      <a:fillRect/>
                    </a:stretch>
                  </pic:blipFill>
                  <pic:spPr>
                    <a:xfrm>
                      <a:off x="0" y="0"/>
                      <a:ext cx="5436000" cy="2985193"/>
                    </a:xfrm>
                    <a:prstGeom prst="rect"/>
                  </pic:spPr>
                </pic:pic>
              </a:graphicData>
            </a:graphic>
          </wp:inline>
        </w:drawing>
      </w:r>
    </w:p>
    <w:p>
      <w:pPr>
        <w:spacing w:before="60" w:after="160"/>
        <w:jc w:val="center"/>
      </w:pPr>
      <w:r>
        <w:rPr>
          <w:rFonts w:ascii="Times New Roman" w:hAnsi="Times New Roman" w:eastAsia="Times New Roman"/>
          <w:b w:val="0"/>
          <w:i/>
          <w:sz w:val="20"/>
        </w:rPr>
        <w:t>Rysunek 4. 5.2. Liczba neuronów w warstwie ukrytej - średni TEST MAPE dla badanych wariantów.</w:t>
      </w:r>
    </w:p>
    <w:p>
      <w:pPr>
        <w:spacing w:line="276" w:lineRule="auto" w:after="120" w:before="0"/>
        <w:ind w:firstLine="425"/>
      </w:pPr>
      <w:r>
        <w:rPr>
          <w:rFonts w:ascii="Times New Roman" w:hAnsi="Times New Roman" w:eastAsia="Times New Roman"/>
          <w:b w:val="0"/>
          <w:i w:val="0"/>
          <w:sz w:val="24"/>
        </w:rPr>
        <w:t>Wniosek: Wraz ze wzrostem liczby neuronów błąd testowy systematycznie malał. Najlepszy średni wynik dała sieć z 64 neuronami.</w:t>
      </w:r>
    </w:p>
    <w:p>
      <w:pPr>
        <w:pStyle w:val="Heading2"/>
        <w:spacing w:line="276" w:lineRule="auto" w:after="100" w:before="0"/>
      </w:pPr>
      <w:r>
        <w:rPr>
          <w:rFonts w:ascii="Times New Roman" w:hAnsi="Times New Roman" w:eastAsia="Times New Roman"/>
          <w:b/>
          <w:i w:val="0"/>
          <w:sz w:val="25"/>
        </w:rPr>
        <w:t>5.3. Funkcja aktywacji</w:t>
      </w:r>
    </w:p>
    <w:p>
      <w:pPr>
        <w:spacing w:line="276" w:lineRule="auto" w:after="120" w:before="0"/>
        <w:ind w:firstLine="425"/>
      </w:pPr>
      <w:r>
        <w:rPr>
          <w:rFonts w:ascii="Times New Roman" w:hAnsi="Times New Roman" w:eastAsia="Times New Roman"/>
          <w:b w:val="0"/>
          <w:i w:val="0"/>
          <w:sz w:val="24"/>
        </w:rPr>
        <w:t>Wartości testowane: {sigmoid, relu, tanh, leaky_relu}.</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587"/>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Wartość</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Max</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Max</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sigmoid</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453.6789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0.7067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452.6819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454.2384</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84.1989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0.1323</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84.0136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84.3136</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relu</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79.9199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1.6394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78.2637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82.1531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8.9156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0.4232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8.4444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9.4709</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tanh</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76.8444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3.6014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73.5616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81.8580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14.6791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0.4058</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14.2698</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15.2321</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leaky_relu</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79.8499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1.6389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78.2108</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82.0886</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8.9099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0.4251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8.4380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9.4683</w:t>
            </w:r>
          </w:p>
        </w:tc>
      </w:tr>
    </w:tbl>
    <w:p>
      <w:pPr>
        <w:spacing w:before="60" w:after="160"/>
        <w:jc w:val="center"/>
      </w:pPr>
      <w:r>
        <w:rPr>
          <w:rFonts w:ascii="Times New Roman" w:hAnsi="Times New Roman" w:eastAsia="Times New Roman"/>
          <w:b w:val="0"/>
          <w:i/>
          <w:sz w:val="20"/>
        </w:rPr>
        <w:t>Tabela 9. 5.3. Funkcja aktywacji.</w:t>
      </w:r>
    </w:p>
    <w:p>
      <w:pPr>
        <w:spacing w:after="80"/>
        <w:jc w:val="center"/>
      </w:pPr>
      <w:r>
        <w:drawing>
          <wp:inline xmlns:a="http://schemas.openxmlformats.org/drawingml/2006/main" xmlns:pic="http://schemas.openxmlformats.org/drawingml/2006/picture">
            <wp:extent cx="5436000" cy="2985193"/>
            <wp:docPr id="5" name="Picture 5"/>
            <wp:cNvGraphicFramePr>
              <a:graphicFrameLocks noChangeAspect="1"/>
            </wp:cNvGraphicFramePr>
            <a:graphic>
              <a:graphicData uri="http://schemas.openxmlformats.org/drawingml/2006/picture">
                <pic:pic>
                  <pic:nvPicPr>
                    <pic:cNvPr id="0" name="ssn_act.png"/>
                    <pic:cNvPicPr/>
                  </pic:nvPicPr>
                  <pic:blipFill>
                    <a:blip r:embed="rId13"/>
                    <a:stretch>
                      <a:fillRect/>
                    </a:stretch>
                  </pic:blipFill>
                  <pic:spPr>
                    <a:xfrm>
                      <a:off x="0" y="0"/>
                      <a:ext cx="5436000" cy="2985193"/>
                    </a:xfrm>
                    <a:prstGeom prst="rect"/>
                  </pic:spPr>
                </pic:pic>
              </a:graphicData>
            </a:graphic>
          </wp:inline>
        </w:drawing>
      </w:r>
    </w:p>
    <w:p>
      <w:pPr>
        <w:spacing w:before="60" w:after="160"/>
        <w:jc w:val="center"/>
      </w:pPr>
      <w:r>
        <w:rPr>
          <w:rFonts w:ascii="Times New Roman" w:hAnsi="Times New Roman" w:eastAsia="Times New Roman"/>
          <w:b w:val="0"/>
          <w:i/>
          <w:sz w:val="20"/>
        </w:rPr>
        <w:t>Rysunek 5. 5.3. Funkcja aktywacji - średni TEST MAPE dla badanych wariantów.</w:t>
      </w:r>
    </w:p>
    <w:p>
      <w:pPr>
        <w:spacing w:line="276" w:lineRule="auto" w:after="120" w:before="0"/>
        <w:ind w:firstLine="425"/>
      </w:pPr>
      <w:r>
        <w:rPr>
          <w:rFonts w:ascii="Times New Roman" w:hAnsi="Times New Roman" w:eastAsia="Times New Roman"/>
          <w:b w:val="0"/>
          <w:i w:val="0"/>
          <w:sz w:val="24"/>
        </w:rPr>
        <w:t>Wniosek: Najlepiej wypadły ReLU i Leaky ReLU, a sigmoid okazała się zdecydowanie najgorsza.</w:t>
      </w:r>
    </w:p>
    <w:p>
      <w:pPr>
        <w:pStyle w:val="Heading2"/>
        <w:spacing w:line="276" w:lineRule="auto" w:after="100" w:before="0"/>
      </w:pPr>
      <w:r>
        <w:rPr>
          <w:rFonts w:ascii="Times New Roman" w:hAnsi="Times New Roman" w:eastAsia="Times New Roman"/>
          <w:b/>
          <w:i w:val="0"/>
          <w:sz w:val="25"/>
        </w:rPr>
        <w:t>5.4. Liczba epok</w:t>
      </w:r>
    </w:p>
    <w:p>
      <w:pPr>
        <w:spacing w:line="276" w:lineRule="auto" w:after="120" w:before="0"/>
        <w:ind w:firstLine="425"/>
      </w:pPr>
      <w:r>
        <w:rPr>
          <w:rFonts w:ascii="Times New Roman" w:hAnsi="Times New Roman" w:eastAsia="Times New Roman"/>
          <w:b w:val="0"/>
          <w:i w:val="0"/>
          <w:sz w:val="24"/>
        </w:rPr>
        <w:t>Wartości testowane: {1000, 2000, 3000, 4000}.</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587"/>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Wartość</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Max</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Max</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1000.0000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381.7685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9.3726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369.3369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391.9669</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67.3351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2.0471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64.5271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69.3495</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2000.0000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79.9199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1.6394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78.2637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82.1531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8.9156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0.4232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8.4444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9.4709</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3000.0000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79.9199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1.6394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78.2637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82.1531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8.9156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0.4232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8.4444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9.4709</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4000.0000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79.9199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1.6394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78.2637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82.1531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8.9156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0.4232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8.4444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9.4709</w:t>
            </w:r>
          </w:p>
        </w:tc>
      </w:tr>
    </w:tbl>
    <w:p>
      <w:pPr>
        <w:spacing w:before="60" w:after="160"/>
        <w:jc w:val="center"/>
      </w:pPr>
      <w:r>
        <w:rPr>
          <w:rFonts w:ascii="Times New Roman" w:hAnsi="Times New Roman" w:eastAsia="Times New Roman"/>
          <w:b w:val="0"/>
          <w:i/>
          <w:sz w:val="20"/>
        </w:rPr>
        <w:t>Tabela 10. 5.4. Liczba epok.</w:t>
      </w:r>
    </w:p>
    <w:p>
      <w:pPr>
        <w:spacing w:after="80"/>
        <w:jc w:val="center"/>
      </w:pPr>
      <w:r>
        <w:drawing>
          <wp:inline xmlns:a="http://schemas.openxmlformats.org/drawingml/2006/main" xmlns:pic="http://schemas.openxmlformats.org/drawingml/2006/picture">
            <wp:extent cx="5436000" cy="2985193"/>
            <wp:docPr id="6" name="Picture 6"/>
            <wp:cNvGraphicFramePr>
              <a:graphicFrameLocks noChangeAspect="1"/>
            </wp:cNvGraphicFramePr>
            <a:graphic>
              <a:graphicData uri="http://schemas.openxmlformats.org/drawingml/2006/picture">
                <pic:pic>
                  <pic:nvPicPr>
                    <pic:cNvPr id="0" name="ssn_epochs.png"/>
                    <pic:cNvPicPr/>
                  </pic:nvPicPr>
                  <pic:blipFill>
                    <a:blip r:embed="rId14"/>
                    <a:stretch>
                      <a:fillRect/>
                    </a:stretch>
                  </pic:blipFill>
                  <pic:spPr>
                    <a:xfrm>
                      <a:off x="0" y="0"/>
                      <a:ext cx="5436000" cy="2985193"/>
                    </a:xfrm>
                    <a:prstGeom prst="rect"/>
                  </pic:spPr>
                </pic:pic>
              </a:graphicData>
            </a:graphic>
          </wp:inline>
        </w:drawing>
      </w:r>
    </w:p>
    <w:p>
      <w:pPr>
        <w:spacing w:before="60" w:after="160"/>
        <w:jc w:val="center"/>
      </w:pPr>
      <w:r>
        <w:rPr>
          <w:rFonts w:ascii="Times New Roman" w:hAnsi="Times New Roman" w:eastAsia="Times New Roman"/>
          <w:b w:val="0"/>
          <w:i/>
          <w:sz w:val="20"/>
        </w:rPr>
        <w:t>Rysunek 6. 5.4. Liczba epok - średni TEST MAPE dla badanych wariantów.</w:t>
      </w:r>
    </w:p>
    <w:p>
      <w:pPr>
        <w:spacing w:line="276" w:lineRule="auto" w:after="120" w:before="0"/>
        <w:ind w:firstLine="425"/>
      </w:pPr>
      <w:r>
        <w:rPr>
          <w:rFonts w:ascii="Times New Roman" w:hAnsi="Times New Roman" w:eastAsia="Times New Roman"/>
          <w:b w:val="0"/>
          <w:i w:val="0"/>
          <w:sz w:val="24"/>
        </w:rPr>
        <w:t>Wniosek: Wyniki dla 2000, 3000 i 4000 epok są identyczne dlatego, że w kodzie działa early stopping. Po ustaniu poprawy walidacyjnej uczenie zatrzymuje się wcześniej, więc wyższy limit epok nie zmienia już końcowych wag.</w:t>
      </w:r>
    </w:p>
    <w:p>
      <w:pPr>
        <w:pStyle w:val="Heading2"/>
        <w:spacing w:line="276" w:lineRule="auto" w:after="100" w:before="0"/>
      </w:pPr>
      <w:r>
        <w:rPr>
          <w:rFonts w:ascii="Times New Roman" w:hAnsi="Times New Roman" w:eastAsia="Times New Roman"/>
          <w:b/>
          <w:i w:val="0"/>
          <w:sz w:val="25"/>
        </w:rPr>
        <w:t>5.5. Liczba warstw ukrytych</w:t>
      </w:r>
    </w:p>
    <w:p>
      <w:pPr>
        <w:spacing w:line="276" w:lineRule="auto" w:after="120" w:before="0"/>
        <w:ind w:firstLine="425"/>
      </w:pPr>
      <w:r>
        <w:rPr>
          <w:rFonts w:ascii="Times New Roman" w:hAnsi="Times New Roman" w:eastAsia="Times New Roman"/>
          <w:b w:val="0"/>
          <w:i w:val="0"/>
          <w:sz w:val="24"/>
        </w:rPr>
        <w:t>Warianty: 1, 2, 3, 4 warstwy ukryte.</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587"/>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Wartość</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Max</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Max</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 hidden layer</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79.9199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1.6394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78.2637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82.1531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8.9156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0.4232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8.4444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9.4709</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 hidden layers</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459.8106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0.0884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459.6857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459.8761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85.5900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0.0151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85.5688</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85.6020</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 hidden layers</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459.9589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459.9581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459.9602</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85.6125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85.6123</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85.6126</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 hidden layers</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459.9605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459.9605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459.9605</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85.6127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85.6127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85.6127</w:t>
            </w:r>
          </w:p>
        </w:tc>
      </w:tr>
    </w:tbl>
    <w:p>
      <w:pPr>
        <w:spacing w:before="60" w:after="160"/>
        <w:jc w:val="center"/>
      </w:pPr>
      <w:r>
        <w:rPr>
          <w:rFonts w:ascii="Times New Roman" w:hAnsi="Times New Roman" w:eastAsia="Times New Roman"/>
          <w:b w:val="0"/>
          <w:i/>
          <w:sz w:val="20"/>
        </w:rPr>
        <w:t>Tabela 11. 5.5. Liczba warstw ukrytych.</w:t>
      </w:r>
    </w:p>
    <w:p>
      <w:pPr>
        <w:spacing w:after="80"/>
        <w:jc w:val="center"/>
      </w:pPr>
      <w:r>
        <w:drawing>
          <wp:inline xmlns:a="http://schemas.openxmlformats.org/drawingml/2006/main" xmlns:pic="http://schemas.openxmlformats.org/drawingml/2006/picture">
            <wp:extent cx="5436000" cy="2985193"/>
            <wp:docPr id="7" name="Picture 7"/>
            <wp:cNvGraphicFramePr>
              <a:graphicFrameLocks noChangeAspect="1"/>
            </wp:cNvGraphicFramePr>
            <a:graphic>
              <a:graphicData uri="http://schemas.openxmlformats.org/drawingml/2006/picture">
                <pic:pic>
                  <pic:nvPicPr>
                    <pic:cNvPr id="0" name="ssn_hlayers.png"/>
                    <pic:cNvPicPr/>
                  </pic:nvPicPr>
                  <pic:blipFill>
                    <a:blip r:embed="rId15"/>
                    <a:stretch>
                      <a:fillRect/>
                    </a:stretch>
                  </pic:blipFill>
                  <pic:spPr>
                    <a:xfrm>
                      <a:off x="0" y="0"/>
                      <a:ext cx="5436000" cy="2985193"/>
                    </a:xfrm>
                    <a:prstGeom prst="rect"/>
                  </pic:spPr>
                </pic:pic>
              </a:graphicData>
            </a:graphic>
          </wp:inline>
        </w:drawing>
      </w:r>
    </w:p>
    <w:p>
      <w:pPr>
        <w:spacing w:before="60" w:after="160"/>
        <w:jc w:val="center"/>
      </w:pPr>
      <w:r>
        <w:rPr>
          <w:rFonts w:ascii="Times New Roman" w:hAnsi="Times New Roman" w:eastAsia="Times New Roman"/>
          <w:b w:val="0"/>
          <w:i/>
          <w:sz w:val="20"/>
        </w:rPr>
        <w:t>Rysunek 7. 5.5. Liczba warstw ukrytych - średni TEST MAPE dla badanych wariantów.</w:t>
      </w:r>
    </w:p>
    <w:p>
      <w:pPr>
        <w:spacing w:line="276" w:lineRule="auto" w:after="120" w:before="0"/>
        <w:ind w:firstLine="425"/>
      </w:pPr>
      <w:r>
        <w:rPr>
          <w:rFonts w:ascii="Times New Roman" w:hAnsi="Times New Roman" w:eastAsia="Times New Roman"/>
          <w:b w:val="0"/>
          <w:i w:val="0"/>
          <w:sz w:val="24"/>
        </w:rPr>
        <w:t>Wniosek: Najlepsza jest sieć z jedną warstwą ukrytą. Dla 2 i więcej warstw TEST MAPE rośnie do około 85.6, co wskazuje na załamanie uczenia głębszych sieci przy tej konfiguracji.</w:t>
      </w:r>
    </w:p>
    <w:p>
      <w:pPr>
        <w:pStyle w:val="Heading2"/>
        <w:spacing w:line="276" w:lineRule="auto" w:after="100" w:before="0"/>
      </w:pPr>
      <w:r>
        <w:rPr>
          <w:rFonts w:ascii="Times New Roman" w:hAnsi="Times New Roman" w:eastAsia="Times New Roman"/>
          <w:b/>
          <w:i w:val="0"/>
          <w:sz w:val="25"/>
        </w:rPr>
        <w:t>5.6. Podział danych train/test</w:t>
      </w:r>
    </w:p>
    <w:p>
      <w:pPr>
        <w:spacing w:line="276" w:lineRule="auto" w:after="120" w:before="0"/>
        <w:ind w:firstLine="425"/>
      </w:pPr>
      <w:r>
        <w:rPr>
          <w:rFonts w:ascii="Times New Roman" w:hAnsi="Times New Roman" w:eastAsia="Times New Roman"/>
          <w:b w:val="0"/>
          <w:i w:val="0"/>
          <w:sz w:val="24"/>
        </w:rPr>
        <w:t>Warianty: 50/50, 60/40, 70/30, 80/20.</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587"/>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Wartość</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Max</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Max</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50/50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7.2753</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0.3571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6.7722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7.5651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6.8651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0.8985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5.8592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8.0404</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60/40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18.2516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1.3231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16.3826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19.2634</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10.6680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1.2217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8.9631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11.7628</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70/30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177.3642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9.4636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164.7234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187.4923</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46.6820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3.2820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42.3018</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50.2017</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80/20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57.1234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3.0642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53.2655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60.7616</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8.1119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0.2690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7.8375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8.4774</w:t>
            </w:r>
          </w:p>
        </w:tc>
      </w:tr>
    </w:tbl>
    <w:p>
      <w:pPr>
        <w:spacing w:before="60" w:after="160"/>
        <w:jc w:val="center"/>
      </w:pPr>
      <w:r>
        <w:rPr>
          <w:rFonts w:ascii="Times New Roman" w:hAnsi="Times New Roman" w:eastAsia="Times New Roman"/>
          <w:b w:val="0"/>
          <w:i/>
          <w:sz w:val="20"/>
        </w:rPr>
        <w:t>Tabela 12. 5.6. Podział danych train/test.</w:t>
      </w:r>
    </w:p>
    <w:p>
      <w:pPr>
        <w:spacing w:after="80"/>
        <w:jc w:val="center"/>
      </w:pPr>
      <w:r>
        <w:drawing>
          <wp:inline xmlns:a="http://schemas.openxmlformats.org/drawingml/2006/main" xmlns:pic="http://schemas.openxmlformats.org/drawingml/2006/picture">
            <wp:extent cx="5436000" cy="2985193"/>
            <wp:docPr id="8" name="Picture 8"/>
            <wp:cNvGraphicFramePr>
              <a:graphicFrameLocks noChangeAspect="1"/>
            </wp:cNvGraphicFramePr>
            <a:graphic>
              <a:graphicData uri="http://schemas.openxmlformats.org/drawingml/2006/picture">
                <pic:pic>
                  <pic:nvPicPr>
                    <pic:cNvPr id="0" name="ssn_split.png"/>
                    <pic:cNvPicPr/>
                  </pic:nvPicPr>
                  <pic:blipFill>
                    <a:blip r:embed="rId16"/>
                    <a:stretch>
                      <a:fillRect/>
                    </a:stretch>
                  </pic:blipFill>
                  <pic:spPr>
                    <a:xfrm>
                      <a:off x="0" y="0"/>
                      <a:ext cx="5436000" cy="2985193"/>
                    </a:xfrm>
                    <a:prstGeom prst="rect"/>
                  </pic:spPr>
                </pic:pic>
              </a:graphicData>
            </a:graphic>
          </wp:inline>
        </w:drawing>
      </w:r>
    </w:p>
    <w:p>
      <w:pPr>
        <w:spacing w:before="60" w:after="160"/>
        <w:jc w:val="center"/>
      </w:pPr>
      <w:r>
        <w:rPr>
          <w:rFonts w:ascii="Times New Roman" w:hAnsi="Times New Roman" w:eastAsia="Times New Roman"/>
          <w:b w:val="0"/>
          <w:i/>
          <w:sz w:val="20"/>
        </w:rPr>
        <w:t>Rysunek 8. 5.6. Podział danych train/test - średni TEST MAPE dla badanych wariantów.</w:t>
      </w:r>
    </w:p>
    <w:p>
      <w:pPr>
        <w:spacing w:line="276" w:lineRule="auto" w:after="120" w:before="0"/>
        <w:ind w:firstLine="425"/>
      </w:pPr>
      <w:r>
        <w:rPr>
          <w:rFonts w:ascii="Times New Roman" w:hAnsi="Times New Roman" w:eastAsia="Times New Roman"/>
          <w:b w:val="0"/>
          <w:i w:val="0"/>
          <w:sz w:val="24"/>
        </w:rPr>
        <w:t>Wniosek: Formalnie najlepszy wynik dawał wariant 50/50, ale przy danych czasowych zmiana split ratio oznacza też zmianę badanego fragmentu historii rynku, więc wyniki należy interpretować ostrożnie.</w:t>
      </w:r>
    </w:p>
    <w:p>
      <w:pPr>
        <w:pStyle w:val="Heading2"/>
        <w:spacing w:line="276" w:lineRule="auto" w:after="100" w:before="0"/>
      </w:pPr>
      <w:r>
        <w:rPr>
          <w:rFonts w:ascii="Times New Roman" w:hAnsi="Times New Roman" w:eastAsia="Times New Roman"/>
          <w:b/>
          <w:i w:val="0"/>
          <w:sz w:val="25"/>
        </w:rPr>
        <w:t>5.7. Inicjalizacja wag</w:t>
      </w:r>
    </w:p>
    <w:p>
      <w:pPr>
        <w:spacing w:line="276" w:lineRule="auto" w:after="120" w:before="0"/>
        <w:ind w:firstLine="425"/>
      </w:pPr>
      <w:r>
        <w:rPr>
          <w:rFonts w:ascii="Times New Roman" w:hAnsi="Times New Roman" w:eastAsia="Times New Roman"/>
          <w:b w:val="0"/>
          <w:i w:val="0"/>
          <w:sz w:val="24"/>
        </w:rPr>
        <w:t>Wartości testowane: {zeros, small_random, xavier, he}.</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587"/>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Wartość</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Max</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Max</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zeros</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459.9605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459.9605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459.9605</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85.6127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0.0000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85.6127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85.6127</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small_random</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79.9199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1.6394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78.2637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82.1531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8.9156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0.4232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8.4444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9.4709</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xavier</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142.1200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16.6697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124.7818</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164.6223</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9.6463</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1.0598</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8.2814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10.8651</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he</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239.0133</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149.1946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46.5567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410.1340</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17.9534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6.6863</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8.6933</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24.2415</w:t>
            </w:r>
          </w:p>
        </w:tc>
      </w:tr>
    </w:tbl>
    <w:p>
      <w:pPr>
        <w:spacing w:before="60" w:after="160"/>
        <w:jc w:val="center"/>
      </w:pPr>
      <w:r>
        <w:rPr>
          <w:rFonts w:ascii="Times New Roman" w:hAnsi="Times New Roman" w:eastAsia="Times New Roman"/>
          <w:b w:val="0"/>
          <w:i/>
          <w:sz w:val="20"/>
        </w:rPr>
        <w:t>Tabela 13. 5.7. Inicjalizacja wag.</w:t>
      </w:r>
    </w:p>
    <w:p>
      <w:pPr>
        <w:spacing w:after="80"/>
        <w:jc w:val="center"/>
      </w:pPr>
      <w:r>
        <w:drawing>
          <wp:inline xmlns:a="http://schemas.openxmlformats.org/drawingml/2006/main" xmlns:pic="http://schemas.openxmlformats.org/drawingml/2006/picture">
            <wp:extent cx="5436000" cy="2985193"/>
            <wp:docPr id="9" name="Picture 9"/>
            <wp:cNvGraphicFramePr>
              <a:graphicFrameLocks noChangeAspect="1"/>
            </wp:cNvGraphicFramePr>
            <a:graphic>
              <a:graphicData uri="http://schemas.openxmlformats.org/drawingml/2006/picture">
                <pic:pic>
                  <pic:nvPicPr>
                    <pic:cNvPr id="0" name="ssn_init.png"/>
                    <pic:cNvPicPr/>
                  </pic:nvPicPr>
                  <pic:blipFill>
                    <a:blip r:embed="rId17"/>
                    <a:stretch>
                      <a:fillRect/>
                    </a:stretch>
                  </pic:blipFill>
                  <pic:spPr>
                    <a:xfrm>
                      <a:off x="0" y="0"/>
                      <a:ext cx="5436000" cy="2985193"/>
                    </a:xfrm>
                    <a:prstGeom prst="rect"/>
                  </pic:spPr>
                </pic:pic>
              </a:graphicData>
            </a:graphic>
          </wp:inline>
        </w:drawing>
      </w:r>
    </w:p>
    <w:p>
      <w:pPr>
        <w:spacing w:before="60" w:after="160"/>
        <w:jc w:val="center"/>
      </w:pPr>
      <w:r>
        <w:rPr>
          <w:rFonts w:ascii="Times New Roman" w:hAnsi="Times New Roman" w:eastAsia="Times New Roman"/>
          <w:b w:val="0"/>
          <w:i/>
          <w:sz w:val="20"/>
        </w:rPr>
        <w:t>Rysunek 9. 5.7. Inicjalizacja wag - średni TEST MAPE dla badanych wariantów.</w:t>
      </w:r>
    </w:p>
    <w:p>
      <w:pPr>
        <w:spacing w:line="276" w:lineRule="auto" w:after="120" w:before="0"/>
        <w:ind w:firstLine="425"/>
      </w:pPr>
      <w:r>
        <w:rPr>
          <w:rFonts w:ascii="Times New Roman" w:hAnsi="Times New Roman" w:eastAsia="Times New Roman"/>
          <w:b w:val="0"/>
          <w:i w:val="0"/>
          <w:sz w:val="24"/>
        </w:rPr>
        <w:t>Wniosek: Najlepsza okazała się inicjalizacja small_random. Inicjalizacja zerami całkowicie psuła proces uczenia.</w:t>
      </w:r>
    </w:p>
    <w:p>
      <w:pPr>
        <w:pStyle w:val="Heading2"/>
        <w:spacing w:line="276" w:lineRule="auto" w:after="100" w:before="0"/>
      </w:pPr>
      <w:r>
        <w:rPr>
          <w:rFonts w:ascii="Times New Roman" w:hAnsi="Times New Roman" w:eastAsia="Times New Roman"/>
          <w:b/>
          <w:i w:val="0"/>
          <w:sz w:val="25"/>
        </w:rPr>
        <w:t>5.8. Rozmiar batcha</w:t>
      </w:r>
    </w:p>
    <w:p>
      <w:pPr>
        <w:spacing w:line="276" w:lineRule="auto" w:after="120" w:before="0"/>
        <w:ind w:firstLine="425"/>
      </w:pPr>
      <w:r>
        <w:rPr>
          <w:rFonts w:ascii="Times New Roman" w:hAnsi="Times New Roman" w:eastAsia="Times New Roman"/>
          <w:b w:val="0"/>
          <w:i w:val="0"/>
          <w:sz w:val="24"/>
        </w:rPr>
        <w:t>Wartości testowane: {full_batch, 32, 64, 128}.</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587"/>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Wartość</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Max</w:t>
            </w:r>
          </w:p>
        </w:tc>
        <w:tc>
          <w:tcPr>
            <w:tcW w:type="dxa" w:w="879"/>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Mean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Std</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Min</w:t>
            </w:r>
          </w:p>
        </w:tc>
        <w:tc>
          <w:tcPr>
            <w:tcW w:type="dxa" w:w="85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Max</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full_batch</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79.9199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1.6394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78.2637</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82.1531</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8.9156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0.4232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8.4444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9.4709</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32</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144.1546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7.1101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134.0995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149.2183</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9.7778</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0.6886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8.8264</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10.4333</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64</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114.9678</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1.4910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112.8746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116.2346</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9.6369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0.3511</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9.1725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10.0211</w:t>
            </w:r>
          </w:p>
        </w:tc>
      </w:tr>
      <w:tr>
        <w:tc>
          <w:tcPr>
            <w:tcW w:type="dxa" w:w="1587"/>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128</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97.9442</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2.6550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94.8040</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101.2969</w:t>
            </w:r>
          </w:p>
        </w:tc>
        <w:tc>
          <w:tcPr>
            <w:tcW w:type="dxa" w:w="879"/>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9.3326</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0.5125</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8.7269</w:t>
            </w:r>
          </w:p>
        </w:tc>
        <w:tc>
          <w:tcPr>
            <w:tcW w:type="dxa" w:w="85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9.9802</w:t>
            </w:r>
          </w:p>
        </w:tc>
      </w:tr>
    </w:tbl>
    <w:p>
      <w:pPr>
        <w:spacing w:before="60" w:after="160"/>
        <w:jc w:val="center"/>
      </w:pPr>
      <w:r>
        <w:rPr>
          <w:rFonts w:ascii="Times New Roman" w:hAnsi="Times New Roman" w:eastAsia="Times New Roman"/>
          <w:b w:val="0"/>
          <w:i/>
          <w:sz w:val="20"/>
        </w:rPr>
        <w:t>Tabela 14. 5.8. Rozmiar batcha.</w:t>
      </w:r>
    </w:p>
    <w:p>
      <w:pPr>
        <w:spacing w:after="80"/>
        <w:jc w:val="center"/>
      </w:pPr>
      <w:r>
        <w:drawing>
          <wp:inline xmlns:a="http://schemas.openxmlformats.org/drawingml/2006/main" xmlns:pic="http://schemas.openxmlformats.org/drawingml/2006/picture">
            <wp:extent cx="5436000" cy="2985193"/>
            <wp:docPr id="10" name="Picture 10"/>
            <wp:cNvGraphicFramePr>
              <a:graphicFrameLocks noChangeAspect="1"/>
            </wp:cNvGraphicFramePr>
            <a:graphic>
              <a:graphicData uri="http://schemas.openxmlformats.org/drawingml/2006/picture">
                <pic:pic>
                  <pic:nvPicPr>
                    <pic:cNvPr id="0" name="ssn_batch.png"/>
                    <pic:cNvPicPr/>
                  </pic:nvPicPr>
                  <pic:blipFill>
                    <a:blip r:embed="rId18"/>
                    <a:stretch>
                      <a:fillRect/>
                    </a:stretch>
                  </pic:blipFill>
                  <pic:spPr>
                    <a:xfrm>
                      <a:off x="0" y="0"/>
                      <a:ext cx="5436000" cy="2985193"/>
                    </a:xfrm>
                    <a:prstGeom prst="rect"/>
                  </pic:spPr>
                </pic:pic>
              </a:graphicData>
            </a:graphic>
          </wp:inline>
        </w:drawing>
      </w:r>
    </w:p>
    <w:p>
      <w:pPr>
        <w:spacing w:before="60" w:after="160"/>
        <w:jc w:val="center"/>
      </w:pPr>
      <w:r>
        <w:rPr>
          <w:rFonts w:ascii="Times New Roman" w:hAnsi="Times New Roman" w:eastAsia="Times New Roman"/>
          <w:b w:val="0"/>
          <w:i/>
          <w:sz w:val="20"/>
        </w:rPr>
        <w:t>Rysunek 10. 5.8. Rozmiar batcha - średni TEST MAPE dla badanych wariantów.</w:t>
      </w:r>
    </w:p>
    <w:p>
      <w:pPr>
        <w:spacing w:line="276" w:lineRule="auto" w:after="120" w:before="0"/>
        <w:ind w:firstLine="425"/>
      </w:pPr>
      <w:r>
        <w:rPr>
          <w:rFonts w:ascii="Times New Roman" w:hAnsi="Times New Roman" w:eastAsia="Times New Roman"/>
          <w:b w:val="0"/>
          <w:i w:val="0"/>
          <w:sz w:val="24"/>
        </w:rPr>
        <w:t>Wniosek: W tym projekcie najlepszy średni wynik uzyskał wariant full_batch, a klasyczne mini-batche nie przyniosły poprawy jakości.</w:t>
      </w:r>
    </w:p>
    <w:p>
      <w:pPr>
        <w:pStyle w:val="Heading1"/>
        <w:spacing w:line="276" w:lineRule="auto" w:after="100" w:before="0"/>
      </w:pPr>
      <w:r>
        <w:rPr>
          <w:rFonts w:ascii="Times New Roman" w:hAnsi="Times New Roman" w:eastAsia="Times New Roman"/>
          <w:b/>
          <w:i w:val="0"/>
          <w:color w:val="1F4E79"/>
          <w:sz w:val="28"/>
        </w:rPr>
        <w:t>6. Finalny model SSN</w:t>
      </w:r>
    </w:p>
    <w:p>
      <w:pPr>
        <w:spacing w:line="276" w:lineRule="auto" w:after="120" w:before="0"/>
        <w:ind w:firstLine="425"/>
      </w:pPr>
      <w:r>
        <w:rPr>
          <w:rFonts w:ascii="Times New Roman" w:hAnsi="Times New Roman" w:eastAsia="Times New Roman"/>
          <w:b w:val="0"/>
          <w:i w:val="0"/>
          <w:sz w:val="24"/>
        </w:rPr>
        <w:t>Finalna konfiguracja sieci neuronowej została wybrana na podstawie VAL MAPE z szerszej siatki eksperymentów. To wyjaśnia, dlaczego finalny model nie musi znajdować się w pomocniczej tabeli kandydatów zawierającej tylko wybrane warianty hidden_size = 64.</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96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Hidden size</w:t>
            </w:r>
          </w:p>
        </w:tc>
        <w:tc>
          <w:tcPr>
            <w:tcW w:type="dxa" w:w="102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Aktywacja</w:t>
            </w:r>
          </w:p>
        </w:tc>
        <w:tc>
          <w:tcPr>
            <w:tcW w:type="dxa" w:w="68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LR</w:t>
            </w:r>
          </w:p>
        </w:tc>
        <w:tc>
          <w:tcPr>
            <w:tcW w:type="dxa" w:w="68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Epoki</w:t>
            </w:r>
          </w:p>
        </w:tc>
        <w:tc>
          <w:tcPr>
            <w:tcW w:type="dxa" w:w="102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 MAPE</w:t>
            </w:r>
          </w:p>
        </w:tc>
        <w:tc>
          <w:tcPr>
            <w:tcW w:type="dxa" w:w="1020"/>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 MAPE</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RMSE</w:t>
            </w:r>
          </w:p>
        </w:tc>
        <w:tc>
          <w:tcPr>
            <w:tcW w:type="dxa" w:w="1134"/>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MAE</w:t>
            </w:r>
          </w:p>
        </w:tc>
      </w:tr>
      <w:tr>
        <w:tc>
          <w:tcPr>
            <w:tcW w:type="dxa" w:w="96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64.0000</w:t>
            </w:r>
          </w:p>
        </w:tc>
        <w:tc>
          <w:tcPr>
            <w:tcW w:type="dxa" w:w="102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relu</w:t>
            </w:r>
          </w:p>
        </w:tc>
        <w:tc>
          <w:tcPr>
            <w:tcW w:type="dxa" w:w="68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0.0100</w:t>
            </w:r>
          </w:p>
        </w:tc>
        <w:tc>
          <w:tcPr>
            <w:tcW w:type="dxa" w:w="68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2000.0000</w:t>
            </w:r>
          </w:p>
        </w:tc>
        <w:tc>
          <w:tcPr>
            <w:tcW w:type="dxa" w:w="102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79.3429</w:t>
            </w:r>
          </w:p>
        </w:tc>
        <w:tc>
          <w:tcPr>
            <w:tcW w:type="dxa" w:w="102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8.8314</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4151.5376</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2809.4542</w:t>
            </w:r>
          </w:p>
        </w:tc>
      </w:tr>
      <w:tr>
        <w:tc>
          <w:tcPr>
            <w:tcW w:type="dxa" w:w="96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64.0000</w:t>
            </w:r>
          </w:p>
        </w:tc>
        <w:tc>
          <w:tcPr>
            <w:tcW w:type="dxa" w:w="102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relu</w:t>
            </w:r>
          </w:p>
        </w:tc>
        <w:tc>
          <w:tcPr>
            <w:tcW w:type="dxa" w:w="68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0.0100</w:t>
            </w:r>
          </w:p>
        </w:tc>
        <w:tc>
          <w:tcPr>
            <w:tcW w:type="dxa" w:w="68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4000.0000</w:t>
            </w:r>
          </w:p>
        </w:tc>
        <w:tc>
          <w:tcPr>
            <w:tcW w:type="dxa" w:w="102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79.3429</w:t>
            </w:r>
          </w:p>
        </w:tc>
        <w:tc>
          <w:tcPr>
            <w:tcW w:type="dxa" w:w="102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8.8314</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4151.5376</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2809.4542</w:t>
            </w:r>
          </w:p>
        </w:tc>
      </w:tr>
      <w:tr>
        <w:tc>
          <w:tcPr>
            <w:tcW w:type="dxa" w:w="96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64.0000</w:t>
            </w:r>
          </w:p>
        </w:tc>
        <w:tc>
          <w:tcPr>
            <w:tcW w:type="dxa" w:w="102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relu</w:t>
            </w:r>
          </w:p>
        </w:tc>
        <w:tc>
          <w:tcPr>
            <w:tcW w:type="dxa" w:w="68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0.0500</w:t>
            </w:r>
          </w:p>
        </w:tc>
        <w:tc>
          <w:tcPr>
            <w:tcW w:type="dxa" w:w="68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2000.0000</w:t>
            </w:r>
          </w:p>
        </w:tc>
        <w:tc>
          <w:tcPr>
            <w:tcW w:type="dxa" w:w="102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79.4614</w:t>
            </w:r>
          </w:p>
        </w:tc>
        <w:tc>
          <w:tcPr>
            <w:tcW w:type="dxa" w:w="1020"/>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8.8450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4158.3530</w:t>
            </w:r>
          </w:p>
        </w:tc>
        <w:tc>
          <w:tcPr>
            <w:tcW w:type="dxa" w:w="1134"/>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2814.4317</w:t>
            </w:r>
          </w:p>
        </w:tc>
      </w:tr>
    </w:tbl>
    <w:p>
      <w:pPr>
        <w:spacing w:before="60" w:after="160"/>
        <w:jc w:val="center"/>
      </w:pPr>
      <w:r>
        <w:rPr>
          <w:rFonts w:ascii="Times New Roman" w:hAnsi="Times New Roman" w:eastAsia="Times New Roman"/>
          <w:b w:val="0"/>
          <w:i/>
          <w:sz w:val="20"/>
        </w:rPr>
        <w:t>Tabela 15. Pomocnicze porównanie wybranych kandydatów NN.</w:t>
      </w:r>
    </w:p>
    <w:tbl>
      <w:tblPr>
        <w:tblStyle w:val="TableGrid"/>
        <w:tblW w:type="auto" w:w="0"/>
        <w:jc w:val="center"/>
        <w:tblLook w:firstColumn="1" w:firstRow="1" w:lastColumn="0" w:lastRow="0" w:noHBand="0" w:noVBand="1" w:val="04A0"/>
      </w:tblPr>
      <w:tblGrid>
        <w:gridCol w:w="4986"/>
        <w:gridCol w:w="4986"/>
      </w:tblGrid>
      <w:tr>
        <w:tc>
          <w:tcPr>
            <w:tcW w:type="dxa" w:w="2948"/>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Parametr</w:t>
            </w:r>
          </w:p>
        </w:tc>
        <w:tc>
          <w:tcPr>
            <w:tcW w:type="dxa" w:w="2381"/>
            <w:shd w:fill="D9E2F3"/>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Wartość</w:t>
            </w:r>
          </w:p>
        </w:tc>
      </w:tr>
      <w:tr>
        <w:tc>
          <w:tcPr>
            <w:tcW w:type="dxa" w:w="2948"/>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hidden_layers</w:t>
            </w:r>
          </w:p>
        </w:tc>
        <w:tc>
          <w:tcPr>
            <w:tcW w:type="dxa" w:w="238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[16]</w:t>
            </w:r>
          </w:p>
        </w:tc>
      </w:tr>
      <w:tr>
        <w:tc>
          <w:tcPr>
            <w:tcW w:type="dxa" w:w="2948"/>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activation</w:t>
            </w:r>
          </w:p>
        </w:tc>
        <w:tc>
          <w:tcPr>
            <w:tcW w:type="dxa" w:w="238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relu</w:t>
            </w:r>
          </w:p>
        </w:tc>
      </w:tr>
      <w:tr>
        <w:tc>
          <w:tcPr>
            <w:tcW w:type="dxa" w:w="2948"/>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learning_rate</w:t>
            </w:r>
          </w:p>
        </w:tc>
        <w:tc>
          <w:tcPr>
            <w:tcW w:type="dxa" w:w="238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0.01</w:t>
            </w:r>
          </w:p>
        </w:tc>
      </w:tr>
      <w:tr>
        <w:tc>
          <w:tcPr>
            <w:tcW w:type="dxa" w:w="2948"/>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epochs</w:t>
            </w:r>
          </w:p>
        </w:tc>
        <w:tc>
          <w:tcPr>
            <w:tcW w:type="dxa" w:w="238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3000</w:t>
            </w:r>
          </w:p>
        </w:tc>
      </w:tr>
      <w:tr>
        <w:tc>
          <w:tcPr>
            <w:tcW w:type="dxa" w:w="2948"/>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initialization</w:t>
            </w:r>
          </w:p>
        </w:tc>
        <w:tc>
          <w:tcPr>
            <w:tcW w:type="dxa" w:w="238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small_random</w:t>
            </w:r>
          </w:p>
        </w:tc>
      </w:tr>
      <w:tr>
        <w:tc>
          <w:tcPr>
            <w:tcW w:type="dxa" w:w="2948"/>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batch_size</w:t>
            </w:r>
          </w:p>
        </w:tc>
        <w:tc>
          <w:tcPr>
            <w:tcW w:type="dxa" w:w="238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full_batch</w:t>
            </w:r>
          </w:p>
        </w:tc>
      </w:tr>
      <w:tr>
        <w:tc>
          <w:tcPr>
            <w:tcW w:type="dxa" w:w="2948"/>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TRAIN_MAPE</w:t>
            </w:r>
          </w:p>
        </w:tc>
        <w:tc>
          <w:tcPr>
            <w:tcW w:type="dxa" w:w="238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74.8004</w:t>
            </w:r>
          </w:p>
        </w:tc>
      </w:tr>
      <w:tr>
        <w:tc>
          <w:tcPr>
            <w:tcW w:type="dxa" w:w="2948"/>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VAL_MAPE</w:t>
            </w:r>
          </w:p>
        </w:tc>
        <w:tc>
          <w:tcPr>
            <w:tcW w:type="dxa" w:w="238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5.5649</w:t>
            </w:r>
          </w:p>
        </w:tc>
      </w:tr>
      <w:tr>
        <w:tc>
          <w:tcPr>
            <w:tcW w:type="dxa" w:w="2948"/>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TEST_MAPE</w:t>
            </w:r>
          </w:p>
        </w:tc>
        <w:tc>
          <w:tcPr>
            <w:tcW w:type="dxa" w:w="238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8.1737</w:t>
            </w:r>
          </w:p>
        </w:tc>
      </w:tr>
      <w:tr>
        <w:tc>
          <w:tcPr>
            <w:tcW w:type="dxa" w:w="2948"/>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TEST_RMSE</w:t>
            </w:r>
          </w:p>
        </w:tc>
        <w:tc>
          <w:tcPr>
            <w:tcW w:type="dxa" w:w="238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3850.0889</w:t>
            </w:r>
          </w:p>
        </w:tc>
      </w:tr>
      <w:tr>
        <w:tc>
          <w:tcPr>
            <w:tcW w:type="dxa" w:w="2948"/>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TEST_MAE</w:t>
            </w:r>
          </w:p>
        </w:tc>
        <w:tc>
          <w:tcPr>
            <w:tcW w:type="dxa" w:w="2381"/>
            <w:vAlign w:val="center"/>
            <w:tcMar>
              <w:top w:w="70" w:type="dxa"/>
              <w:start w:w="90" w:type="dxa"/>
              <w:bottom w:w="70" w:type="dxa"/>
              <w:end w:w="90" w:type="dxa"/>
            </w:tcMar>
          </w:tcPr>
          <w:p>
            <w:pPr>
              <w:spacing w:after="0" w:before="0" w:line="240" w:lineRule="auto"/>
              <w:jc w:val="center"/>
            </w:pPr>
            <w:r>
              <w:rPr>
                <w:rFonts w:ascii="Times New Roman" w:hAnsi="Times New Roman" w:eastAsia="Times New Roman"/>
                <w:b w:val="0"/>
                <w:i w:val="0"/>
                <w:sz w:val="16"/>
              </w:rPr>
              <w:t>2593.3963</w:t>
            </w:r>
          </w:p>
        </w:tc>
      </w:tr>
    </w:tbl>
    <w:p>
      <w:pPr>
        <w:spacing w:before="60" w:after="160"/>
        <w:jc w:val="center"/>
      </w:pPr>
      <w:r>
        <w:rPr>
          <w:rFonts w:ascii="Times New Roman" w:hAnsi="Times New Roman" w:eastAsia="Times New Roman"/>
          <w:b w:val="0"/>
          <w:i/>
          <w:sz w:val="20"/>
        </w:rPr>
        <w:t>Tabela 16. Ostateczna konfiguracja i metryki finalnej SSN.</w:t>
      </w:r>
    </w:p>
    <w:p>
      <w:pPr>
        <w:spacing w:line="276" w:lineRule="auto" w:after="120" w:before="0"/>
        <w:ind w:firstLine="425"/>
      </w:pPr>
      <w:r>
        <w:rPr>
          <w:rFonts w:ascii="Times New Roman" w:hAnsi="Times New Roman" w:eastAsia="Times New Roman"/>
          <w:b w:val="0"/>
          <w:i w:val="0"/>
          <w:sz w:val="24"/>
        </w:rPr>
        <w:t>Warto zwrócić uwagę, że TRAIN MAPE finalnego modelu jest dużo wyższy niż TEST MAPE. Nie musi to oznaczać błędu obliczeniowego: MAPE jest bardzo wrażliwe na małe wartości mianownika, a wcześniejsze lata notowań Bitcoina w zbiorze treningowym zawierają dużo niższe poziomy cen niż późniejszy fragment testowy.</w:t>
      </w:r>
    </w:p>
    <w:p>
      <w:pPr>
        <w:pStyle w:val="Heading1"/>
        <w:spacing w:line="276" w:lineRule="auto" w:after="100" w:before="0"/>
      </w:pPr>
      <w:r>
        <w:rPr>
          <w:rFonts w:ascii="Times New Roman" w:hAnsi="Times New Roman" w:eastAsia="Times New Roman"/>
          <w:b/>
          <w:i w:val="0"/>
          <w:color w:val="1F4E79"/>
          <w:sz w:val="28"/>
        </w:rPr>
        <w:t>7. Podsumowanie i wnioski końcowe</w:t>
      </w:r>
    </w:p>
    <w:p>
      <w:pPr>
        <w:spacing w:line="276" w:lineRule="auto" w:after="120" w:before="0"/>
        <w:ind w:firstLine="425"/>
      </w:pPr>
      <w:r>
        <w:rPr>
          <w:rFonts w:ascii="Times New Roman" w:hAnsi="Times New Roman" w:eastAsia="Times New Roman"/>
          <w:b w:val="0"/>
          <w:i w:val="0"/>
          <w:sz w:val="24"/>
        </w:rPr>
        <w:t>Po uwzględnieniu wszystkich plików ostatniej finalnej wersji projektu widać wyraźnie, że najmocniejszym elementem części regresyjnej nie jest sama SSN, lecz szerokie porównanie metod uczenia maszynowego. Najlepsze wyniki osiągają najprostsze modele oparte na poprzednich wartościach, a bardzo dobrze wypada też odpowiednio dostrojona regresja liniowa.</w:t>
      </w:r>
    </w:p>
    <w:p>
      <w:pPr>
        <w:spacing w:line="276" w:lineRule="auto" w:after="120" w:before="0"/>
        <w:ind w:firstLine="425"/>
      </w:pPr>
      <w:r>
        <w:rPr>
          <w:rFonts w:ascii="Times New Roman" w:hAnsi="Times New Roman" w:eastAsia="Times New Roman"/>
          <w:b w:val="0"/>
          <w:i w:val="0"/>
          <w:sz w:val="24"/>
        </w:rPr>
        <w:t>Część SSN spełnia wymagania projektu dzięki analizie ośmiu parametrów, wielokrotnym uruchomieniom i wyborowi finalnej konfiguracji po walidacji. Jednocześnie raport zachowuje uczciwy charakter badawczy: finalna sieć neuronowa nie jest tutaj najlepszą metodą ogólnie i ustępuje baseline’om oraz najlepszemu wariantowi regresji liniowej.</w:t>
      </w:r>
    </w:p>
    <w:p>
      <w:pPr>
        <w:pStyle w:val="Heading1"/>
        <w:spacing w:line="276" w:lineRule="auto" w:after="100" w:before="0"/>
      </w:pPr>
      <w:r>
        <w:rPr>
          <w:rFonts w:ascii="Times New Roman" w:hAnsi="Times New Roman" w:eastAsia="Times New Roman"/>
          <w:b/>
          <w:i w:val="0"/>
          <w:color w:val="1F4E79"/>
          <w:sz w:val="28"/>
        </w:rPr>
        <w:t>Bibliografia</w:t>
      </w:r>
    </w:p>
    <w:p>
      <w:pPr>
        <w:spacing w:after="80"/>
        <w:ind w:left="283" w:hanging="283"/>
      </w:pPr>
      <w:r>
        <w:rPr>
          <w:rFonts w:ascii="Times New Roman" w:hAnsi="Times New Roman" w:eastAsia="Times New Roman"/>
          <w:b w:val="0"/>
          <w:i w:val="0"/>
          <w:sz w:val="22"/>
        </w:rPr>
        <w:t>[1] McNally S., Roche J., Caton S., Predicting the Price of Bitcoin Using Machine Learning, 2018 IEEE 26th International Conference on Parallel, Distributed and Network-Based Processing Workshops.</w:t>
      </w:r>
    </w:p>
    <w:p>
      <w:pPr>
        <w:spacing w:after="80"/>
        <w:ind w:left="283" w:hanging="283"/>
      </w:pPr>
      <w:r>
        <w:rPr>
          <w:rFonts w:ascii="Times New Roman" w:hAnsi="Times New Roman" w:eastAsia="Times New Roman"/>
          <w:b w:val="0"/>
          <w:i w:val="0"/>
          <w:sz w:val="22"/>
        </w:rPr>
        <w:t>[2] Mallqui D.C.A., Fernandes R.A.S., Predicting the direction, maximum, minimum and closing prices of daily Bitcoin exchange rate using machine learning techniques, Applied Soft Computing, 75, 2019, s. 596-606.</w:t>
      </w:r>
    </w:p>
    <w:p>
      <w:pPr>
        <w:spacing w:after="80"/>
        <w:ind w:left="283" w:hanging="283"/>
      </w:pPr>
      <w:r>
        <w:rPr>
          <w:rFonts w:ascii="Times New Roman" w:hAnsi="Times New Roman" w:eastAsia="Times New Roman"/>
          <w:b w:val="0"/>
          <w:i w:val="0"/>
          <w:sz w:val="22"/>
        </w:rPr>
        <w:t>[3] Ji S., Kim J., Im H., A Comparative Study of Bitcoin Price Prediction Using Deep Learning, Mathematics, 7(10), 2019.</w:t>
      </w:r>
    </w:p>
    <w:p>
      <w:pPr>
        <w:spacing w:after="80"/>
        <w:ind w:left="283" w:hanging="283"/>
      </w:pPr>
      <w:r>
        <w:rPr>
          <w:rFonts w:ascii="Times New Roman" w:hAnsi="Times New Roman" w:eastAsia="Times New Roman"/>
          <w:b w:val="0"/>
          <w:i w:val="0"/>
          <w:sz w:val="22"/>
        </w:rPr>
        <w:t>[4] Dataset: Cryptocurrency Historical Prices, Kaggle, plik coin_Bitcoin.csv.</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