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
      </w:pPr>
      <w:r>
        <w:t xml:space="preserve"/>
      </w:r>
    </w:p>
    <w:p>
      <w:pPr>
        <w:spacing w:after="60" w:before="0"/>
        <w:jc w:val="center"/>
      </w:pPr>
      <w:r>
        <w:rPr>
          <w:rFonts w:ascii="Arial" w:cs="Arial" w:eastAsia="Arial" w:hAnsi="Arial"/>
          <w:b/>
          <w:bCs/>
          <w:color w:val="1B5E20"/>
          <w:sz w:val="48"/>
          <w:szCs w:val="48"/>
        </w:rPr>
        <w:t xml:space="preserve">DESCRIPTIF DU PROJET</w:t>
      </w:r>
    </w:p>
    <w:p>
      <w:pPr>
        <w:spacing w:after="60" w:before="0"/>
        <w:jc w:val="center"/>
      </w:pPr>
      <w:r>
        <w:rPr>
          <w:rFonts w:ascii="Arial" w:cs="Arial" w:eastAsia="Arial" w:hAnsi="Arial"/>
          <w:i/>
          <w:iCs/>
          <w:color w:val="444444"/>
          <w:sz w:val="28"/>
          <w:szCs w:val="28"/>
        </w:rPr>
        <w:t xml:space="preserve">Méthodes et Applications en Finance et Gestion de Portefeuille</w:t>
      </w:r>
    </w:p>
    <w:p>
      <w:pPr>
        <w:spacing w:after="200" w:before="0"/>
        <w:jc w:val="center"/>
      </w:pPr>
      <w:r>
        <w:rPr>
          <w:rFonts w:ascii="Arial" w:cs="Arial" w:eastAsia="Arial" w:hAnsi="Arial"/>
          <w:color w:val="666666"/>
          <w:sz w:val="22"/>
          <w:szCs w:val="22"/>
        </w:rPr>
        <w:t xml:space="preserve">Université Sorbonne Paris Nord — Master 1 MBFA — Année 2025/2026</w:t>
      </w:r>
    </w:p>
    <w:p>
      <w:pPr>
        <w:pBdr>
          <w:bottom w:val="single" w:color="1B5E20" w:sz="8" w:space="4"/>
        </w:pBdr>
        <w:spacing w:after="120" w:before="300"/>
      </w:pPr>
      <w:r>
        <w:rPr>
          <w:rFonts w:ascii="Arial" w:cs="Arial" w:eastAsia="Arial" w:hAnsi="Arial"/>
          <w:b/>
          <w:bCs/>
          <w:color w:val="1B5E20"/>
          <w:sz w:val="30"/>
          <w:szCs w:val="30"/>
        </w:rPr>
        <w:t xml:space="preserve">1. Fiche d'identité du projet</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CCCCCC" w:sz="1"/>
              <w:left w:val="single" w:color="CCCCCC" w:sz="1"/>
              <w:bottom w:val="single" w:color="CCCCCC" w:sz="1"/>
              <w:right w:val="single" w:color="CCCCCC" w:sz="1"/>
            </w:tcBorders>
            <w:shd w:fill="C8E6C9" w:val="clear"/>
            <w:tcMar>
              <w:top w:type="dxa" w:w="80"/>
              <w:left w:type="dxa" w:w="150"/>
              <w:bottom w:type="dxa" w:w="80"/>
              <w:right w:type="dxa" w:w="150"/>
            </w:tcMar>
            <w:vAlign w:val="center"/>
          </w:tcPr>
          <w:p>
            <w:pPr>
              <w:jc w:val="left"/>
            </w:pPr>
            <w:r>
              <w:rPr>
                <w:rFonts w:ascii="Arial" w:cs="Arial" w:eastAsia="Arial" w:hAnsi="Arial"/>
                <w:b/>
                <w:bCs/>
                <w:color w:val="333333"/>
                <w:sz w:val="20"/>
                <w:szCs w:val="20"/>
              </w:rPr>
              <w:t xml:space="preserve">Module</w:t>
            </w:r>
          </w:p>
        </w:tc>
        <w:tc>
          <w:tcPr>
            <w:tcW w:type="dxa" w:w="6838"/>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MEAFGP — Méthodes et Applications en Finance et Gestion de Portefeuille</w:t>
            </w:r>
          </w:p>
        </w:tc>
      </w:tr>
      <w:tr>
        <w:tc>
          <w:tcPr>
            <w:tcW w:type="dxa" w:w="2800"/>
            <w:tcBorders>
              <w:top w:val="single" w:color="CCCCCC" w:sz="1"/>
              <w:left w:val="single" w:color="CCCCCC" w:sz="1"/>
              <w:bottom w:val="single" w:color="CCCCCC" w:sz="1"/>
              <w:right w:val="single" w:color="CCCCCC" w:sz="1"/>
            </w:tcBorders>
            <w:shd w:fill="C8E6C9" w:val="clear"/>
            <w:tcMar>
              <w:top w:type="dxa" w:w="80"/>
              <w:left w:type="dxa" w:w="150"/>
              <w:bottom w:type="dxa" w:w="80"/>
              <w:right w:type="dxa" w:w="150"/>
            </w:tcMar>
            <w:vAlign w:val="center"/>
          </w:tcPr>
          <w:p>
            <w:pPr>
              <w:jc w:val="left"/>
            </w:pPr>
            <w:r>
              <w:rPr>
                <w:rFonts w:ascii="Arial" w:cs="Arial" w:eastAsia="Arial" w:hAnsi="Arial"/>
                <w:b/>
                <w:bCs/>
                <w:color w:val="333333"/>
                <w:sz w:val="20"/>
                <w:szCs w:val="20"/>
              </w:rPr>
              <w:t xml:space="preserve">Établissement</w:t>
            </w:r>
          </w:p>
        </w:tc>
        <w:tc>
          <w:tcPr>
            <w:tcW w:type="dxa" w:w="683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Université Sorbonne Paris Nord</w:t>
            </w:r>
          </w:p>
        </w:tc>
      </w:tr>
      <w:tr>
        <w:tc>
          <w:tcPr>
            <w:tcW w:type="dxa" w:w="2800"/>
            <w:tcBorders>
              <w:top w:val="single" w:color="CCCCCC" w:sz="1"/>
              <w:left w:val="single" w:color="CCCCCC" w:sz="1"/>
              <w:bottom w:val="single" w:color="CCCCCC" w:sz="1"/>
              <w:right w:val="single" w:color="CCCCCC" w:sz="1"/>
            </w:tcBorders>
            <w:shd w:fill="C8E6C9" w:val="clear"/>
            <w:tcMar>
              <w:top w:type="dxa" w:w="80"/>
              <w:left w:type="dxa" w:w="150"/>
              <w:bottom w:type="dxa" w:w="80"/>
              <w:right w:type="dxa" w:w="150"/>
            </w:tcMar>
            <w:vAlign w:val="center"/>
          </w:tcPr>
          <w:p>
            <w:pPr>
              <w:jc w:val="left"/>
            </w:pPr>
            <w:r>
              <w:rPr>
                <w:rFonts w:ascii="Arial" w:cs="Arial" w:eastAsia="Arial" w:hAnsi="Arial"/>
                <w:b/>
                <w:bCs/>
                <w:color w:val="333333"/>
                <w:sz w:val="20"/>
                <w:szCs w:val="20"/>
              </w:rPr>
              <w:t xml:space="preserve">Formation</w:t>
            </w:r>
          </w:p>
        </w:tc>
        <w:tc>
          <w:tcPr>
            <w:tcW w:type="dxa" w:w="6838"/>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Master 1 — Marchés Bancaires et Financiers Appliqués (MBFA)</w:t>
            </w:r>
          </w:p>
        </w:tc>
      </w:tr>
      <w:tr>
        <w:tc>
          <w:tcPr>
            <w:tcW w:type="dxa" w:w="2800"/>
            <w:tcBorders>
              <w:top w:val="single" w:color="CCCCCC" w:sz="1"/>
              <w:left w:val="single" w:color="CCCCCC" w:sz="1"/>
              <w:bottom w:val="single" w:color="CCCCCC" w:sz="1"/>
              <w:right w:val="single" w:color="CCCCCC" w:sz="1"/>
            </w:tcBorders>
            <w:shd w:fill="C8E6C9" w:val="clear"/>
            <w:tcMar>
              <w:top w:type="dxa" w:w="80"/>
              <w:left w:type="dxa" w:w="150"/>
              <w:bottom w:type="dxa" w:w="80"/>
              <w:right w:type="dxa" w:w="150"/>
            </w:tcMar>
            <w:vAlign w:val="center"/>
          </w:tcPr>
          <w:p>
            <w:pPr>
              <w:jc w:val="left"/>
            </w:pPr>
            <w:r>
              <w:rPr>
                <w:rFonts w:ascii="Arial" w:cs="Arial" w:eastAsia="Arial" w:hAnsi="Arial"/>
                <w:b/>
                <w:bCs/>
                <w:color w:val="333333"/>
                <w:sz w:val="20"/>
                <w:szCs w:val="20"/>
              </w:rPr>
              <w:t xml:space="preserve">Auteur</w:t>
            </w:r>
          </w:p>
        </w:tc>
        <w:tc>
          <w:tcPr>
            <w:tcW w:type="dxa" w:w="683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TRAORE</w:t>
            </w:r>
          </w:p>
        </w:tc>
      </w:tr>
      <w:tr>
        <w:tc>
          <w:tcPr>
            <w:tcW w:type="dxa" w:w="2800"/>
            <w:tcBorders>
              <w:top w:val="single" w:color="CCCCCC" w:sz="1"/>
              <w:left w:val="single" w:color="CCCCCC" w:sz="1"/>
              <w:bottom w:val="single" w:color="CCCCCC" w:sz="1"/>
              <w:right w:val="single" w:color="CCCCCC" w:sz="1"/>
            </w:tcBorders>
            <w:shd w:fill="C8E6C9" w:val="clear"/>
            <w:tcMar>
              <w:top w:type="dxa" w:w="80"/>
              <w:left w:type="dxa" w:w="150"/>
              <w:bottom w:type="dxa" w:w="80"/>
              <w:right w:type="dxa" w:w="150"/>
            </w:tcMar>
            <w:vAlign w:val="center"/>
          </w:tcPr>
          <w:p>
            <w:pPr>
              <w:jc w:val="left"/>
            </w:pPr>
            <w:r>
              <w:rPr>
                <w:rFonts w:ascii="Arial" w:cs="Arial" w:eastAsia="Arial" w:hAnsi="Arial"/>
                <w:b/>
                <w:bCs/>
                <w:color w:val="333333"/>
                <w:sz w:val="20"/>
                <w:szCs w:val="20"/>
              </w:rPr>
              <w:t xml:space="preserve">Année académique</w:t>
            </w:r>
          </w:p>
        </w:tc>
        <w:tc>
          <w:tcPr>
            <w:tcW w:type="dxa" w:w="6838"/>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2025 / 2026</w:t>
            </w:r>
          </w:p>
        </w:tc>
      </w:tr>
      <w:tr>
        <w:tc>
          <w:tcPr>
            <w:tcW w:type="dxa" w:w="2800"/>
            <w:tcBorders>
              <w:top w:val="single" w:color="CCCCCC" w:sz="1"/>
              <w:left w:val="single" w:color="CCCCCC" w:sz="1"/>
              <w:bottom w:val="single" w:color="CCCCCC" w:sz="1"/>
              <w:right w:val="single" w:color="CCCCCC" w:sz="1"/>
            </w:tcBorders>
            <w:shd w:fill="C8E6C9" w:val="clear"/>
            <w:tcMar>
              <w:top w:type="dxa" w:w="80"/>
              <w:left w:type="dxa" w:w="150"/>
              <w:bottom w:type="dxa" w:w="80"/>
              <w:right w:type="dxa" w:w="150"/>
            </w:tcMar>
            <w:vAlign w:val="center"/>
          </w:tcPr>
          <w:p>
            <w:pPr>
              <w:jc w:val="left"/>
            </w:pPr>
            <w:r>
              <w:rPr>
                <w:rFonts w:ascii="Arial" w:cs="Arial" w:eastAsia="Arial" w:hAnsi="Arial"/>
                <w:b/>
                <w:bCs/>
                <w:color w:val="333333"/>
                <w:sz w:val="20"/>
                <w:szCs w:val="20"/>
              </w:rPr>
              <w:t xml:space="preserve">Contact</w:t>
            </w:r>
          </w:p>
        </w:tc>
        <w:tc>
          <w:tcPr>
            <w:tcW w:type="dxa" w:w="683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tsory728@gmail.com</w:t>
            </w:r>
          </w:p>
        </w:tc>
      </w:tr>
    </w:tbl>
    <w:p>
      <w:pPr>
        <w:pBdr>
          <w:bottom w:val="single" w:color="1B5E20" w:sz="8" w:space="4"/>
        </w:pBdr>
        <w:spacing w:after="120" w:before="300"/>
      </w:pPr>
      <w:r>
        <w:rPr>
          <w:rFonts w:ascii="Arial" w:cs="Arial" w:eastAsia="Arial" w:hAnsi="Arial"/>
          <w:b/>
          <w:bCs/>
          <w:color w:val="1B5E20"/>
          <w:sz w:val="30"/>
          <w:szCs w:val="30"/>
        </w:rPr>
        <w:t xml:space="preserve">2. Présentation générale</w:t>
      </w:r>
    </w:p>
    <w:p>
      <w:pPr>
        <w:spacing w:after="80" w:before="80"/>
      </w:pPr>
      <w:r>
        <w:rPr>
          <w:rFonts w:ascii="Arial" w:cs="Arial" w:eastAsia="Arial" w:hAnsi="Arial"/>
          <w:b w:val="false"/>
          <w:bCs w:val="false"/>
          <w:color w:val="333333"/>
          <w:sz w:val="20"/>
          <w:szCs w:val="20"/>
        </w:rPr>
        <w:t xml:space="preserve">Ce projet porte sur la construction et l'analyse d'un portefeuille financier optimisé composé de 10 actions cotées au FTSE 100 (indice boursier britannique). L'étude couvre la période 2013–2022, avec un suivi de performance sur le mois de mars 2026.</w:t>
      </w:r>
    </w:p>
    <w:p>
      <w:pPr>
        <w:spacing w:after="80" w:before="80"/>
      </w:pPr>
      <w:r>
        <w:rPr>
          <w:rFonts w:ascii="Arial" w:cs="Arial" w:eastAsia="Arial" w:hAnsi="Arial"/>
          <w:b w:val="false"/>
          <w:bCs w:val="false"/>
          <w:color w:val="333333"/>
          <w:sz w:val="20"/>
          <w:szCs w:val="20"/>
        </w:rPr>
        <w:t xml:space="preserve">L'objectif est d'appliquer les modèles classiques de la théorie moderne du portefeuille (Markowitz, Sharpe, Elton-Gruber) pour sélectionner et optimiser un portefeuille d'investissement, puis d'évaluer ses performances face au marché.</w:t>
      </w:r>
    </w:p>
    <w:p>
      <w:pPr>
        <w:pBdr>
          <w:bottom w:val="single" w:color="1B5E20" w:sz="8" w:space="4"/>
        </w:pBdr>
        <w:spacing w:after="120" w:before="300"/>
      </w:pPr>
      <w:r>
        <w:rPr>
          <w:rFonts w:ascii="Arial" w:cs="Arial" w:eastAsia="Arial" w:hAnsi="Arial"/>
          <w:b/>
          <w:bCs/>
          <w:color w:val="1B5E20"/>
          <w:sz w:val="30"/>
          <w:szCs w:val="30"/>
        </w:rPr>
        <w:t xml:space="preserve">3. Les 10 actions étudiées (FTSE 100)</w:t>
      </w:r>
    </w:p>
    <w:p>
      <w:pPr>
        <w:spacing w:after="0" w:before="8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400"/>
        <w:gridCol w:w="3000"/>
        <w:gridCol w:w="3238"/>
        <w:gridCol w:w="2000"/>
      </w:tblGrid>
      <w:tr>
        <w:trPr>
          <w:tblHeader/>
        </w:trPr>
        <w:tc>
          <w:tcPr>
            <w:tcW w:type="dxa" w:w="1400"/>
            <w:tcBorders>
              <w:top w:val="single" w:color="AAAAAA" w:sz="1"/>
              <w:left w:val="single" w:color="AAAAAA" w:sz="1"/>
              <w:bottom w:val="single" w:color="AAAAAA" w:sz="1"/>
              <w:right w:val="single" w:color="AAAAAA"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Ticker</w:t>
            </w:r>
          </w:p>
        </w:tc>
        <w:tc>
          <w:tcPr>
            <w:tcW w:type="dxa" w:w="3000"/>
            <w:tcBorders>
              <w:top w:val="single" w:color="AAAAAA" w:sz="1"/>
              <w:left w:val="single" w:color="AAAAAA" w:sz="1"/>
              <w:bottom w:val="single" w:color="AAAAAA" w:sz="1"/>
              <w:right w:val="single" w:color="AAAAAA"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Entreprise</w:t>
            </w:r>
          </w:p>
        </w:tc>
        <w:tc>
          <w:tcPr>
            <w:tcW w:type="dxa" w:w="3238"/>
            <w:tcBorders>
              <w:top w:val="single" w:color="AAAAAA" w:sz="1"/>
              <w:left w:val="single" w:color="AAAAAA" w:sz="1"/>
              <w:bottom w:val="single" w:color="AAAAAA" w:sz="1"/>
              <w:right w:val="single" w:color="AAAAAA"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Secteur d'activité</w:t>
            </w:r>
          </w:p>
        </w:tc>
        <w:tc>
          <w:tcPr>
            <w:tcW w:type="dxa" w:w="2000"/>
            <w:tcBorders>
              <w:top w:val="single" w:color="AAAAAA" w:sz="1"/>
              <w:left w:val="single" w:color="AAAAAA" w:sz="1"/>
              <w:bottom w:val="single" w:color="AAAAAA" w:sz="1"/>
              <w:right w:val="single" w:color="AAAAAA"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Marché</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SHEL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Shell</w:t>
            </w:r>
          </w:p>
        </w:tc>
        <w:tc>
          <w:tcPr>
            <w:tcW w:type="dxa" w:w="323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Énergie — Pétrole &amp; Gaz</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FTSE 100</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GSK</w:t>
            </w:r>
          </w:p>
        </w:tc>
        <w:tc>
          <w:tcPr>
            <w:tcW w:type="dxa" w:w="30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GlaxoSmithKline</w:t>
            </w:r>
          </w:p>
        </w:tc>
        <w:tc>
          <w:tcPr>
            <w:tcW w:type="dxa" w:w="3238"/>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Santé &amp; Pharmacie</w:t>
            </w:r>
          </w:p>
        </w:tc>
        <w:tc>
          <w:tcPr>
            <w:tcW w:type="dxa" w:w="20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FTSE 100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DGE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Diageo</w:t>
            </w:r>
          </w:p>
        </w:tc>
        <w:tc>
          <w:tcPr>
            <w:tcW w:type="dxa" w:w="323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Boissons &amp; Alcools (luxe)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FTSE 100</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GLEN</w:t>
            </w:r>
          </w:p>
        </w:tc>
        <w:tc>
          <w:tcPr>
            <w:tcW w:type="dxa" w:w="30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Glencore</w:t>
            </w:r>
          </w:p>
        </w:tc>
        <w:tc>
          <w:tcPr>
            <w:tcW w:type="dxa" w:w="3238"/>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Matières premières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FTSE 100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NWG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NatWest Group</w:t>
            </w:r>
          </w:p>
        </w:tc>
        <w:tc>
          <w:tcPr>
            <w:tcW w:type="dxa" w:w="323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Banque &amp; Finance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FTSE 100</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AZN</w:t>
            </w:r>
          </w:p>
        </w:tc>
        <w:tc>
          <w:tcPr>
            <w:tcW w:type="dxa" w:w="30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AstraZeneca</w:t>
            </w:r>
          </w:p>
        </w:tc>
        <w:tc>
          <w:tcPr>
            <w:tcW w:type="dxa" w:w="3238"/>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Pharmacie &amp; Biotechnologie</w:t>
            </w:r>
          </w:p>
        </w:tc>
        <w:tc>
          <w:tcPr>
            <w:tcW w:type="dxa" w:w="20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FTSE 100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BATS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British American Tobacco</w:t>
            </w:r>
          </w:p>
        </w:tc>
        <w:tc>
          <w:tcPr>
            <w:tcW w:type="dxa" w:w="323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Tabac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FTSE 100</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RTO</w:t>
            </w:r>
          </w:p>
        </w:tc>
        <w:tc>
          <w:tcPr>
            <w:tcW w:type="dxa" w:w="30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Rentokil Initial</w:t>
            </w:r>
          </w:p>
        </w:tc>
        <w:tc>
          <w:tcPr>
            <w:tcW w:type="dxa" w:w="3238"/>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Services aux entreprises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FTSE 100</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National Grid</w:t>
            </w:r>
          </w:p>
        </w:tc>
        <w:tc>
          <w:tcPr>
            <w:tcW w:type="dxa" w:w="323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Énergie — Utilities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FTSE 100</w:t>
            </w:r>
          </w:p>
        </w:tc>
      </w:tr>
      <w:tr>
        <w:tc>
          <w:tcPr>
            <w:tcW w:type="dxa" w:w="14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LSEG</w:t>
            </w:r>
          </w:p>
        </w:tc>
        <w:tc>
          <w:tcPr>
            <w:tcW w:type="dxa" w:w="30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London Stock Exchange Group</w:t>
            </w:r>
          </w:p>
        </w:tc>
        <w:tc>
          <w:tcPr>
            <w:tcW w:type="dxa" w:w="3238"/>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Services financiers</w:t>
            </w:r>
          </w:p>
        </w:tc>
        <w:tc>
          <w:tcPr>
            <w:tcW w:type="dxa" w:w="20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FTSE 100</w:t>
            </w:r>
          </w:p>
        </w:tc>
      </w:tr>
    </w:tbl>
    <w:p>
      <w:pPr>
        <w:pBdr>
          <w:bottom w:val="single" w:color="1B5E20" w:sz="8" w:space="4"/>
        </w:pBdr>
        <w:spacing w:after="120" w:before="300"/>
      </w:pPr>
      <w:r>
        <w:rPr>
          <w:rFonts w:ascii="Arial" w:cs="Arial" w:eastAsia="Arial" w:hAnsi="Arial"/>
          <w:b/>
          <w:bCs/>
          <w:color w:val="1B5E20"/>
          <w:sz w:val="30"/>
          <w:szCs w:val="30"/>
        </w:rPr>
        <w:t xml:space="preserve">4. Méthodologie</w:t>
      </w:r>
    </w:p>
    <w:p>
      <w:pPr>
        <w:spacing w:after="80" w:before="80"/>
      </w:pPr>
      <w:r>
        <w:rPr>
          <w:rFonts w:ascii="Arial" w:cs="Arial" w:eastAsia="Arial" w:hAnsi="Arial"/>
          <w:b w:val="false"/>
          <w:bCs w:val="false"/>
          <w:color w:val="333333"/>
          <w:sz w:val="20"/>
          <w:szCs w:val="20"/>
        </w:rPr>
        <w:t xml:space="preserve">Le projet repose sur quatre étapes méthodologiques successives :</w:t>
      </w:r>
    </w:p>
    <w:p>
      <w:pPr>
        <w:spacing w:after="0" w:before="60"/>
      </w:pPr>
      <w:r>
        <w:t xml:space="preserve"/>
      </w:r>
    </w:p>
    <w:p>
      <w:pPr>
        <w:spacing w:after="80" w:before="80"/>
      </w:pPr>
      <w:r>
        <w:rPr>
          <w:rFonts w:ascii="Arial" w:cs="Arial" w:eastAsia="Arial" w:hAnsi="Arial"/>
          <w:b/>
          <w:bCs/>
          <w:color w:val="333333"/>
          <w:sz w:val="20"/>
          <w:szCs w:val="20"/>
        </w:rPr>
        <w:t xml:space="preserve">a) Statistiques descriptives</w:t>
      </w:r>
    </w:p>
    <w:p>
      <w:pPr>
        <w:spacing w:after="60" w:before="60"/>
        <w:ind w:left="360" w:hanging="240"/>
      </w:pPr>
      <w:r>
        <w:rPr>
          <w:rFonts w:ascii="Arial" w:cs="Arial" w:eastAsia="Arial" w:hAnsi="Arial"/>
          <w:b/>
          <w:bCs/>
          <w:color w:val="2E7D32"/>
          <w:sz w:val="20"/>
          <w:szCs w:val="20"/>
        </w:rPr>
        <w:t xml:space="preserve">• </w:t>
      </w:r>
      <w:r>
        <w:rPr>
          <w:rFonts w:ascii="Arial" w:cs="Arial" w:eastAsia="Arial" w:hAnsi="Arial"/>
          <w:color w:val="333333"/>
          <w:sz w:val="20"/>
          <w:szCs w:val="20"/>
        </w:rPr>
        <w:t xml:space="preserve">Calcul des rendements journaliers et annualisés pour chaque action</w:t>
      </w:r>
    </w:p>
    <w:p>
      <w:pPr>
        <w:spacing w:after="60" w:before="60"/>
        <w:ind w:left="360" w:hanging="240"/>
      </w:pPr>
      <w:r>
        <w:rPr>
          <w:rFonts w:ascii="Arial" w:cs="Arial" w:eastAsia="Arial" w:hAnsi="Arial"/>
          <w:b/>
          <w:bCs/>
          <w:color w:val="2E7D32"/>
          <w:sz w:val="20"/>
          <w:szCs w:val="20"/>
        </w:rPr>
        <w:t xml:space="preserve">• </w:t>
      </w:r>
      <w:r>
        <w:rPr>
          <w:rFonts w:ascii="Arial" w:cs="Arial" w:eastAsia="Arial" w:hAnsi="Arial"/>
          <w:color w:val="333333"/>
          <w:sz w:val="20"/>
          <w:szCs w:val="20"/>
        </w:rPr>
        <w:t xml:space="preserve">Analyse de la volatilité, de l'asymétrie (skewness) et de l'aplatissement (kurtosis)</w:t>
      </w:r>
    </w:p>
    <w:p>
      <w:pPr>
        <w:spacing w:after="60" w:before="60"/>
        <w:ind w:left="360" w:hanging="240"/>
      </w:pPr>
      <w:r>
        <w:rPr>
          <w:rFonts w:ascii="Arial" w:cs="Arial" w:eastAsia="Arial" w:hAnsi="Arial"/>
          <w:b/>
          <w:bCs/>
          <w:color w:val="2E7D32"/>
          <w:sz w:val="20"/>
          <w:szCs w:val="20"/>
        </w:rPr>
        <w:t xml:space="preserve">• </w:t>
      </w:r>
      <w:r>
        <w:rPr>
          <w:rFonts w:ascii="Arial" w:cs="Arial" w:eastAsia="Arial" w:hAnsi="Arial"/>
          <w:color w:val="333333"/>
          <w:sz w:val="20"/>
          <w:szCs w:val="20"/>
        </w:rPr>
        <w:t xml:space="preserve">Construction de la matrice de corrélation (10×10)</w:t>
      </w:r>
    </w:p>
    <w:p>
      <w:pPr>
        <w:spacing w:after="0" w:before="60"/>
      </w:pPr>
      <w:r>
        <w:t xml:space="preserve"/>
      </w:r>
    </w:p>
    <w:p>
      <w:pPr>
        <w:spacing w:after="80" w:before="80"/>
      </w:pPr>
      <w:r>
        <w:rPr>
          <w:rFonts w:ascii="Arial" w:cs="Arial" w:eastAsia="Arial" w:hAnsi="Arial"/>
          <w:b/>
          <w:bCs/>
          <w:color w:val="333333"/>
          <w:sz w:val="20"/>
          <w:szCs w:val="20"/>
        </w:rPr>
        <w:t xml:space="preserve">b) Modèle de Markowitz — Frontière efficiente</w:t>
      </w:r>
    </w:p>
    <w:p>
      <w:pPr>
        <w:spacing w:after="60" w:before="60"/>
        <w:ind w:left="360" w:hanging="240"/>
      </w:pPr>
      <w:r>
        <w:rPr>
          <w:rFonts w:ascii="Arial" w:cs="Arial" w:eastAsia="Arial" w:hAnsi="Arial"/>
          <w:b/>
          <w:bCs/>
          <w:color w:val="2E7D32"/>
          <w:sz w:val="20"/>
          <w:szCs w:val="20"/>
        </w:rPr>
        <w:t xml:space="preserve">• </w:t>
      </w:r>
      <w:r>
        <w:rPr>
          <w:rFonts w:ascii="Arial" w:cs="Arial" w:eastAsia="Arial" w:hAnsi="Arial"/>
          <w:color w:val="333333"/>
          <w:sz w:val="20"/>
          <w:szCs w:val="20"/>
        </w:rPr>
        <w:t xml:space="preserve">Construction de la frontière efficiente par optimisation quadratique</w:t>
      </w:r>
    </w:p>
    <w:p>
      <w:pPr>
        <w:spacing w:after="60" w:before="60"/>
        <w:ind w:left="360" w:hanging="240"/>
      </w:pPr>
      <w:r>
        <w:rPr>
          <w:rFonts w:ascii="Arial" w:cs="Arial" w:eastAsia="Arial" w:hAnsi="Arial"/>
          <w:b/>
          <w:bCs/>
          <w:color w:val="2E7D32"/>
          <w:sz w:val="20"/>
          <w:szCs w:val="20"/>
        </w:rPr>
        <w:t xml:space="preserve">• </w:t>
      </w:r>
      <w:r>
        <w:rPr>
          <w:rFonts w:ascii="Arial" w:cs="Arial" w:eastAsia="Arial" w:hAnsi="Arial"/>
          <w:color w:val="333333"/>
          <w:sz w:val="20"/>
          <w:szCs w:val="20"/>
        </w:rPr>
        <w:t xml:space="preserve">Identification du Portefeuille à Variance Minimale (PMin)</w:t>
      </w:r>
    </w:p>
    <w:p>
      <w:pPr>
        <w:spacing w:after="60" w:before="60"/>
        <w:ind w:left="360" w:hanging="240"/>
      </w:pPr>
      <w:r>
        <w:rPr>
          <w:rFonts w:ascii="Arial" w:cs="Arial" w:eastAsia="Arial" w:hAnsi="Arial"/>
          <w:b/>
          <w:bCs/>
          <w:color w:val="2E7D32"/>
          <w:sz w:val="20"/>
          <w:szCs w:val="20"/>
        </w:rPr>
        <w:t xml:space="preserve">• </w:t>
      </w:r>
      <w:r>
        <w:rPr>
          <w:rFonts w:ascii="Arial" w:cs="Arial" w:eastAsia="Arial" w:hAnsi="Arial"/>
          <w:color w:val="333333"/>
          <w:sz w:val="20"/>
          <w:szCs w:val="20"/>
        </w:rPr>
        <w:t xml:space="preserve">Solution analytique : w* = λΩ⁻¹1 + γΩ⁻¹μ</w:t>
      </w:r>
    </w:p>
    <w:p>
      <w:pPr>
        <w:spacing w:after="60" w:before="60"/>
        <w:ind w:left="360" w:hanging="240"/>
      </w:pPr>
      <w:r>
        <w:rPr>
          <w:rFonts w:ascii="Arial" w:cs="Arial" w:eastAsia="Arial" w:hAnsi="Arial"/>
          <w:b/>
          <w:bCs/>
          <w:color w:val="2E7D32"/>
          <w:sz w:val="20"/>
          <w:szCs w:val="20"/>
        </w:rPr>
        <w:t xml:space="preserve">• </w:t>
      </w:r>
      <w:r>
        <w:rPr>
          <w:rFonts w:ascii="Arial" w:cs="Arial" w:eastAsia="Arial" w:hAnsi="Arial"/>
          <w:color w:val="333333"/>
          <w:sz w:val="20"/>
          <w:szCs w:val="20"/>
        </w:rPr>
        <w:t xml:space="preserve">PMin retenu comme portefeuille cible : performance optimale en période de baisse</w:t>
      </w:r>
    </w:p>
    <w:p>
      <w:pPr>
        <w:spacing w:after="0" w:before="60"/>
      </w:pPr>
      <w:r>
        <w:t xml:space="preserve"/>
      </w:r>
    </w:p>
    <w:p>
      <w:pPr>
        <w:spacing w:after="80" w:before="80"/>
      </w:pPr>
      <w:r>
        <w:rPr>
          <w:rFonts w:ascii="Arial" w:cs="Arial" w:eastAsia="Arial" w:hAnsi="Arial"/>
          <w:b/>
          <w:bCs/>
          <w:color w:val="333333"/>
          <w:sz w:val="20"/>
          <w:szCs w:val="20"/>
        </w:rPr>
        <w:t xml:space="preserve">c) Modèle de Sharpe — Modèle de marché</w:t>
      </w:r>
    </w:p>
    <w:p>
      <w:pPr>
        <w:spacing w:after="60" w:before="60"/>
        <w:ind w:left="360" w:hanging="240"/>
      </w:pPr>
      <w:r>
        <w:rPr>
          <w:rFonts w:ascii="Arial" w:cs="Arial" w:eastAsia="Arial" w:hAnsi="Arial"/>
          <w:b/>
          <w:bCs/>
          <w:color w:val="2E7D32"/>
          <w:sz w:val="20"/>
          <w:szCs w:val="20"/>
        </w:rPr>
        <w:t xml:space="preserve">• </w:t>
      </w:r>
      <w:r>
        <w:rPr>
          <w:rFonts w:ascii="Arial" w:cs="Arial" w:eastAsia="Arial" w:hAnsi="Arial"/>
          <w:color w:val="333333"/>
          <w:sz w:val="20"/>
          <w:szCs w:val="20"/>
        </w:rPr>
        <w:t xml:space="preserve">Régression de chaque action sur l'indice FTSE 100 (variable explicative)</w:t>
      </w:r>
    </w:p>
    <w:p>
      <w:pPr>
        <w:spacing w:after="60" w:before="60"/>
        <w:ind w:left="360" w:hanging="240"/>
      </w:pPr>
      <w:r>
        <w:rPr>
          <w:rFonts w:ascii="Arial" w:cs="Arial" w:eastAsia="Arial" w:hAnsi="Arial"/>
          <w:b/>
          <w:bCs/>
          <w:color w:val="2E7D32"/>
          <w:sz w:val="20"/>
          <w:szCs w:val="20"/>
        </w:rPr>
        <w:t xml:space="preserve">• </w:t>
      </w:r>
      <w:r>
        <w:rPr>
          <w:rFonts w:ascii="Arial" w:cs="Arial" w:eastAsia="Arial" w:hAnsi="Arial"/>
          <w:color w:val="333333"/>
          <w:sz w:val="20"/>
          <w:szCs w:val="20"/>
        </w:rPr>
        <w:t xml:space="preserve">Estimation des coefficients α (alpha) et β (bêta) pour chaque titre</w:t>
      </w:r>
    </w:p>
    <w:p>
      <w:pPr>
        <w:spacing w:after="60" w:before="60"/>
        <w:ind w:left="360" w:hanging="240"/>
      </w:pPr>
      <w:r>
        <w:rPr>
          <w:rFonts w:ascii="Arial" w:cs="Arial" w:eastAsia="Arial" w:hAnsi="Arial"/>
          <w:b/>
          <w:bCs/>
          <w:color w:val="2E7D32"/>
          <w:sz w:val="20"/>
          <w:szCs w:val="20"/>
        </w:rPr>
        <w:t xml:space="preserve">• </w:t>
      </w:r>
      <w:r>
        <w:rPr>
          <w:rFonts w:ascii="Arial" w:cs="Arial" w:eastAsia="Arial" w:hAnsi="Arial"/>
          <w:color w:val="333333"/>
          <w:sz w:val="20"/>
          <w:szCs w:val="20"/>
        </w:rPr>
        <w:t xml:space="preserve">Rapport complet ToolPak : ANOVA, intervalles de confiance à 95%, résidus</w:t>
      </w:r>
    </w:p>
    <w:p>
      <w:pPr>
        <w:spacing w:after="0" w:before="60"/>
      </w:pPr>
      <w:r>
        <w:t xml:space="preserve"/>
      </w:r>
    </w:p>
    <w:p>
      <w:pPr>
        <w:spacing w:after="80" w:before="80"/>
      </w:pPr>
      <w:r>
        <w:rPr>
          <w:rFonts w:ascii="Arial" w:cs="Arial" w:eastAsia="Arial" w:hAnsi="Arial"/>
          <w:b/>
          <w:bCs/>
          <w:color w:val="333333"/>
          <w:sz w:val="20"/>
          <w:szCs w:val="20"/>
        </w:rPr>
        <w:t xml:space="preserve">d) Sélection par la méthode Elton-Gruber (C*)</w:t>
      </w:r>
    </w:p>
    <w:p>
      <w:pPr>
        <w:spacing w:after="60" w:before="60"/>
        <w:ind w:left="360" w:hanging="240"/>
      </w:pPr>
      <w:r>
        <w:rPr>
          <w:rFonts w:ascii="Arial" w:cs="Arial" w:eastAsia="Arial" w:hAnsi="Arial"/>
          <w:b/>
          <w:bCs/>
          <w:color w:val="2E7D32"/>
          <w:sz w:val="20"/>
          <w:szCs w:val="20"/>
        </w:rPr>
        <w:t xml:space="preserve">• </w:t>
      </w:r>
      <w:r>
        <w:rPr>
          <w:rFonts w:ascii="Arial" w:cs="Arial" w:eastAsia="Arial" w:hAnsi="Arial"/>
          <w:color w:val="333333"/>
          <w:sz w:val="20"/>
          <w:szCs w:val="20"/>
        </w:rPr>
        <w:t xml:space="preserve">Classement des 10 titres par ratio de Treynor décroissant</w:t>
      </w:r>
    </w:p>
    <w:p>
      <w:pPr>
        <w:spacing w:after="60" w:before="60"/>
        <w:ind w:left="360" w:hanging="240"/>
      </w:pPr>
      <w:r>
        <w:rPr>
          <w:rFonts w:ascii="Arial" w:cs="Arial" w:eastAsia="Arial" w:hAnsi="Arial"/>
          <w:b/>
          <w:bCs/>
          <w:color w:val="2E7D32"/>
          <w:sz w:val="20"/>
          <w:szCs w:val="20"/>
        </w:rPr>
        <w:t xml:space="preserve">• </w:t>
      </w:r>
      <w:r>
        <w:rPr>
          <w:rFonts w:ascii="Arial" w:cs="Arial" w:eastAsia="Arial" w:hAnsi="Arial"/>
          <w:color w:val="333333"/>
          <w:sz w:val="20"/>
          <w:szCs w:val="20"/>
        </w:rPr>
        <w:t xml:space="preserve">Calcul du seuil optimal C* = 0,054</w:t>
      </w:r>
    </w:p>
    <w:p>
      <w:pPr>
        <w:spacing w:after="60" w:before="60"/>
        <w:ind w:left="360" w:hanging="240"/>
      </w:pPr>
      <w:r>
        <w:rPr>
          <w:rFonts w:ascii="Arial" w:cs="Arial" w:eastAsia="Arial" w:hAnsi="Arial"/>
          <w:b/>
          <w:bCs/>
          <w:color w:val="2E7D32"/>
          <w:sz w:val="20"/>
          <w:szCs w:val="20"/>
        </w:rPr>
        <w:t xml:space="preserve">• </w:t>
      </w:r>
      <w:r>
        <w:rPr>
          <w:rFonts w:ascii="Arial" w:cs="Arial" w:eastAsia="Arial" w:hAnsi="Arial"/>
          <w:color w:val="333333"/>
          <w:sz w:val="20"/>
          <w:szCs w:val="20"/>
        </w:rPr>
        <w:t xml:space="preserve">Portefeuille retenu : RTO (85,13%) + DGE (14,87%)</w:t>
      </w:r>
    </w:p>
    <w:p>
      <w:pPr>
        <w:pBdr>
          <w:bottom w:val="single" w:color="1B5E20" w:sz="8" w:space="4"/>
        </w:pBdr>
        <w:spacing w:after="120" w:before="300"/>
      </w:pPr>
      <w:r>
        <w:rPr>
          <w:rFonts w:ascii="Arial" w:cs="Arial" w:eastAsia="Arial" w:hAnsi="Arial"/>
          <w:b/>
          <w:bCs/>
          <w:color w:val="1B5E20"/>
          <w:sz w:val="30"/>
          <w:szCs w:val="30"/>
        </w:rPr>
        <w:t xml:space="preserve">5. Résultats principaux</w:t>
      </w:r>
    </w:p>
    <w:p>
      <w:pPr>
        <w:spacing w:after="80" w:before="80"/>
      </w:pPr>
      <w:r>
        <w:rPr>
          <w:rFonts w:ascii="Arial" w:cs="Arial" w:eastAsia="Arial" w:hAnsi="Arial"/>
          <w:b w:val="false"/>
          <w:bCs w:val="false"/>
          <w:color w:val="333333"/>
          <w:sz w:val="20"/>
          <w:szCs w:val="20"/>
        </w:rPr>
        <w:t xml:space="preserve">Portefeuille à Variance Minimale (PMin) — Markowitz :</w:t>
      </w:r>
    </w:p>
    <w:p>
      <w:pPr>
        <w:spacing w:after="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3219"/>
        <w:gridCol w:w="3219"/>
      </w:tblGrid>
      <w:tr>
        <w:trPr>
          <w:tblHeader/>
        </w:trPr>
        <w:tc>
          <w:tcPr>
            <w:tcW w:type="dxa" w:w="3200"/>
            <w:tcBorders>
              <w:top w:val="single" w:color="AAAAAA" w:sz="1"/>
              <w:left w:val="single" w:color="AAAAAA" w:sz="1"/>
              <w:bottom w:val="single" w:color="AAAAAA" w:sz="1"/>
              <w:right w:val="single" w:color="AAAAAA"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Indicateur</w:t>
            </w:r>
          </w:p>
        </w:tc>
        <w:tc>
          <w:tcPr>
            <w:tcW w:type="dxa" w:w="3219"/>
            <w:tcBorders>
              <w:top w:val="single" w:color="AAAAAA" w:sz="1"/>
              <w:left w:val="single" w:color="AAAAAA" w:sz="1"/>
              <w:bottom w:val="single" w:color="AAAAAA" w:sz="1"/>
              <w:right w:val="single" w:color="AAAAAA"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PMin (Markowitz)</w:t>
            </w:r>
          </w:p>
        </w:tc>
        <w:tc>
          <w:tcPr>
            <w:tcW w:type="dxa" w:w="3219"/>
            <w:tcBorders>
              <w:top w:val="single" w:color="AAAAAA" w:sz="1"/>
              <w:left w:val="single" w:color="AAAAAA" w:sz="1"/>
              <w:bottom w:val="single" w:color="AAAAAA" w:sz="1"/>
              <w:right w:val="single" w:color="AAAAAA"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Sharpe Optimal (Elton-Gruber)</w:t>
            </w:r>
          </w:p>
        </w:tc>
      </w:tr>
      <w:tr>
        <w:tc>
          <w:tcPr>
            <w:tcW w:type="dxa" w:w="3200"/>
            <w:tcBorders>
              <w:top w:val="single" w:color="CCCCCC" w:sz="1"/>
              <w:left w:val="single" w:color="CCCCCC" w:sz="1"/>
              <w:bottom w:val="single" w:color="CCCCCC" w:sz="1"/>
              <w:right w:val="single" w:color="CCCCCC" w:sz="1"/>
            </w:tcBorders>
            <w:shd w:fill="C8E6C9" w:val="clear"/>
            <w:tcMar>
              <w:top w:type="dxa" w:w="80"/>
              <w:left w:type="dxa" w:w="150"/>
              <w:bottom w:type="dxa" w:w="80"/>
              <w:right w:type="dxa" w:w="150"/>
            </w:tcMar>
            <w:vAlign w:val="center"/>
          </w:tcPr>
          <w:p>
            <w:pPr>
              <w:jc w:val="left"/>
            </w:pPr>
            <w:r>
              <w:rPr>
                <w:rFonts w:ascii="Arial" w:cs="Arial" w:eastAsia="Arial" w:hAnsi="Arial"/>
                <w:b/>
                <w:bCs/>
                <w:color w:val="333333"/>
                <w:sz w:val="20"/>
                <w:szCs w:val="20"/>
              </w:rPr>
              <w:t xml:space="preserve">Rendement annualisé</w:t>
            </w:r>
          </w:p>
        </w:tc>
        <w:tc>
          <w:tcPr>
            <w:tcW w:type="dxa" w:w="3219"/>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~6,2 %</w:t>
            </w:r>
          </w:p>
        </w:tc>
        <w:tc>
          <w:tcPr>
            <w:tcW w:type="dxa" w:w="3219"/>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~9,1 %</w:t>
            </w:r>
          </w:p>
        </w:tc>
      </w:tr>
      <w:tr>
        <w:tc>
          <w:tcPr>
            <w:tcW w:type="dxa" w:w="3200"/>
            <w:tcBorders>
              <w:top w:val="single" w:color="CCCCCC" w:sz="1"/>
              <w:left w:val="single" w:color="CCCCCC" w:sz="1"/>
              <w:bottom w:val="single" w:color="CCCCCC" w:sz="1"/>
              <w:right w:val="single" w:color="CCCCCC" w:sz="1"/>
            </w:tcBorders>
            <w:shd w:fill="C8E6C9" w:val="clear"/>
            <w:tcMar>
              <w:top w:type="dxa" w:w="80"/>
              <w:left w:type="dxa" w:w="150"/>
              <w:bottom w:type="dxa" w:w="80"/>
              <w:right w:type="dxa" w:w="150"/>
            </w:tcMar>
            <w:vAlign w:val="center"/>
          </w:tcPr>
          <w:p>
            <w:pPr>
              <w:jc w:val="left"/>
            </w:pPr>
            <w:r>
              <w:rPr>
                <w:rFonts w:ascii="Arial" w:cs="Arial" w:eastAsia="Arial" w:hAnsi="Arial"/>
                <w:b/>
                <w:bCs/>
                <w:color w:val="333333"/>
                <w:sz w:val="20"/>
                <w:szCs w:val="20"/>
              </w:rPr>
              <w:t xml:space="preserve">Volatilité annualisée</w:t>
            </w:r>
          </w:p>
        </w:tc>
        <w:tc>
          <w:tcPr>
            <w:tcW w:type="dxa" w:w="3219"/>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~14,5 %</w:t>
            </w:r>
          </w:p>
        </w:tc>
        <w:tc>
          <w:tcPr>
            <w:tcW w:type="dxa" w:w="3219"/>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~18,3 %</w:t>
            </w:r>
          </w:p>
        </w:tc>
      </w:tr>
      <w:tr>
        <w:tc>
          <w:tcPr>
            <w:tcW w:type="dxa" w:w="3200"/>
            <w:tcBorders>
              <w:top w:val="single" w:color="CCCCCC" w:sz="1"/>
              <w:left w:val="single" w:color="CCCCCC" w:sz="1"/>
              <w:bottom w:val="single" w:color="CCCCCC" w:sz="1"/>
              <w:right w:val="single" w:color="CCCCCC" w:sz="1"/>
            </w:tcBorders>
            <w:shd w:fill="C8E6C9" w:val="clear"/>
            <w:tcMar>
              <w:top w:type="dxa" w:w="80"/>
              <w:left w:type="dxa" w:w="150"/>
              <w:bottom w:type="dxa" w:w="80"/>
              <w:right w:type="dxa" w:w="150"/>
            </w:tcMar>
            <w:vAlign w:val="center"/>
          </w:tcPr>
          <w:p>
            <w:pPr>
              <w:jc w:val="left"/>
            </w:pPr>
            <w:r>
              <w:rPr>
                <w:rFonts w:ascii="Arial" w:cs="Arial" w:eastAsia="Arial" w:hAnsi="Arial"/>
                <w:b/>
                <w:bCs/>
                <w:color w:val="333333"/>
                <w:sz w:val="20"/>
                <w:szCs w:val="20"/>
              </w:rPr>
              <w:t xml:space="preserve">Ratio de Sharpe</w:t>
            </w:r>
          </w:p>
        </w:tc>
        <w:tc>
          <w:tcPr>
            <w:tcW w:type="dxa" w:w="3219"/>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0,43</w:t>
            </w:r>
          </w:p>
        </w:tc>
        <w:tc>
          <w:tcPr>
            <w:tcW w:type="dxa" w:w="3219"/>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0,50</w:t>
            </w:r>
          </w:p>
        </w:tc>
      </w:tr>
      <w:tr>
        <w:tc>
          <w:tcPr>
            <w:tcW w:type="dxa" w:w="3200"/>
            <w:tcBorders>
              <w:top w:val="single" w:color="CCCCCC" w:sz="1"/>
              <w:left w:val="single" w:color="CCCCCC" w:sz="1"/>
              <w:bottom w:val="single" w:color="CCCCCC" w:sz="1"/>
              <w:right w:val="single" w:color="CCCCCC" w:sz="1"/>
            </w:tcBorders>
            <w:shd w:fill="C8E6C9" w:val="clear"/>
            <w:tcMar>
              <w:top w:type="dxa" w:w="80"/>
              <w:left w:type="dxa" w:w="150"/>
              <w:bottom w:type="dxa" w:w="80"/>
              <w:right w:type="dxa" w:w="150"/>
            </w:tcMar>
            <w:vAlign w:val="center"/>
          </w:tcPr>
          <w:p>
            <w:pPr>
              <w:jc w:val="left"/>
            </w:pPr>
            <w:r>
              <w:rPr>
                <w:rFonts w:ascii="Arial" w:cs="Arial" w:eastAsia="Arial" w:hAnsi="Arial"/>
                <w:b/>
                <w:bCs/>
                <w:color w:val="333333"/>
                <w:sz w:val="20"/>
                <w:szCs w:val="20"/>
              </w:rPr>
              <w:t xml:space="preserve">Performance mars 2026</w:t>
            </w:r>
          </w:p>
        </w:tc>
        <w:tc>
          <w:tcPr>
            <w:tcW w:type="dxa" w:w="3219"/>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-2,87 %</w:t>
            </w:r>
          </w:p>
        </w:tc>
        <w:tc>
          <w:tcPr>
            <w:tcW w:type="dxa" w:w="3219"/>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center"/>
            </w:pPr>
            <w:r>
              <w:rPr>
                <w:rFonts w:ascii="Arial" w:cs="Arial" w:eastAsia="Arial" w:hAnsi="Arial"/>
                <w:b/>
                <w:bCs/>
                <w:color w:val="333333"/>
                <w:sz w:val="20"/>
                <w:szCs w:val="20"/>
              </w:rPr>
              <w:t xml:space="preserve">-3,40 %</w:t>
            </w:r>
          </w:p>
        </w:tc>
      </w:tr>
    </w:tbl>
    <w:p>
      <w:pPr>
        <w:spacing w:after="0" w:before="80"/>
      </w:pPr>
      <w:r>
        <w:t xml:space="preserve"/>
      </w:r>
    </w:p>
    <w:p>
      <w:pPr>
        <w:spacing w:after="80" w:before="80"/>
      </w:pPr>
      <w:r>
        <w:rPr>
          <w:rFonts w:ascii="Arial" w:cs="Arial" w:eastAsia="Arial" w:hAnsi="Arial"/>
          <w:b w:val="false"/>
          <w:bCs w:val="false"/>
          <w:color w:val="333333"/>
          <w:sz w:val="20"/>
          <w:szCs w:val="20"/>
        </w:rPr>
        <w:t xml:space="preserve">En mars 2026, le FTSE 100 a reculé de -5,95%. Les deux portefeuilles optimisés ont largement surperformé le marché, ce qui valide l'approche de Markowitz pour la protection du capital en période de stress.</w:t>
      </w:r>
    </w:p>
    <w:p>
      <w:pPr>
        <w:pBdr>
          <w:bottom w:val="single" w:color="1B5E20" w:sz="8" w:space="4"/>
        </w:pBdr>
        <w:spacing w:after="120" w:before="300"/>
      </w:pPr>
      <w:r>
        <w:rPr>
          <w:rFonts w:ascii="Arial" w:cs="Arial" w:eastAsia="Arial" w:hAnsi="Arial"/>
          <w:b/>
          <w:bCs/>
          <w:color w:val="1B5E20"/>
          <w:sz w:val="30"/>
          <w:szCs w:val="30"/>
        </w:rPr>
        <w:t xml:space="preserve">6. Suivi hebdomadaire — Mars 2026</w:t>
      </w:r>
    </w:p>
    <w:p>
      <w:pPr>
        <w:spacing w:after="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200"/>
        <w:gridCol w:w="1719"/>
        <w:gridCol w:w="1719"/>
      </w:tblGrid>
      <w:tr>
        <w:trPr>
          <w:tblHeader/>
        </w:trPr>
        <w:tc>
          <w:tcPr>
            <w:tcW w:type="dxa" w:w="1800"/>
            <w:tcBorders>
              <w:top w:val="single" w:color="AAAAAA" w:sz="1"/>
              <w:left w:val="single" w:color="AAAAAA" w:sz="1"/>
              <w:bottom w:val="single" w:color="AAAAAA" w:sz="1"/>
              <w:right w:val="single" w:color="AAAAAA"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Date</w:t>
            </w:r>
          </w:p>
        </w:tc>
        <w:tc>
          <w:tcPr>
            <w:tcW w:type="dxa" w:w="2200"/>
            <w:tcBorders>
              <w:top w:val="single" w:color="AAAAAA" w:sz="1"/>
              <w:left w:val="single" w:color="AAAAAA" w:sz="1"/>
              <w:bottom w:val="single" w:color="AAAAAA" w:sz="1"/>
              <w:right w:val="single" w:color="AAAAAA"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FTSE 100</w:t>
            </w:r>
          </w:p>
        </w:tc>
        <w:tc>
          <w:tcPr>
            <w:tcW w:type="dxa" w:w="2200"/>
            <w:tcBorders>
              <w:top w:val="single" w:color="AAAAAA" w:sz="1"/>
              <w:left w:val="single" w:color="AAAAAA" w:sz="1"/>
              <w:bottom w:val="single" w:color="AAAAAA" w:sz="1"/>
              <w:right w:val="single" w:color="AAAAAA"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PMin (Markowitz)</w:t>
            </w:r>
          </w:p>
        </w:tc>
        <w:tc>
          <w:tcPr>
            <w:tcW w:type="dxa" w:w="1719"/>
            <w:tcBorders>
              <w:top w:val="single" w:color="AAAAAA" w:sz="1"/>
              <w:left w:val="single" w:color="AAAAAA" w:sz="1"/>
              <w:bottom w:val="single" w:color="AAAAAA" w:sz="1"/>
              <w:right w:val="single" w:color="AAAAAA"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Sharpe Opt.</w:t>
            </w:r>
          </w:p>
        </w:tc>
        <w:tc>
          <w:tcPr>
            <w:tcW w:type="dxa" w:w="1719"/>
            <w:tcBorders>
              <w:top w:val="single" w:color="AAAAAA" w:sz="1"/>
              <w:left w:val="single" w:color="AAAAAA" w:sz="1"/>
              <w:bottom w:val="single" w:color="AAAAAA" w:sz="1"/>
              <w:right w:val="single" w:color="AAAAAA"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Événement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333333"/>
                <w:sz w:val="20"/>
                <w:szCs w:val="20"/>
              </w:rPr>
              <w:t xml:space="preserve">27 fév. (réf.)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10 910 (base 100)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100,00</w:t>
            </w:r>
          </w:p>
        </w:tc>
        <w:tc>
          <w:tcPr>
            <w:tcW w:type="dxa" w:w="1719"/>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100,00</w:t>
            </w:r>
          </w:p>
        </w:tc>
        <w:tc>
          <w:tcPr>
            <w:tcW w:type="dxa" w:w="1719"/>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Point de départ</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left"/>
            </w:pPr>
            <w:r>
              <w:rPr>
                <w:rFonts w:ascii="Arial" w:cs="Arial" w:eastAsia="Arial" w:hAnsi="Arial"/>
                <w:b/>
                <w:bCs/>
                <w:color w:val="333333"/>
                <w:sz w:val="20"/>
                <w:szCs w:val="20"/>
              </w:rPr>
              <w:t xml:space="preserve">6 mars</w:t>
            </w:r>
          </w:p>
        </w:tc>
        <w:tc>
          <w:tcPr>
            <w:tcW w:type="dxa" w:w="22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10 560 (-3,21 %)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102,08 (+2,08 %)</w:t>
            </w:r>
          </w:p>
        </w:tc>
        <w:tc>
          <w:tcPr>
            <w:tcW w:type="dxa" w:w="1719"/>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101,85</w:t>
            </w:r>
          </w:p>
        </w:tc>
        <w:tc>
          <w:tcPr>
            <w:tcW w:type="dxa" w:w="1719"/>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Rentokil +12 %</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333333"/>
                <w:sz w:val="20"/>
                <w:szCs w:val="20"/>
              </w:rPr>
              <w:t xml:space="preserve">13 mars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10 410 (-4,58 %)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100,46 (+0,46 %)</w:t>
            </w:r>
          </w:p>
        </w:tc>
        <w:tc>
          <w:tcPr>
            <w:tcW w:type="dxa" w:w="1719"/>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100,15</w:t>
            </w:r>
          </w:p>
        </w:tc>
        <w:tc>
          <w:tcPr>
            <w:tcW w:type="dxa" w:w="1719"/>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Marché instable</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left"/>
            </w:pPr>
            <w:r>
              <w:rPr>
                <w:rFonts w:ascii="Arial" w:cs="Arial" w:eastAsia="Arial" w:hAnsi="Arial"/>
                <w:b/>
                <w:bCs/>
                <w:color w:val="333333"/>
                <w:sz w:val="20"/>
                <w:szCs w:val="20"/>
              </w:rPr>
              <w:t xml:space="preserve">20 mars</w:t>
            </w:r>
          </w:p>
        </w:tc>
        <w:tc>
          <w:tcPr>
            <w:tcW w:type="dxa" w:w="22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10 245 (-6,09 %)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98,84 (-1,16 %)</w:t>
            </w:r>
          </w:p>
        </w:tc>
        <w:tc>
          <w:tcPr>
            <w:tcW w:type="dxa" w:w="1719"/>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98,49</w:t>
            </w:r>
          </w:p>
        </w:tc>
        <w:tc>
          <w:tcPr>
            <w:tcW w:type="dxa" w:w="1719"/>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Repli général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bCs/>
                <w:color w:val="333333"/>
                <w:sz w:val="20"/>
                <w:szCs w:val="20"/>
              </w:rPr>
              <w:t xml:space="preserve">27 mars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10 165 (-6,83 %)</w:t>
            </w:r>
          </w:p>
        </w:tc>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97,71 (-2,29 %)</w:t>
            </w:r>
          </w:p>
        </w:tc>
        <w:tc>
          <w:tcPr>
            <w:tcW w:type="dxa" w:w="1719"/>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97,24</w:t>
            </w:r>
          </w:p>
        </w:tc>
        <w:tc>
          <w:tcPr>
            <w:tcW w:type="dxa" w:w="1719"/>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Tensions macro</w:t>
            </w:r>
          </w:p>
        </w:tc>
      </w:tr>
      <w:tr>
        <w:tc>
          <w:tcPr>
            <w:tcW w:type="dxa" w:w="18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left"/>
            </w:pPr>
            <w:r>
              <w:rPr>
                <w:rFonts w:ascii="Arial" w:cs="Arial" w:eastAsia="Arial" w:hAnsi="Arial"/>
                <w:b/>
                <w:bCs/>
                <w:color w:val="333333"/>
                <w:sz w:val="20"/>
                <w:szCs w:val="20"/>
              </w:rPr>
              <w:t xml:space="preserve">31 mars</w:t>
            </w:r>
          </w:p>
        </w:tc>
        <w:tc>
          <w:tcPr>
            <w:tcW w:type="dxa" w:w="22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10 261 (-5,95 %)</w:t>
            </w:r>
          </w:p>
        </w:tc>
        <w:tc>
          <w:tcPr>
            <w:tcW w:type="dxa" w:w="22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97,13 (-2,87 %)</w:t>
            </w:r>
          </w:p>
        </w:tc>
        <w:tc>
          <w:tcPr>
            <w:tcW w:type="dxa" w:w="1719"/>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center"/>
            </w:pPr>
            <w:r>
              <w:rPr>
                <w:rFonts w:ascii="Arial" w:cs="Arial" w:eastAsia="Arial" w:hAnsi="Arial"/>
                <w:b w:val="false"/>
                <w:bCs w:val="false"/>
                <w:color w:val="333333"/>
                <w:sz w:val="20"/>
                <w:szCs w:val="20"/>
              </w:rPr>
              <w:t xml:space="preserve">96,60</w:t>
            </w:r>
          </w:p>
        </w:tc>
        <w:tc>
          <w:tcPr>
            <w:tcW w:type="dxa" w:w="1719"/>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Fin du mois</w:t>
            </w:r>
          </w:p>
        </w:tc>
      </w:tr>
    </w:tbl>
    <w:p>
      <w:pPr>
        <w:pBdr>
          <w:bottom w:val="single" w:color="1B5E20" w:sz="8" w:space="4"/>
        </w:pBdr>
        <w:spacing w:after="120" w:before="300"/>
      </w:pPr>
      <w:r>
        <w:rPr>
          <w:rFonts w:ascii="Arial" w:cs="Arial" w:eastAsia="Arial" w:hAnsi="Arial"/>
          <w:b/>
          <w:bCs/>
          <w:color w:val="1B5E20"/>
          <w:sz w:val="30"/>
          <w:szCs w:val="30"/>
        </w:rPr>
        <w:t xml:space="preserve">7. Outils et technologies utilisés</w:t>
      </w:r>
    </w:p>
    <w:p>
      <w:pPr>
        <w:spacing w:after="60" w:before="60"/>
        <w:ind w:left="360" w:hanging="240"/>
      </w:pPr>
      <w:r>
        <w:rPr>
          <w:rFonts w:ascii="Arial" w:cs="Arial" w:eastAsia="Arial" w:hAnsi="Arial"/>
          <w:b/>
          <w:bCs/>
          <w:color w:val="2E7D32"/>
          <w:sz w:val="20"/>
          <w:szCs w:val="20"/>
        </w:rPr>
        <w:t xml:space="preserve">• </w:t>
      </w:r>
      <w:r>
        <w:rPr>
          <w:rFonts w:ascii="Arial" w:cs="Arial" w:eastAsia="Arial" w:hAnsi="Arial"/>
          <w:color w:val="333333"/>
          <w:sz w:val="20"/>
          <w:szCs w:val="20"/>
        </w:rPr>
        <w:t xml:space="preserve">Microsoft Excel : traitement des données, optimisation (Solver), régressions (ToolPak), statistiques</w:t>
      </w:r>
    </w:p>
    <w:p>
      <w:pPr>
        <w:spacing w:after="60" w:before="60"/>
        <w:ind w:left="360" w:hanging="240"/>
      </w:pPr>
      <w:r>
        <w:rPr>
          <w:rFonts w:ascii="Arial" w:cs="Arial" w:eastAsia="Arial" w:hAnsi="Arial"/>
          <w:b/>
          <w:bCs/>
          <w:color w:val="2E7D32"/>
          <w:sz w:val="20"/>
          <w:szCs w:val="20"/>
        </w:rPr>
        <w:t xml:space="preserve">• </w:t>
      </w:r>
      <w:r>
        <w:rPr>
          <w:rFonts w:ascii="Arial" w:cs="Arial" w:eastAsia="Arial" w:hAnsi="Arial"/>
          <w:color w:val="333333"/>
          <w:sz w:val="20"/>
          <w:szCs w:val="20"/>
        </w:rPr>
        <w:t xml:space="preserve">Python : génération des graphiques (matplotlib, pandas, numpy, scipy)</w:t>
      </w:r>
    </w:p>
    <w:p>
      <w:pPr>
        <w:spacing w:after="60" w:before="60"/>
        <w:ind w:left="360" w:hanging="240"/>
      </w:pPr>
      <w:r>
        <w:rPr>
          <w:rFonts w:ascii="Arial" w:cs="Arial" w:eastAsia="Arial" w:hAnsi="Arial"/>
          <w:b/>
          <w:bCs/>
          <w:color w:val="2E7D32"/>
          <w:sz w:val="20"/>
          <w:szCs w:val="20"/>
        </w:rPr>
        <w:t xml:space="preserve">• </w:t>
      </w:r>
      <w:r>
        <w:rPr>
          <w:rFonts w:ascii="Arial" w:cs="Arial" w:eastAsia="Arial" w:hAnsi="Arial"/>
          <w:color w:val="333333"/>
          <w:sz w:val="20"/>
          <w:szCs w:val="20"/>
        </w:rPr>
        <w:t xml:space="preserve">LaTeX : rédaction du rapport académique (pdflatex, 16 pages)</w:t>
      </w:r>
    </w:p>
    <w:p>
      <w:pPr>
        <w:spacing w:after="60" w:before="60"/>
        <w:ind w:left="360" w:hanging="240"/>
      </w:pPr>
      <w:r>
        <w:rPr>
          <w:rFonts w:ascii="Arial" w:cs="Arial" w:eastAsia="Arial" w:hAnsi="Arial"/>
          <w:b/>
          <w:bCs/>
          <w:color w:val="2E7D32"/>
          <w:sz w:val="20"/>
          <w:szCs w:val="20"/>
        </w:rPr>
        <w:t xml:space="preserve">• </w:t>
      </w:r>
      <w:r>
        <w:rPr>
          <w:rFonts w:ascii="Arial" w:cs="Arial" w:eastAsia="Arial" w:hAnsi="Arial"/>
          <w:color w:val="333333"/>
          <w:sz w:val="20"/>
          <w:szCs w:val="20"/>
        </w:rPr>
        <w:t xml:space="preserve">PowerPoint : présentation orale (13 diapositives, thème vert forêt)</w:t>
      </w:r>
    </w:p>
    <w:p>
      <w:pPr>
        <w:pBdr>
          <w:bottom w:val="single" w:color="1B5E20" w:sz="8" w:space="4"/>
        </w:pBdr>
        <w:spacing w:after="120" w:before="300"/>
      </w:pPr>
      <w:r>
        <w:rPr>
          <w:rFonts w:ascii="Arial" w:cs="Arial" w:eastAsia="Arial" w:hAnsi="Arial"/>
          <w:b/>
          <w:bCs/>
          <w:color w:val="1B5E20"/>
          <w:sz w:val="30"/>
          <w:szCs w:val="30"/>
        </w:rPr>
        <w:t xml:space="preserve">8. Fichiers du projet</w:t>
      </w:r>
    </w:p>
    <w:p>
      <w:pPr>
        <w:spacing w:after="0" w:before="60"/>
      </w:pPr>
      <w:r>
        <w:t xml:space="preserve"/>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800"/>
        <w:gridCol w:w="5838"/>
      </w:tblGrid>
      <w:tr>
        <w:trPr>
          <w:tblHeader/>
        </w:trPr>
        <w:tc>
          <w:tcPr>
            <w:tcW w:type="dxa" w:w="3800"/>
            <w:tcBorders>
              <w:top w:val="single" w:color="AAAAAA" w:sz="1"/>
              <w:left w:val="single" w:color="AAAAAA" w:sz="1"/>
              <w:bottom w:val="single" w:color="AAAAAA" w:sz="1"/>
              <w:right w:val="single" w:color="AAAAAA"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Fichier</w:t>
            </w:r>
          </w:p>
        </w:tc>
        <w:tc>
          <w:tcPr>
            <w:tcW w:type="dxa" w:w="5838"/>
            <w:tcBorders>
              <w:top w:val="single" w:color="AAAAAA" w:sz="1"/>
              <w:left w:val="single" w:color="AAAAAA" w:sz="1"/>
              <w:bottom w:val="single" w:color="AAAAAA" w:sz="1"/>
              <w:right w:val="single" w:color="AAAAAA" w:sz="1"/>
            </w:tcBorders>
            <w:shd w:fill="1B5E20" w:val="clear"/>
            <w:tcMar>
              <w:top w:type="dxa" w:w="100"/>
              <w:left w:type="dxa" w:w="150"/>
              <w:bottom w:type="dxa" w:w="100"/>
              <w:right w:type="dxa" w:w="150"/>
            </w:tcMar>
            <w:vAlign w:val="center"/>
          </w:tcPr>
          <w:p>
            <w:pPr>
              <w:jc w:val="center"/>
            </w:pPr>
            <w:r>
              <w:rPr>
                <w:rFonts w:ascii="Arial" w:cs="Arial" w:eastAsia="Arial" w:hAnsi="Arial"/>
                <w:b/>
                <w:bCs/>
                <w:color w:val="FFFFFF"/>
                <w:sz w:val="22"/>
                <w:szCs w:val="22"/>
              </w:rPr>
              <w:t xml:space="preserve">Description</w:t>
            </w:r>
          </w:p>
        </w:tc>
      </w:tr>
      <w:tr>
        <w:tc>
          <w:tcPr>
            <w:tcW w:type="dxa" w:w="38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left"/>
            </w:pPr>
            <w:r>
              <w:rPr>
                <w:rFonts w:ascii="Arial" w:cs="Arial" w:eastAsia="Arial" w:hAnsi="Arial"/>
                <w:b/>
                <w:bCs/>
                <w:color w:val="333333"/>
                <w:sz w:val="20"/>
                <w:szCs w:val="20"/>
              </w:rPr>
              <w:t xml:space="preserve">Projet_MEAFGP_CORRIGE.xlsx</w:t>
            </w:r>
          </w:p>
        </w:tc>
        <w:tc>
          <w:tcPr>
            <w:tcW w:type="dxa" w:w="583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Données, statistiques, optimisation Markowitz, modèle Sharpe, performances historiques et suivi mars 2026</w:t>
            </w:r>
          </w:p>
        </w:tc>
      </w:tr>
      <w:tr>
        <w:tc>
          <w:tcPr>
            <w:tcW w:type="dxa" w:w="38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left"/>
            </w:pPr>
            <w:r>
              <w:rPr>
                <w:rFonts w:ascii="Arial" w:cs="Arial" w:eastAsia="Arial" w:hAnsi="Arial"/>
                <w:b/>
                <w:bCs/>
                <w:color w:val="333333"/>
                <w:sz w:val="20"/>
                <w:szCs w:val="20"/>
              </w:rPr>
              <w:t xml:space="preserve">Rapport_MEAFGP_V2_FINAL.pdf</w:t>
            </w:r>
          </w:p>
        </w:tc>
        <w:tc>
          <w:tcPr>
            <w:tcW w:type="dxa" w:w="5838"/>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Rapport académique complet de 16 pages structuré en 7 sections (Introduction, Stats, Markowitz, Sharpe, Sélection, Performances, Conclusion)</w:t>
            </w:r>
          </w:p>
        </w:tc>
      </w:tr>
      <w:tr>
        <w:tc>
          <w:tcPr>
            <w:tcW w:type="dxa" w:w="38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left"/>
            </w:pPr>
            <w:r>
              <w:rPr>
                <w:rFonts w:ascii="Arial" w:cs="Arial" w:eastAsia="Arial" w:hAnsi="Arial"/>
                <w:b/>
                <w:bCs/>
                <w:color w:val="333333"/>
                <w:sz w:val="20"/>
                <w:szCs w:val="20"/>
              </w:rPr>
              <w:t xml:space="preserve">Presentation_MEAFGP_2026.pptx</w:t>
            </w:r>
          </w:p>
        </w:tc>
        <w:tc>
          <w:tcPr>
            <w:tcW w:type="dxa" w:w="5838"/>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Présentation PowerPoint de 13 diapositives avec graphiques intégrés et thème forêt</w:t>
            </w:r>
          </w:p>
        </w:tc>
      </w:tr>
      <w:tr>
        <w:tc>
          <w:tcPr>
            <w:tcW w:type="dxa" w:w="3800"/>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left"/>
            </w:pPr>
            <w:r>
              <w:rPr>
                <w:rFonts w:ascii="Arial" w:cs="Arial" w:eastAsia="Arial" w:hAnsi="Arial"/>
                <w:b/>
                <w:bCs/>
                <w:color w:val="333333"/>
                <w:sz w:val="20"/>
                <w:szCs w:val="20"/>
              </w:rPr>
              <w:t xml:space="preserve">README.md</w:t>
            </w:r>
          </w:p>
        </w:tc>
        <w:tc>
          <w:tcPr>
            <w:tcW w:type="dxa" w:w="5838"/>
            <w:tcBorders>
              <w:top w:val="single" w:color="CCCCCC" w:sz="1"/>
              <w:left w:val="single" w:color="CCCCCC" w:sz="1"/>
              <w:bottom w:val="single" w:color="CCCCCC" w:sz="1"/>
              <w:right w:val="single" w:color="CCCCCC" w:sz="1"/>
            </w:tcBorders>
            <w:shd w:fill="E8F5E9" w:val="clear"/>
            <w:tcMar>
              <w:top w:type="dxa" w:w="80"/>
              <w:left w:type="dxa" w:w="150"/>
              <w:bottom w:type="dxa" w:w="80"/>
              <w:right w:type="dxa" w:w="150"/>
            </w:tcMar>
            <w:vAlign w:val="center"/>
          </w:tcPr>
          <w:p>
            <w:pPr>
              <w:jc w:val="left"/>
            </w:pPr>
            <w:r>
              <w:rPr>
                <w:rFonts w:ascii="Arial" w:cs="Arial" w:eastAsia="Arial" w:hAnsi="Arial"/>
                <w:b w:val="false"/>
                <w:bCs w:val="false"/>
                <w:color w:val="333333"/>
                <w:sz w:val="20"/>
                <w:szCs w:val="20"/>
              </w:rPr>
              <w:t xml:space="preserve">Description du projet pour le dépôt GitHub</w:t>
            </w:r>
          </w:p>
        </w:tc>
      </w:tr>
    </w:tbl>
    <w:p>
      <w:pPr>
        <w:spacing w:after="0" w:before="200"/>
      </w:pPr>
      <w:r>
        <w:t xml:space="preserve"/>
      </w:r>
    </w:p>
    <w:p>
      <w:pPr>
        <w:pBdr>
          <w:top w:val="single" w:color="1B5E20" w:sz="6" w:space="6"/>
        </w:pBdr>
        <w:spacing w:after="0" w:before="200"/>
        <w:jc w:val="center"/>
      </w:pPr>
      <w:r>
        <w:rPr>
          <w:rFonts w:ascii="Arial" w:cs="Arial" w:eastAsia="Arial" w:hAnsi="Arial"/>
          <w:i/>
          <w:iCs/>
          <w:color w:val="888888"/>
          <w:sz w:val="18"/>
          <w:szCs w:val="18"/>
        </w:rPr>
        <w:t xml:space="preserve">Projet réalisé dans le cadre du cours de Gestion de Portefeuille — Master 1 MBFA — 2025/2026</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5E20" w:sz="4" w:space="4"/>
      </w:pBdr>
      <w:jc w:val="center"/>
    </w:pPr>
    <w:r>
      <w:rPr>
        <w:rFonts w:ascii="Arial" w:cs="Arial" w:eastAsia="Arial" w:hAnsi="Arial"/>
        <w:color w:val="888888"/>
        <w:sz w:val="16"/>
        <w:szCs w:val="16"/>
      </w:rPr>
      <w:t xml:space="preserve">TRAORE — tsory728@gmail.com  |  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5E20" w:sz="6" w:space="4"/>
      </w:pBdr>
      <w:jc w:val="right"/>
    </w:pPr>
    <w:r>
      <w:rPr>
        <w:rFonts w:ascii="Arial" w:cs="Arial" w:eastAsia="Arial" w:hAnsi="Arial"/>
        <w:color w:val="666666"/>
        <w:sz w:val="16"/>
        <w:szCs w:val="16"/>
      </w:rPr>
      <w:t xml:space="preserve">Projet MEAFGP — Gestion de Portefeuille  |  Master 1 MBFA — Sorbonne Paris Nord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2026-04-16T19:02:36.995Z</dcterms:created>
  <dcterms:modified xsi:type="dcterms:W3CDTF">2026-04-16T19:02:36.996Z</dcterms:modified>
</cp:coreProperties>
</file>

<file path=docProps/custom.xml><?xml version="1.0" encoding="utf-8"?>
<Properties xmlns="http://schemas.openxmlformats.org/officeDocument/2006/custom-properties" xmlns:vt="http://schemas.openxmlformats.org/officeDocument/2006/docPropsVTypes"/>
</file>