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Calibri" w:cs="Calibri" w:eastAsia="Calibri" w:hAnsi="Calibri"/>
          <w:b/>
          <w:bCs/>
          <w:color w:val="1F4E79"/>
          <w:sz w:val="54"/>
          <w:szCs w:val="54"/>
        </w:rPr>
        <w:t xml:space="preserve">SPACEWISE AI</w:t>
      </w:r>
    </w:p>
    <w:p>
      <w:pPr>
        <w:spacing w:after="60"/>
      </w:pPr>
      <w:r>
        <w:rPr>
          <w:rFonts w:ascii="Calibri" w:cs="Calibri" w:eastAsia="Calibri" w:hAnsi="Calibri"/>
          <w:color w:val="2E75B6"/>
          <w:sz w:val="32"/>
          <w:szCs w:val="32"/>
        </w:rPr>
        <w:t xml:space="preserve">Informe técnico de avance</w:t>
      </w:r>
    </w:p>
    <w:p>
      <w:pPr>
        <w:pBdr>
          <w:bottom w:val="single" w:color="1F4E79" w:sz="8" w:space="6"/>
        </w:pBdr>
        <w:spacing w:after="200"/>
      </w:pPr>
      <w:r>
        <w:rPr>
          <w:rFonts w:ascii="Calibri" w:cs="Calibri" w:eastAsia="Calibri" w:hAnsi="Calibri"/>
          <w:color w:val="404040"/>
          <w:sz w:val="23"/>
          <w:szCs w:val="23"/>
        </w:rPr>
        <w:t xml:space="preserve">Simulación y comparación del consumo energético de equipos en centros de investigación e industria</w:t>
      </w:r>
    </w:p>
    <w:p>
      <w:pPr>
        <w:spacing w:after="40"/>
      </w:pPr>
      <w:r>
        <w:rPr>
          <w:rFonts w:ascii="Calibri" w:cs="Calibri" w:eastAsia="Calibri" w:hAnsi="Calibri"/>
          <w:sz w:val="21"/>
          <w:szCs w:val="21"/>
        </w:rPr>
        <w:t xml:space="preserve">Programa Regional Siemens 2026, «Potencia tus conocimientos en Eficiencia Energética».</w:t>
      </w:r>
    </w:p>
    <w:p>
      <w:pPr>
        <w:spacing w:after="40"/>
      </w:pPr>
      <w:r>
        <w:rPr>
          <w:rFonts w:ascii="Calibri" w:cs="Calibri" w:eastAsia="Calibri" w:hAnsi="Calibri"/>
          <w:sz w:val="21"/>
          <w:szCs w:val="21"/>
        </w:rPr>
        <w:t xml:space="preserve">Grupo 3: Vicente Dauvergne, Rodrigo Vidal, Javier Riquelme y Matías Seguel. Tutores: Iván Ramírez y Thamara Villegas.</w:t>
      </w:r>
    </w:p>
    <w:p>
      <w:pPr>
        <w:spacing w:after="120"/>
      </w:pPr>
      <w:r>
        <w:rPr>
          <w:rFonts w:ascii="Calibri" w:cs="Calibri" w:eastAsia="Calibri" w:hAnsi="Calibri"/>
          <w:sz w:val="21"/>
          <w:szCs w:val="21"/>
        </w:rPr>
        <w:t xml:space="preserve">Octubre de 2026. Entrega del concurso: 23 de octubre.</w:t>
      </w:r>
    </w:p>
    <w:p>
      <w:pPr>
        <w:pStyle w:val="Heading1"/>
        <w:keepNext/>
        <w:spacing w:after="120" w:before="300"/>
      </w:pPr>
      <w:r>
        <w:rPr>
          <w:rFonts w:ascii="Calibri" w:cs="Calibri" w:eastAsia="Calibri" w:hAnsi="Calibri"/>
          <w:b/>
          <w:bCs/>
          <w:color w:val="1F4E79"/>
          <w:sz w:val="28"/>
          <w:szCs w:val="28"/>
        </w:rPr>
        <w:t xml:space="preserve">1. Resumen</w:t>
      </w:r>
    </w:p>
    <w:p>
      <w:pPr>
        <w:spacing w:after="120" w:line="280"/>
      </w:pPr>
      <w:r>
        <w:rPr>
          <w:rFonts w:ascii="Calibri" w:cs="Calibri" w:eastAsia="Calibri" w:hAnsi="Calibri"/>
          <w:sz w:val="21"/>
          <w:szCs w:val="21"/>
        </w:rPr>
        <w:t xml:space="preserve">SPACEWISE AI partió como un gemelo digital energético pensado para el Centro Espacial Nacional de Chile (CEN). Con ese caso construimos un motor de simulación en MATLAB, una base de datos SQLite y un conjunto de escenarios con predicción de demanda y evaluación económica.</w:t>
      </w:r>
    </w:p>
    <w:p>
      <w:pPr>
        <w:spacing w:after="120" w:line="280"/>
      </w:pPr>
      <w:r>
        <w:rPr>
          <w:rFonts w:ascii="Calibri" w:cs="Calibri" w:eastAsia="Calibri" w:hAnsi="Calibri"/>
          <w:sz w:val="21"/>
          <w:szCs w:val="21"/>
        </w:rPr>
        <w:t xml:space="preserve">No logramos obtener mediciones reales del CEN dentro de los plazos del concurso. Como los datos de ese modelo son sintéticos, decidimos cambiar el alcance y dejar de depender de una sola institución. El proyecto pasa a ser una herramienta general de simulación y comparación, aplicable a centros de investigación y a la industria, que trabaja a nivel de máquina y no de edificio.</w:t>
      </w:r>
    </w:p>
    <w:p>
      <w:pPr>
        <w:spacing w:after="120" w:line="280"/>
      </w:pPr>
      <w:r>
        <w:rPr>
          <w:rFonts w:ascii="Calibri" w:cs="Calibri" w:eastAsia="Calibri" w:hAnsi="Calibri"/>
          <w:sz w:val="21"/>
          <w:szCs w:val="21"/>
        </w:rPr>
        <w:t xml:space="preserve">La idea es armar una base de al menos 100 máquinas y equipos, cada uno en su propia carpeta de simulación, de modo que se puedan agregar más sin tocar el motor. Los resultados se revisan en un dashboard que permite comparar equipos y escenarios y detectar dónde hay oportunidades de ahorro.</w:t>
      </w:r>
    </w:p>
    <w:p>
      <w:pPr>
        <w:spacing w:after="120" w:line="280"/>
      </w:pPr>
      <w:r>
        <w:rPr>
          <w:rFonts w:ascii="Calibri" w:cs="Calibri" w:eastAsia="Calibri" w:hAnsi="Calibri"/>
          <w:sz w:val="21"/>
          <w:szCs w:val="21"/>
        </w:rPr>
        <w:t xml:space="preserve">Hoy existe el motor y un caso piloto completo (el CEN, con parámetros de referencia). Todavía no están la estructura modular por máquina, el catálogo de equipos ni el dashboard. En el piloto, el escenario más completo (E5) da un ahorro de 21,06 % (606,5 MWh al año), payback de 3,8 años y TIR de 24,1 %. Estos números dependen de supuestos y se explican con sus límites en la sección 6.</w:t>
      </w:r>
    </w:p>
    <w:p>
      <w:pPr>
        <w:pStyle w:val="Heading1"/>
        <w:keepNext/>
        <w:spacing w:after="120" w:before="300"/>
      </w:pPr>
      <w:r>
        <w:rPr>
          <w:rFonts w:ascii="Calibri" w:cs="Calibri" w:eastAsia="Calibri" w:hAnsi="Calibri"/>
          <w:b/>
          <w:bCs/>
          <w:color w:val="1F4E79"/>
          <w:sz w:val="28"/>
          <w:szCs w:val="28"/>
        </w:rPr>
        <w:t xml:space="preserve">2. Cambio de enfoque</w:t>
      </w:r>
    </w:p>
    <w:p>
      <w:pPr>
        <w:keepNext/>
        <w:spacing w:after="120" w:line="280"/>
      </w:pPr>
      <w:r>
        <w:rPr>
          <w:rFonts w:ascii="Calibri" w:cs="Calibri" w:eastAsia="Calibri" w:hAnsi="Calibri"/>
          <w:sz w:val="21"/>
          <w:szCs w:val="21"/>
        </w:rPr>
        <w:t xml:space="preserve">La versión inicial estaba orientada al CEN y a la FACh, con datos de un edificio específico. Al no contar con mediciones reales, el resultado dependía por completo de supuestos. Por eso el proyecto se reformula como una plataforma más general: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19"/>
        <w:gridCol w:w="3719"/>
      </w:tblGrid>
      <w:tr>
        <w:trPr>
          <w:cantSplit/>
          <w:tblHeader/>
        </w:trPr>
        <w:tc>
          <w:tcPr>
            <w:tcW w:type="dxa" w:w="220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
            </w:r>
          </w:p>
        </w:tc>
        <w:tc>
          <w:tcPr>
            <w:tcW w:type="dxa" w:w="3719"/>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Versión inicial</w:t>
            </w:r>
          </w:p>
        </w:tc>
        <w:tc>
          <w:tcPr>
            <w:tcW w:type="dxa" w:w="3719"/>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Nuevo enfoque</w:t>
            </w:r>
          </w:p>
        </w:tc>
      </w:tr>
      <w:tr>
        <w:trPr>
          <w:cantSplit/>
        </w:trPr>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bCs/>
                <w:sz w:val="19"/>
                <w:szCs w:val="19"/>
              </w:rPr>
              <w:t xml:space="preserve">Caso de estudio</w:t>
            </w:r>
          </w:p>
        </w:tc>
        <w:tc>
          <w:tcPr>
            <w:tcW w:type="dxa" w:w="3719"/>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Edificio del CEN</w:t>
            </w:r>
          </w:p>
        </w:tc>
        <w:tc>
          <w:tcPr>
            <w:tcW w:type="dxa" w:w="3719"/>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Maquinaria y equipos de centros de investigación e industria</w:t>
            </w:r>
          </w:p>
        </w:tc>
      </w:tr>
      <w:tr>
        <w:trPr>
          <w:cantSplit/>
        </w:trPr>
        <w:tc>
          <w:tcPr>
            <w:tcW w:type="dxa" w:w="22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bCs/>
                <w:sz w:val="19"/>
                <w:szCs w:val="19"/>
              </w:rPr>
              <w:t xml:space="preserve">Unidad de modelado</w:t>
            </w:r>
          </w:p>
        </w:tc>
        <w:tc>
          <w:tcPr>
            <w:tcW w:type="dxa" w:w="3719"/>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Subsistemas (HVAC, laboratorios, TI…) repartidos entre 22 dispositivos</w:t>
            </w:r>
          </w:p>
        </w:tc>
        <w:tc>
          <w:tcPr>
            <w:tcW w:type="dxa" w:w="3719"/>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Cada máquina es un módulo, con su propia carpeta de simulación</w:t>
            </w:r>
          </w:p>
        </w:tc>
      </w:tr>
      <w:tr>
        <w:trPr>
          <w:cantSplit/>
        </w:trPr>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bCs/>
                <w:sz w:val="19"/>
                <w:szCs w:val="19"/>
              </w:rPr>
              <w:t xml:space="preserve">Tamaño</w:t>
            </w:r>
          </w:p>
        </w:tc>
        <w:tc>
          <w:tcPr>
            <w:tcW w:type="dxa" w:w="3719"/>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22 dispositivos</w:t>
            </w:r>
          </w:p>
        </w:tc>
        <w:tc>
          <w:tcPr>
            <w:tcW w:type="dxa" w:w="3719"/>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Al menos 100 máquinas, ampliable</w:t>
            </w:r>
          </w:p>
        </w:tc>
      </w:tr>
      <w:tr>
        <w:trPr>
          <w:cantSplit/>
        </w:trPr>
        <w:tc>
          <w:tcPr>
            <w:tcW w:type="dxa" w:w="22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bCs/>
                <w:sz w:val="19"/>
                <w:szCs w:val="19"/>
              </w:rPr>
              <w:t xml:space="preserve">Objetivo</w:t>
            </w:r>
          </w:p>
        </w:tc>
        <w:tc>
          <w:tcPr>
            <w:tcW w:type="dxa" w:w="3719"/>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Reducir 20 a 30 % el consumo de un edificio</w:t>
            </w:r>
          </w:p>
        </w:tc>
        <w:tc>
          <w:tcPr>
            <w:tcW w:type="dxa" w:w="3719"/>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Simular, comparar y encontrar puntos de ahorro por equipo</w:t>
            </w:r>
          </w:p>
        </w:tc>
      </w:tr>
      <w:tr>
        <w:trPr>
          <w:cantSplit/>
        </w:trPr>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bCs/>
                <w:sz w:val="19"/>
                <w:szCs w:val="19"/>
              </w:rPr>
              <w:t xml:space="preserve">Entrega</w:t>
            </w:r>
          </w:p>
        </w:tc>
        <w:tc>
          <w:tcPr>
            <w:tcW w:type="dxa" w:w="3719"/>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Gemelo digital, control y dashboard</w:t>
            </w:r>
          </w:p>
        </w:tc>
        <w:tc>
          <w:tcPr>
            <w:tcW w:type="dxa" w:w="3719"/>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Dashboard comparador como producto principal</w:t>
            </w:r>
          </w:p>
        </w:tc>
      </w:tr>
      <w:tr>
        <w:trPr>
          <w:cantSplit/>
        </w:trPr>
        <w:tc>
          <w:tcPr>
            <w:tcW w:type="dxa" w:w="22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bCs/>
                <w:sz w:val="19"/>
                <w:szCs w:val="19"/>
              </w:rPr>
              <w:t xml:space="preserve">Datos</w:t>
            </w:r>
          </w:p>
        </w:tc>
        <w:tc>
          <w:tcPr>
            <w:tcW w:type="dxa" w:w="3719"/>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Mediciones del CEN (no se obtuvieron)</w:t>
            </w:r>
          </w:p>
        </w:tc>
        <w:tc>
          <w:tcPr>
            <w:tcW w:type="dxa" w:w="3719"/>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Datos de placa y fichas técnicas de equipos reales</w:t>
            </w:r>
          </w:p>
        </w:tc>
      </w:tr>
    </w:tbl>
    <w:p>
      <w:pPr>
        <w:spacing w:after="120"/>
      </w:pPr>
    </w:p>
    <w:p>
      <w:pPr>
        <w:spacing w:after="120" w:line="280"/>
      </w:pPr>
      <w:r>
        <w:rPr>
          <w:rFonts w:ascii="Calibri" w:cs="Calibri" w:eastAsia="Calibri" w:hAnsi="Calibri"/>
          <w:sz w:val="21"/>
          <w:szCs w:val="21"/>
        </w:rPr>
        <w:t xml:space="preserve">Los requerimientos que el equipo definió para esta etapa son dos: adaptar la estructura base de MATLAB a una arquitectura modular y definir la estructura de los archivos de simulación y de los tipos de datos. Ninguno está terminado. El profesor tutor fue informado del cambio.</w:t>
      </w:r>
    </w:p>
    <w:p>
      <w:pPr>
        <w:spacing w:after="120" w:line="280"/>
      </w:pPr>
      <w:r>
        <w:rPr>
          <w:rFonts w:ascii="Calibri" w:cs="Calibri" w:eastAsia="Calibri" w:hAnsi="Calibri"/>
          <w:sz w:val="21"/>
          <w:szCs w:val="21"/>
        </w:rPr>
        <w:t xml:space="preserve">También quedaron ideas por evaluar más adelante, como instalar turbinas pequeñas para generación propia y poner sensores en zonas donde el gasto de energía no se controla (iluminación, baños). Aún no se decide si entran en el alcance.</w:t>
      </w:r>
    </w:p>
    <w:p>
      <w:pPr>
        <w:pStyle w:val="Heading1"/>
        <w:keepNext/>
        <w:spacing w:after="120" w:before="300"/>
      </w:pPr>
      <w:r>
        <w:rPr>
          <w:rFonts w:ascii="Calibri" w:cs="Calibri" w:eastAsia="Calibri" w:hAnsi="Calibri"/>
          <w:b/>
          <w:bCs/>
          <w:color w:val="1F4E79"/>
          <w:sz w:val="28"/>
          <w:szCs w:val="28"/>
        </w:rPr>
        <w:t xml:space="preserve">3. Estado actual del proyecto</w:t>
      </w:r>
    </w:p>
    <w:p>
      <w:pPr>
        <w:keepNext/>
        <w:spacing w:after="120" w:line="280"/>
      </w:pPr>
      <w:r>
        <w:rPr>
          <w:rFonts w:ascii="Calibri" w:cs="Calibri" w:eastAsia="Calibri" w:hAnsi="Calibri"/>
          <w:sz w:val="21"/>
          <w:szCs w:val="21"/>
        </w:rPr>
        <w:t xml:space="preserve">Lo que existe en el repositorio corresponde al motor versión 1.0.0 y al caso piloto del CEN: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5338"/>
        <w:gridCol w:w="2000"/>
      </w:tblGrid>
      <w:tr>
        <w:trPr>
          <w:cantSplit/>
          <w:tblHeader/>
        </w:trPr>
        <w:tc>
          <w:tcPr>
            <w:tcW w:type="dxa" w:w="230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Componente</w:t>
            </w:r>
          </w:p>
        </w:tc>
        <w:tc>
          <w:tcPr>
            <w:tcW w:type="dxa" w:w="5338"/>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Descripción</w:t>
            </w:r>
          </w:p>
        </w:tc>
        <w:tc>
          <w:tcPr>
            <w:tcW w:type="dxa" w:w="200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Estado</w:t>
            </w:r>
          </w:p>
        </w:tc>
      </w:tr>
      <w:tr>
        <w:trPr>
          <w:cantSplit/>
        </w:trPr>
        <w:tc>
          <w:tcPr>
            <w:tcW w:type="dxa" w:w="23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bCs/>
                <w:sz w:val="19"/>
                <w:szCs w:val="19"/>
              </w:rPr>
              <w:t xml:space="preserve">Modelo matemático</w:t>
            </w:r>
          </w:p>
        </w:tc>
        <w:tc>
          <w:tcPr>
            <w:tcW w:type="dxa" w:w="53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Línea base, perfiles horarios, escenarios, gestión de punta, predicción, VAN, TIR, payback y CO₂</w:t>
            </w:r>
          </w:p>
        </w:tc>
        <w:tc>
          <w:tcPr>
            <w:tcW w:type="dxa" w:w="2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Terminado</w:t>
            </w:r>
          </w:p>
        </w:tc>
      </w:tr>
      <w:tr>
        <w:trPr>
          <w:cantSplit/>
        </w:trPr>
        <w:tc>
          <w:tcPr>
            <w:tcW w:type="dxa" w:w="23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bCs/>
                <w:sz w:val="19"/>
                <w:szCs w:val="19"/>
              </w:rPr>
              <w:t xml:space="preserve">Motor en MATLAB</w:t>
            </w:r>
          </w:p>
        </w:tc>
        <w:tc>
          <w:tcPr>
            <w:tcW w:type="dxa" w:w="53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Módulos de simulación, escenarios, análisis, mediciones, dispositivos, gráficos y base de datos</w:t>
            </w:r>
          </w:p>
        </w:tc>
        <w:tc>
          <w:tcPr>
            <w:tcW w:type="dxa" w:w="2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Funcionando</w:t>
            </w:r>
          </w:p>
        </w:tc>
      </w:tr>
      <w:tr>
        <w:trPr>
          <w:cantSplit/>
        </w:trPr>
        <w:tc>
          <w:tcPr>
            <w:tcW w:type="dxa" w:w="23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bCs/>
                <w:sz w:val="19"/>
                <w:szCs w:val="19"/>
              </w:rPr>
              <w:t xml:space="preserve">Dispositivos del piloto</w:t>
            </w:r>
          </w:p>
        </w:tc>
        <w:tc>
          <w:tcPr>
            <w:tcW w:type="dxa" w:w="53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22 registros: 5 medidores SENTRON y 17 cargas (HVAC, iluminación, laboratorios, TI, bombas y auxiliares)</w:t>
            </w:r>
          </w:p>
        </w:tc>
        <w:tc>
          <w:tcPr>
            <w:tcW w:type="dxa" w:w="2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Terminado</w:t>
            </w:r>
          </w:p>
        </w:tc>
      </w:tr>
      <w:tr>
        <w:trPr>
          <w:cantSplit/>
        </w:trPr>
        <w:tc>
          <w:tcPr>
            <w:tcW w:type="dxa" w:w="23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bCs/>
                <w:sz w:val="19"/>
                <w:szCs w:val="19"/>
              </w:rPr>
              <w:t xml:space="preserve">Base de datos</w:t>
            </w:r>
          </w:p>
        </w:tc>
        <w:tc>
          <w:tcPr>
            <w:tcW w:type="dxa" w:w="53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SQLite con 9 tablas (dispositivos, escenarios, simulaciones, mediciones, perfiles, resultados y eventos)</w:t>
            </w:r>
          </w:p>
        </w:tc>
        <w:tc>
          <w:tcPr>
            <w:tcW w:type="dxa" w:w="2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Terminado</w:t>
            </w:r>
          </w:p>
        </w:tc>
      </w:tr>
      <w:tr>
        <w:trPr>
          <w:cantSplit/>
        </w:trPr>
        <w:tc>
          <w:tcPr>
            <w:tcW w:type="dxa" w:w="23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bCs/>
                <w:sz w:val="19"/>
                <w:szCs w:val="19"/>
              </w:rPr>
              <w:t xml:space="preserve">Escenarios</w:t>
            </w:r>
          </w:p>
        </w:tc>
        <w:tc>
          <w:tcPr>
            <w:tcW w:type="dxa" w:w="53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E0 a E5 y cinco sensibilidades (S01 a S05): 11 simulaciones</w:t>
            </w:r>
          </w:p>
        </w:tc>
        <w:tc>
          <w:tcPr>
            <w:tcW w:type="dxa" w:w="2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Terminado</w:t>
            </w:r>
          </w:p>
        </w:tc>
      </w:tr>
      <w:tr>
        <w:trPr>
          <w:cantSplit/>
        </w:trPr>
        <w:tc>
          <w:tcPr>
            <w:tcW w:type="dxa" w:w="23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bCs/>
                <w:sz w:val="19"/>
                <w:szCs w:val="19"/>
              </w:rPr>
              <w:t xml:space="preserve">Predicción</w:t>
            </w:r>
          </w:p>
        </w:tc>
        <w:tc>
          <w:tcPr>
            <w:tcW w:type="dxa" w:w="53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Regresión lineal multivariable con división 70/15/15</w:t>
            </w:r>
          </w:p>
        </w:tc>
        <w:tc>
          <w:tcPr>
            <w:tcW w:type="dxa" w:w="2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Versión básica</w:t>
            </w:r>
          </w:p>
        </w:tc>
      </w:tr>
      <w:tr>
        <w:trPr>
          <w:cantSplit/>
        </w:trPr>
        <w:tc>
          <w:tcPr>
            <w:tcW w:type="dxa" w:w="23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bCs/>
                <w:sz w:val="19"/>
                <w:szCs w:val="19"/>
              </w:rPr>
              <w:t xml:space="preserve">Orquestador</w:t>
            </w:r>
          </w:p>
        </w:tc>
        <w:tc>
          <w:tcPr>
            <w:tcW w:type="dxa" w:w="53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Script en Python que ejecuta todo el flujo en MATLAB</w:t>
            </w:r>
          </w:p>
        </w:tc>
        <w:tc>
          <w:tcPr>
            <w:tcW w:type="dxa" w:w="2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Terminado</w:t>
            </w:r>
          </w:p>
        </w:tc>
      </w:tr>
      <w:tr>
        <w:trPr>
          <w:cantSplit/>
        </w:trPr>
        <w:tc>
          <w:tcPr>
            <w:tcW w:type="dxa" w:w="23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bCs/>
                <w:sz w:val="19"/>
                <w:szCs w:val="19"/>
              </w:rPr>
              <w:t xml:space="preserve">Pruebas</w:t>
            </w:r>
          </w:p>
        </w:tc>
        <w:tc>
          <w:tcPr>
            <w:tcW w:type="dxa" w:w="53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3 archivos de prueba; el plan registra 13 pruebas aprobadas (no se volvieron a ejecutar para este informe)</w:t>
            </w:r>
          </w:p>
        </w:tc>
        <w:tc>
          <w:tcPr>
            <w:tcW w:type="dxa" w:w="2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Sin reverificar</w:t>
            </w:r>
          </w:p>
        </w:tc>
      </w:tr>
      <w:tr>
        <w:trPr>
          <w:cantSplit/>
        </w:trPr>
        <w:tc>
          <w:tcPr>
            <w:tcW w:type="dxa" w:w="23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bCs/>
                <w:sz w:val="19"/>
                <w:szCs w:val="19"/>
              </w:rPr>
              <w:t xml:space="preserve">Estructura modular por máquina</w:t>
            </w:r>
          </w:p>
        </w:tc>
        <w:tc>
          <w:tcPr>
            <w:tcW w:type="dxa" w:w="53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Por definir</w:t>
            </w:r>
          </w:p>
        </w:tc>
        <w:tc>
          <w:tcPr>
            <w:tcW w:type="dxa" w:w="2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Pendiente</w:t>
            </w:r>
          </w:p>
        </w:tc>
      </w:tr>
      <w:tr>
        <w:trPr>
          <w:cantSplit/>
        </w:trPr>
        <w:tc>
          <w:tcPr>
            <w:tcW w:type="dxa" w:w="23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bCs/>
                <w:sz w:val="19"/>
                <w:szCs w:val="19"/>
              </w:rPr>
              <w:t xml:space="preserve">Catálogo de 100 máquinas</w:t>
            </w:r>
          </w:p>
        </w:tc>
        <w:tc>
          <w:tcPr>
            <w:tcW w:type="dxa" w:w="53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Por definir</w:t>
            </w:r>
          </w:p>
        </w:tc>
        <w:tc>
          <w:tcPr>
            <w:tcW w:type="dxa" w:w="2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Pendiente</w:t>
            </w:r>
          </w:p>
        </w:tc>
      </w:tr>
      <w:tr>
        <w:trPr>
          <w:cantSplit/>
        </w:trPr>
        <w:tc>
          <w:tcPr>
            <w:tcW w:type="dxa" w:w="23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bCs/>
                <w:sz w:val="19"/>
                <w:szCs w:val="19"/>
              </w:rPr>
              <w:t xml:space="preserve">Dashboard</w:t>
            </w:r>
          </w:p>
        </w:tc>
        <w:tc>
          <w:tcPr>
            <w:tcW w:type="dxa" w:w="53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Solo existen figuras estáticas generadas por MATLAB</w:t>
            </w:r>
          </w:p>
        </w:tc>
        <w:tc>
          <w:tcPr>
            <w:tcW w:type="dxa" w:w="2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No iniciado</w:t>
            </w:r>
          </w:p>
        </w:tc>
      </w:tr>
    </w:tbl>
    <w:p>
      <w:pPr>
        <w:spacing w:after="200" w:before="100"/>
      </w:pPr>
      <w:r>
        <w:rPr>
          <w:rFonts w:ascii="Calibri" w:cs="Calibri" w:eastAsia="Calibri" w:hAnsi="Calibri"/>
          <w:i/>
          <w:iCs/>
          <w:color w:val="595959"/>
          <w:sz w:val="18"/>
          <w:szCs w:val="18"/>
        </w:rPr>
        <w:t xml:space="preserve">Pendientes que ya estaban en las notas del equipo: boceto del sistema completo, lectura detallada de las bases, lista de equipos, decidir si el modelo corre en nube o local y definir presupuesto.</w:t>
      </w:r>
    </w:p>
    <w:p>
      <w:pPr>
        <w:pStyle w:val="Heading1"/>
        <w:keepNext/>
        <w:spacing w:after="120" w:before="300"/>
      </w:pPr>
      <w:r>
        <w:rPr>
          <w:rFonts w:ascii="Calibri" w:cs="Calibri" w:eastAsia="Calibri" w:hAnsi="Calibri"/>
          <w:b/>
          <w:bCs/>
          <w:color w:val="1F4E79"/>
          <w:sz w:val="28"/>
          <w:szCs w:val="28"/>
        </w:rPr>
        <w:t xml:space="preserve">4. Cómo funciona el modelo</w:t>
      </w:r>
    </w:p>
    <w:p>
      <w:pPr>
        <w:spacing w:after="120" w:line="280"/>
      </w:pPr>
      <w:r>
        <w:rPr>
          <w:rFonts w:ascii="Calibri" w:cs="Calibri" w:eastAsia="Calibri" w:hAnsi="Calibri"/>
          <w:sz w:val="21"/>
          <w:szCs w:val="21"/>
        </w:rPr>
        <w:t xml:space="preserve">Cada simulación cubre un año completo, hora por hora (8.760 puntos), con clima, ocupación y actividad generados de forma sintética. Los pasos son los siguientes.</w:t>
      </w:r>
    </w:p>
    <w:p>
      <w:pPr>
        <w:spacing w:after="120" w:line="280"/>
      </w:pPr>
      <w:r>
        <w:rPr>
          <w:rFonts w:ascii="Calibri" w:cs="Calibri" w:eastAsia="Calibri" w:hAnsi="Calibri"/>
          <w:sz w:val="21"/>
          <w:szCs w:val="21"/>
        </w:rPr>
        <w:t xml:space="preserve">Primero se calcula la línea base: área por índice de consumo, que para el piloto es 12.000 m² × 240 kWh/m²·año = 2.880 MWh al año. Esa energía se reparte entre seis subsistemas (HVAC 38 %, laboratorios 20 %, TI 18 %, iluminación 10 %, bombas 6 % y auxiliares 8 %), y cada uno recibe un perfil horario que depende de la ocupación, la temperatura, la radiación solar y la actividad.</w:t>
      </w:r>
    </w:p>
    <w:p>
      <w:pPr>
        <w:spacing w:after="120" w:line="280"/>
      </w:pPr>
      <w:r>
        <w:rPr>
          <w:rFonts w:ascii="Calibri" w:cs="Calibri" w:eastAsia="Calibri" w:hAnsi="Calibri"/>
          <w:sz w:val="21"/>
          <w:szCs w:val="21"/>
        </w:rPr>
        <w:t xml:space="preserve">Después, el consumo de cada subsistema se reparte entre sus dispositivos según su potencia nominal y su estado (encendido o en espera), de manera que la suma por hora siempre coincida con el total. De ahí se obtienen tensión, corriente, factor de potencia, distorsión armónica y energía de cada equipo.</w:t>
      </w:r>
    </w:p>
    <w:p>
      <w:pPr>
        <w:spacing w:after="120" w:line="280"/>
      </w:pPr>
      <w:r>
        <w:rPr>
          <w:rFonts w:ascii="Calibri" w:cs="Calibri" w:eastAsia="Calibri" w:hAnsi="Calibri"/>
          <w:sz w:val="21"/>
          <w:szCs w:val="21"/>
        </w:rPr>
        <w:t xml:space="preserve">Sobre esa base se aplican los escenarios de control: horario fijo (E2), regulación por sensores y ocupación (E3), ahorro técnico por subsistema (E4) y, en E5, además un desplazamiento de carga en horas punta con un límite de 500 kW. La demanda se predice con una regresión lineal que usa temperatura, humedad, radiación, ocupación, actividad del laboratorio y la hora del día.</w:t>
      </w:r>
    </w:p>
    <w:p>
      <w:pPr>
        <w:spacing w:after="120" w:line="280"/>
      </w:pPr>
      <w:r>
        <w:rPr>
          <w:rFonts w:ascii="Calibri" w:cs="Calibri" w:eastAsia="Calibri" w:hAnsi="Calibri"/>
          <w:sz w:val="21"/>
          <w:szCs w:val="21"/>
        </w:rPr>
        <w:t xml:space="preserve">Para la parte económica se usan los valores de referencia de las directrices: inversión de USD 310.000, costo anual de USD 12.000, tarifa de 0,15 USD/kWh con alza de 2,5 % anual, degradación del ahorro de 0,5 % anual, horizonte de 10 años y tasa de descuento de 10 %. Las emisiones se calculan con 0,40 kgCO₂/kWh. Estos valores no son especificaciones oficiales del CEN.</w:t>
      </w:r>
    </w:p>
    <w:p>
      <w:pPr>
        <w:pStyle w:val="Heading1"/>
        <w:keepNext/>
        <w:spacing w:after="120" w:before="300"/>
      </w:pPr>
      <w:r>
        <w:rPr>
          <w:rFonts w:ascii="Calibri" w:cs="Calibri" w:eastAsia="Calibri" w:hAnsi="Calibri"/>
          <w:b/>
          <w:bCs/>
          <w:color w:val="1F4E79"/>
          <w:sz w:val="28"/>
          <w:szCs w:val="28"/>
        </w:rPr>
        <w:t xml:space="preserve">5. Resultados del caso piloto</w:t>
      </w:r>
    </w:p>
    <w:p>
      <w:pPr>
        <w:pStyle w:val="Heading2"/>
        <w:keepNext/>
        <w:spacing w:after="100" w:before="240"/>
      </w:pPr>
      <w:r>
        <w:rPr>
          <w:rFonts w:ascii="Calibri" w:cs="Calibri" w:eastAsia="Calibri" w:hAnsi="Calibri"/>
          <w:b/>
          <w:bCs/>
          <w:color w:val="2E75B6"/>
          <w:sz w:val="24"/>
          <w:szCs w:val="24"/>
        </w:rPr>
        <w:t xml:space="preserve">5.1 Escenarios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1200"/>
        <w:gridCol w:w="900"/>
        <w:gridCol w:w="900"/>
        <w:gridCol w:w="1000"/>
        <w:gridCol w:w="1238"/>
        <w:gridCol w:w="1000"/>
      </w:tblGrid>
      <w:tr>
        <w:trPr>
          <w:cantSplit/>
          <w:tblHeader/>
        </w:trPr>
        <w:tc>
          <w:tcPr>
            <w:tcW w:type="dxa" w:w="90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Esc.</w:t>
            </w:r>
          </w:p>
        </w:tc>
        <w:tc>
          <w:tcPr>
            <w:tcW w:type="dxa" w:w="250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Descripción</w:t>
            </w:r>
          </w:p>
        </w:tc>
        <w:tc>
          <w:tcPr>
            <w:tcW w:type="dxa" w:w="120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right"/>
            </w:pPr>
            <w:r>
              <w:rPr>
                <w:rFonts w:ascii="Calibri" w:cs="Calibri" w:eastAsia="Calibri" w:hAnsi="Calibri"/>
                <w:b/>
                <w:bCs/>
                <w:color w:val="FFFFFF"/>
                <w:sz w:val="19"/>
                <w:szCs w:val="19"/>
              </w:rPr>
              <w:t xml:space="preserve">Energía (MWh)</w:t>
            </w:r>
          </w:p>
        </w:tc>
        <w:tc>
          <w:tcPr>
            <w:tcW w:type="dxa" w:w="90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right"/>
            </w:pPr>
            <w:r>
              <w:rPr>
                <w:rFonts w:ascii="Calibri" w:cs="Calibri" w:eastAsia="Calibri" w:hAnsi="Calibri"/>
                <w:b/>
                <w:bCs/>
                <w:color w:val="FFFFFF"/>
                <w:sz w:val="19"/>
                <w:szCs w:val="19"/>
              </w:rPr>
              <w:t xml:space="preserve">Ahorro %</w:t>
            </w:r>
          </w:p>
        </w:tc>
        <w:tc>
          <w:tcPr>
            <w:tcW w:type="dxa" w:w="90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right"/>
            </w:pPr>
            <w:r>
              <w:rPr>
                <w:rFonts w:ascii="Calibri" w:cs="Calibri" w:eastAsia="Calibri" w:hAnsi="Calibri"/>
                <w:b/>
                <w:bCs/>
                <w:color w:val="FFFFFF"/>
                <w:sz w:val="19"/>
                <w:szCs w:val="19"/>
              </w:rPr>
              <w:t xml:space="preserve">Punta %</w:t>
            </w:r>
          </w:p>
        </w:tc>
        <w:tc>
          <w:tcPr>
            <w:tcW w:type="dxa" w:w="100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right"/>
            </w:pPr>
            <w:r>
              <w:rPr>
                <w:rFonts w:ascii="Calibri" w:cs="Calibri" w:eastAsia="Calibri" w:hAnsi="Calibri"/>
                <w:b/>
                <w:bCs/>
                <w:color w:val="FFFFFF"/>
                <w:sz w:val="19"/>
                <w:szCs w:val="19"/>
              </w:rPr>
              <w:t xml:space="preserve">Payback (años)</w:t>
            </w:r>
          </w:p>
        </w:tc>
        <w:tc>
          <w:tcPr>
            <w:tcW w:type="dxa" w:w="1238"/>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right"/>
            </w:pPr>
            <w:r>
              <w:rPr>
                <w:rFonts w:ascii="Calibri" w:cs="Calibri" w:eastAsia="Calibri" w:hAnsi="Calibri"/>
                <w:b/>
                <w:bCs/>
                <w:color w:val="FFFFFF"/>
                <w:sz w:val="19"/>
                <w:szCs w:val="19"/>
              </w:rPr>
              <w:t xml:space="preserve">VAN (USD)</w:t>
            </w:r>
          </w:p>
        </w:tc>
        <w:tc>
          <w:tcPr>
            <w:tcW w:type="dxa" w:w="100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right"/>
            </w:pPr>
            <w:r>
              <w:rPr>
                <w:rFonts w:ascii="Calibri" w:cs="Calibri" w:eastAsia="Calibri" w:hAnsi="Calibri"/>
                <w:b/>
                <w:bCs/>
                <w:color w:val="FFFFFF"/>
                <w:sz w:val="19"/>
                <w:szCs w:val="19"/>
              </w:rPr>
              <w:t xml:space="preserve">TIR %</w:t>
            </w:r>
          </w:p>
        </w:tc>
      </w:tr>
      <w:tr>
        <w:trPr>
          <w:cantSplit/>
        </w:trPr>
        <w:tc>
          <w:tcPr>
            <w:tcW w:type="dxa" w:w="9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E0 / E1</w:t>
            </w:r>
          </w:p>
        </w:tc>
        <w:tc>
          <w:tcPr>
            <w:tcW w:type="dxa" w:w="2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Base y solo medición</w:t>
            </w:r>
          </w:p>
        </w:tc>
        <w:tc>
          <w:tcPr>
            <w:tcW w:type="dxa" w:w="1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2.880,0</w:t>
            </w:r>
          </w:p>
        </w:tc>
        <w:tc>
          <w:tcPr>
            <w:tcW w:type="dxa" w:w="9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0,0</w:t>
            </w:r>
          </w:p>
        </w:tc>
        <w:tc>
          <w:tcPr>
            <w:tcW w:type="dxa" w:w="9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0,0</w:t>
            </w:r>
          </w:p>
        </w:tc>
        <w:tc>
          <w:tcPr>
            <w:tcW w:type="dxa" w:w="1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w:t>
            </w:r>
          </w:p>
        </w:tc>
        <w:tc>
          <w:tcPr>
            <w:tcW w:type="dxa" w:w="12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w:t>
            </w:r>
          </w:p>
        </w:tc>
        <w:tc>
          <w:tcPr>
            <w:tcW w:type="dxa" w:w="1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w:t>
            </w:r>
          </w:p>
        </w:tc>
      </w:tr>
      <w:tr>
        <w:trPr>
          <w:cantSplit/>
        </w:trPr>
        <w:tc>
          <w:tcPr>
            <w:tcW w:type="dxa" w:w="9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E2</w:t>
            </w:r>
          </w:p>
        </w:tc>
        <w:tc>
          <w:tcPr>
            <w:tcW w:type="dxa" w:w="25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Control horario</w:t>
            </w:r>
          </w:p>
        </w:tc>
        <w:tc>
          <w:tcPr>
            <w:tcW w:type="dxa" w:w="12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2.129,3</w:t>
            </w:r>
          </w:p>
        </w:tc>
        <w:tc>
          <w:tcPr>
            <w:tcW w:type="dxa" w:w="9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26,1</w:t>
            </w:r>
          </w:p>
        </w:tc>
        <w:tc>
          <w:tcPr>
            <w:tcW w:type="dxa" w:w="9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0,0</w:t>
            </w:r>
          </w:p>
        </w:tc>
        <w:tc>
          <w:tcPr>
            <w:tcW w:type="dxa" w:w="1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3,0</w:t>
            </w:r>
          </w:p>
        </w:tc>
        <w:tc>
          <w:tcPr>
            <w:tcW w:type="dxa" w:w="12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361.909</w:t>
            </w:r>
          </w:p>
        </w:tc>
        <w:tc>
          <w:tcPr>
            <w:tcW w:type="dxa" w:w="1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32,2</w:t>
            </w:r>
          </w:p>
        </w:tc>
      </w:tr>
      <w:tr>
        <w:trPr>
          <w:cantSplit/>
        </w:trPr>
        <w:tc>
          <w:tcPr>
            <w:tcW w:type="dxa" w:w="9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E3</w:t>
            </w:r>
          </w:p>
        </w:tc>
        <w:tc>
          <w:tcPr>
            <w:tcW w:type="dxa" w:w="2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Sensores y regulación</w:t>
            </w:r>
          </w:p>
        </w:tc>
        <w:tc>
          <w:tcPr>
            <w:tcW w:type="dxa" w:w="1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2.187,9</w:t>
            </w:r>
          </w:p>
        </w:tc>
        <w:tc>
          <w:tcPr>
            <w:tcW w:type="dxa" w:w="9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24,0</w:t>
            </w:r>
          </w:p>
        </w:tc>
        <w:tc>
          <w:tcPr>
            <w:tcW w:type="dxa" w:w="9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3,7</w:t>
            </w:r>
          </w:p>
        </w:tc>
        <w:tc>
          <w:tcPr>
            <w:tcW w:type="dxa" w:w="1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3,3</w:t>
            </w:r>
          </w:p>
        </w:tc>
        <w:tc>
          <w:tcPr>
            <w:tcW w:type="dxa" w:w="12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303.732</w:t>
            </w:r>
          </w:p>
        </w:tc>
        <w:tc>
          <w:tcPr>
            <w:tcW w:type="dxa" w:w="1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28,9</w:t>
            </w:r>
          </w:p>
        </w:tc>
      </w:tr>
      <w:tr>
        <w:trPr>
          <w:cantSplit/>
        </w:trPr>
        <w:tc>
          <w:tcPr>
            <w:tcW w:type="dxa" w:w="9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E4</w:t>
            </w:r>
          </w:p>
        </w:tc>
        <w:tc>
          <w:tcPr>
            <w:tcW w:type="dxa" w:w="25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IA predictiva</w:t>
            </w:r>
          </w:p>
        </w:tc>
        <w:tc>
          <w:tcPr>
            <w:tcW w:type="dxa" w:w="12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2.273,5</w:t>
            </w:r>
          </w:p>
        </w:tc>
        <w:tc>
          <w:tcPr>
            <w:tcW w:type="dxa" w:w="9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21,1</w:t>
            </w:r>
          </w:p>
        </w:tc>
        <w:tc>
          <w:tcPr>
            <w:tcW w:type="dxa" w:w="9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22,2</w:t>
            </w:r>
          </w:p>
        </w:tc>
        <w:tc>
          <w:tcPr>
            <w:tcW w:type="dxa" w:w="1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3,8</w:t>
            </w:r>
          </w:p>
        </w:tc>
        <w:tc>
          <w:tcPr>
            <w:tcW w:type="dxa" w:w="12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218.744</w:t>
            </w:r>
          </w:p>
        </w:tc>
        <w:tc>
          <w:tcPr>
            <w:tcW w:type="dxa" w:w="1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24,1</w:t>
            </w:r>
          </w:p>
        </w:tc>
      </w:tr>
      <w:tr>
        <w:trPr>
          <w:cantSplit/>
        </w:trPr>
        <w:tc>
          <w:tcPr>
            <w:tcW w:type="dxa" w:w="9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E5</w:t>
            </w:r>
          </w:p>
        </w:tc>
        <w:tc>
          <w:tcPr>
            <w:tcW w:type="dxa" w:w="2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Gemelo y control integral</w:t>
            </w:r>
          </w:p>
        </w:tc>
        <w:tc>
          <w:tcPr>
            <w:tcW w:type="dxa" w:w="1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right"/>
            </w:pPr>
            <w:r>
              <w:rPr>
                <w:rFonts w:ascii="Calibri" w:cs="Calibri" w:eastAsia="Calibri" w:hAnsi="Calibri"/>
                <w:b w:val="false"/>
                <w:bCs w:val="false"/>
                <w:sz w:val="19"/>
                <w:szCs w:val="19"/>
              </w:rPr>
              <w:t xml:space="preserve">2.273,5</w:t>
            </w:r>
          </w:p>
        </w:tc>
        <w:tc>
          <w:tcPr>
            <w:tcW w:type="dxa" w:w="9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right"/>
            </w:pPr>
            <w:r>
              <w:rPr>
                <w:rFonts w:ascii="Calibri" w:cs="Calibri" w:eastAsia="Calibri" w:hAnsi="Calibri"/>
                <w:b w:val="false"/>
                <w:bCs w:val="false"/>
                <w:sz w:val="19"/>
                <w:szCs w:val="19"/>
              </w:rPr>
              <w:t xml:space="preserve">21,1</w:t>
            </w:r>
          </w:p>
        </w:tc>
        <w:tc>
          <w:tcPr>
            <w:tcW w:type="dxa" w:w="9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right"/>
            </w:pPr>
            <w:r>
              <w:rPr>
                <w:rFonts w:ascii="Calibri" w:cs="Calibri" w:eastAsia="Calibri" w:hAnsi="Calibri"/>
                <w:b w:val="false"/>
                <w:bCs w:val="false"/>
                <w:sz w:val="19"/>
                <w:szCs w:val="19"/>
              </w:rPr>
              <w:t xml:space="preserve">22,2</w:t>
            </w:r>
          </w:p>
        </w:tc>
        <w:tc>
          <w:tcPr>
            <w:tcW w:type="dxa" w:w="1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right"/>
            </w:pPr>
            <w:r>
              <w:rPr>
                <w:rFonts w:ascii="Calibri" w:cs="Calibri" w:eastAsia="Calibri" w:hAnsi="Calibri"/>
                <w:b w:val="false"/>
                <w:bCs w:val="false"/>
                <w:sz w:val="19"/>
                <w:szCs w:val="19"/>
              </w:rPr>
              <w:t xml:space="preserve">3,8</w:t>
            </w:r>
          </w:p>
        </w:tc>
        <w:tc>
          <w:tcPr>
            <w:tcW w:type="dxa" w:w="12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right"/>
            </w:pPr>
            <w:r>
              <w:rPr>
                <w:rFonts w:ascii="Calibri" w:cs="Calibri" w:eastAsia="Calibri" w:hAnsi="Calibri"/>
                <w:b w:val="false"/>
                <w:bCs w:val="false"/>
                <w:sz w:val="19"/>
                <w:szCs w:val="19"/>
              </w:rPr>
              <w:t xml:space="preserve">218.744</w:t>
            </w:r>
          </w:p>
        </w:tc>
        <w:tc>
          <w:tcPr>
            <w:tcW w:type="dxa" w:w="1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right"/>
            </w:pPr>
            <w:r>
              <w:rPr>
                <w:rFonts w:ascii="Calibri" w:cs="Calibri" w:eastAsia="Calibri" w:hAnsi="Calibri"/>
                <w:b w:val="false"/>
                <w:bCs w:val="false"/>
                <w:sz w:val="19"/>
                <w:szCs w:val="19"/>
              </w:rPr>
              <w:t xml:space="preserve">24,1</w:t>
            </w:r>
          </w:p>
        </w:tc>
      </w:tr>
    </w:tbl>
    <w:p>
      <w:pPr>
        <w:spacing w:after="200" w:before="100"/>
      </w:pPr>
      <w:r>
        <w:rPr>
          <w:rFonts w:ascii="Calibri" w:cs="Calibri" w:eastAsia="Calibri" w:hAnsi="Calibri"/>
          <w:i/>
          <w:iCs/>
          <w:color w:val="595959"/>
          <w:sz w:val="18"/>
          <w:szCs w:val="18"/>
        </w:rPr>
        <w:t xml:space="preserve">La línea base consume 2.880 MWh al año y tiene una punta de 535,9 kW. La columna «Punta %» es la reducción de la demanda máxima. En E0 y E1 no hay ahorro, por lo que su VAN (negativo, solo por costos de operación) no se informa.</w:t>
      </w:r>
    </w:p>
    <w:p>
      <w:pPr>
        <w:pStyle w:val="Heading2"/>
        <w:keepNext/>
        <w:spacing w:after="100" w:before="240"/>
      </w:pPr>
      <w:r>
        <w:rPr>
          <w:rFonts w:ascii="Calibri" w:cs="Calibri" w:eastAsia="Calibri" w:hAnsi="Calibri"/>
          <w:b/>
          <w:bCs/>
          <w:color w:val="2E75B6"/>
          <w:sz w:val="24"/>
          <w:szCs w:val="24"/>
        </w:rPr>
        <w:t xml:space="preserve">5.2 Sensibilidad</w:t>
      </w:r>
    </w:p>
    <w:p>
      <w:pPr>
        <w:keepNext/>
        <w:spacing w:after="120" w:line="280"/>
      </w:pPr>
      <w:r>
        <w:rPr>
          <w:rFonts w:ascii="Calibri" w:cs="Calibri" w:eastAsia="Calibri" w:hAnsi="Calibri"/>
          <w:sz w:val="21"/>
          <w:szCs w:val="21"/>
        </w:rPr>
        <w:t xml:space="preserve">Sobre el escenario E5 se cambió un parámetro a la vez:</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3100"/>
        <w:gridCol w:w="1100"/>
        <w:gridCol w:w="1400"/>
        <w:gridCol w:w="1700"/>
        <w:gridCol w:w="1338"/>
      </w:tblGrid>
      <w:tr>
        <w:trPr>
          <w:cantSplit/>
          <w:tblHeader/>
        </w:trPr>
        <w:tc>
          <w:tcPr>
            <w:tcW w:type="dxa" w:w="100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Código</w:t>
            </w:r>
          </w:p>
        </w:tc>
        <w:tc>
          <w:tcPr>
            <w:tcW w:type="dxa" w:w="310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Variación</w:t>
            </w:r>
          </w:p>
        </w:tc>
        <w:tc>
          <w:tcPr>
            <w:tcW w:type="dxa" w:w="110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right"/>
            </w:pPr>
            <w:r>
              <w:rPr>
                <w:rFonts w:ascii="Calibri" w:cs="Calibri" w:eastAsia="Calibri" w:hAnsi="Calibri"/>
                <w:b/>
                <w:bCs/>
                <w:color w:val="FFFFFF"/>
                <w:sz w:val="19"/>
                <w:szCs w:val="19"/>
              </w:rPr>
              <w:t xml:space="preserve">Ahorro %</w:t>
            </w:r>
          </w:p>
        </w:tc>
        <w:tc>
          <w:tcPr>
            <w:tcW w:type="dxa" w:w="140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right"/>
            </w:pPr>
            <w:r>
              <w:rPr>
                <w:rFonts w:ascii="Calibri" w:cs="Calibri" w:eastAsia="Calibri" w:hAnsi="Calibri"/>
                <w:b/>
                <w:bCs/>
                <w:color w:val="FFFFFF"/>
                <w:sz w:val="19"/>
                <w:szCs w:val="19"/>
              </w:rPr>
              <w:t xml:space="preserve">Payback (años)</w:t>
            </w:r>
          </w:p>
        </w:tc>
        <w:tc>
          <w:tcPr>
            <w:tcW w:type="dxa" w:w="170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right"/>
            </w:pPr>
            <w:r>
              <w:rPr>
                <w:rFonts w:ascii="Calibri" w:cs="Calibri" w:eastAsia="Calibri" w:hAnsi="Calibri"/>
                <w:b/>
                <w:bCs/>
                <w:color w:val="FFFFFF"/>
                <w:sz w:val="19"/>
                <w:szCs w:val="19"/>
              </w:rPr>
              <w:t xml:space="preserve">VAN (USD)</w:t>
            </w:r>
          </w:p>
        </w:tc>
        <w:tc>
          <w:tcPr>
            <w:tcW w:type="dxa" w:w="1338"/>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right"/>
            </w:pPr>
            <w:r>
              <w:rPr>
                <w:rFonts w:ascii="Calibri" w:cs="Calibri" w:eastAsia="Calibri" w:hAnsi="Calibri"/>
                <w:b/>
                <w:bCs/>
                <w:color w:val="FFFFFF"/>
                <w:sz w:val="19"/>
                <w:szCs w:val="19"/>
              </w:rPr>
              <w:t xml:space="preserve">TIR %</w:t>
            </w:r>
          </w:p>
        </w:tc>
      </w:tr>
      <w:tr>
        <w:trPr>
          <w:cantSplit/>
        </w:trPr>
        <w:tc>
          <w:tcPr>
            <w:tcW w:type="dxa" w:w="1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S01</w:t>
            </w:r>
          </w:p>
        </w:tc>
        <w:tc>
          <w:tcPr>
            <w:tcW w:type="dxa" w:w="31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Índice de consumo 200 kWh/m²·año</w:t>
            </w:r>
          </w:p>
        </w:tc>
        <w:tc>
          <w:tcPr>
            <w:tcW w:type="dxa" w:w="11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21,1</w:t>
            </w:r>
          </w:p>
        </w:tc>
        <w:tc>
          <w:tcPr>
            <w:tcW w:type="dxa" w:w="1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4,7</w:t>
            </w:r>
          </w:p>
        </w:tc>
        <w:tc>
          <w:tcPr>
            <w:tcW w:type="dxa" w:w="1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118.331</w:t>
            </w:r>
          </w:p>
        </w:tc>
        <w:tc>
          <w:tcPr>
            <w:tcW w:type="dxa" w:w="13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17,9</w:t>
            </w:r>
          </w:p>
        </w:tc>
      </w:tr>
      <w:tr>
        <w:trPr>
          <w:cantSplit/>
        </w:trPr>
        <w:tc>
          <w:tcPr>
            <w:tcW w:type="dxa" w:w="1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S02</w:t>
            </w:r>
          </w:p>
        </w:tc>
        <w:tc>
          <w:tcPr>
            <w:tcW w:type="dxa" w:w="31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Índice de consumo 280 kWh/m²·año</w:t>
            </w:r>
          </w:p>
        </w:tc>
        <w:tc>
          <w:tcPr>
            <w:tcW w:type="dxa" w:w="11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21,1</w:t>
            </w:r>
          </w:p>
        </w:tc>
        <w:tc>
          <w:tcPr>
            <w:tcW w:type="dxa" w:w="14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3,2</w:t>
            </w:r>
          </w:p>
        </w:tc>
        <w:tc>
          <w:tcPr>
            <w:tcW w:type="dxa" w:w="17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319.157</w:t>
            </w:r>
          </w:p>
        </w:tc>
        <w:tc>
          <w:tcPr>
            <w:tcW w:type="dxa" w:w="13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29,8</w:t>
            </w:r>
          </w:p>
        </w:tc>
      </w:tr>
      <w:tr>
        <w:trPr>
          <w:cantSplit/>
        </w:trPr>
        <w:tc>
          <w:tcPr>
            <w:tcW w:type="dxa" w:w="1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S03</w:t>
            </w:r>
          </w:p>
        </w:tc>
        <w:tc>
          <w:tcPr>
            <w:tcW w:type="dxa" w:w="31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Ahorro en HVAC de 30 %</w:t>
            </w:r>
          </w:p>
        </w:tc>
        <w:tc>
          <w:tcPr>
            <w:tcW w:type="dxa" w:w="11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23,0</w:t>
            </w:r>
          </w:p>
        </w:tc>
        <w:tc>
          <w:tcPr>
            <w:tcW w:type="dxa" w:w="1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3,5</w:t>
            </w:r>
          </w:p>
        </w:tc>
        <w:tc>
          <w:tcPr>
            <w:tcW w:type="dxa" w:w="1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273.099</w:t>
            </w:r>
          </w:p>
        </w:tc>
        <w:tc>
          <w:tcPr>
            <w:tcW w:type="dxa" w:w="13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27,2</w:t>
            </w:r>
          </w:p>
        </w:tc>
      </w:tr>
      <w:tr>
        <w:trPr>
          <w:cantSplit/>
        </w:trPr>
        <w:tc>
          <w:tcPr>
            <w:tcW w:type="dxa" w:w="1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S04</w:t>
            </w:r>
          </w:p>
        </w:tc>
        <w:tc>
          <w:tcPr>
            <w:tcW w:type="dxa" w:w="31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Tarifa de 0,12 USD/kWh</w:t>
            </w:r>
          </w:p>
        </w:tc>
        <w:tc>
          <w:tcPr>
            <w:tcW w:type="dxa" w:w="11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21,1</w:t>
            </w:r>
          </w:p>
        </w:tc>
        <w:tc>
          <w:tcPr>
            <w:tcW w:type="dxa" w:w="14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4,9</w:t>
            </w:r>
          </w:p>
        </w:tc>
        <w:tc>
          <w:tcPr>
            <w:tcW w:type="dxa" w:w="17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98.248</w:t>
            </w:r>
          </w:p>
        </w:tc>
        <w:tc>
          <w:tcPr>
            <w:tcW w:type="dxa" w:w="13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16,7</w:t>
            </w:r>
          </w:p>
        </w:tc>
      </w:tr>
      <w:tr>
        <w:trPr>
          <w:cantSplit/>
        </w:trPr>
        <w:tc>
          <w:tcPr>
            <w:tcW w:type="dxa" w:w="1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S05</w:t>
            </w:r>
          </w:p>
        </w:tc>
        <w:tc>
          <w:tcPr>
            <w:tcW w:type="dxa" w:w="31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Tarifa de 0,18 USD/kWh</w:t>
            </w:r>
          </w:p>
        </w:tc>
        <w:tc>
          <w:tcPr>
            <w:tcW w:type="dxa" w:w="11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right"/>
            </w:pPr>
            <w:r>
              <w:rPr>
                <w:rFonts w:ascii="Calibri" w:cs="Calibri" w:eastAsia="Calibri" w:hAnsi="Calibri"/>
                <w:b w:val="false"/>
                <w:bCs w:val="false"/>
                <w:sz w:val="19"/>
                <w:szCs w:val="19"/>
              </w:rPr>
              <w:t xml:space="preserve">21,1</w:t>
            </w:r>
          </w:p>
        </w:tc>
        <w:tc>
          <w:tcPr>
            <w:tcW w:type="dxa" w:w="1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right"/>
            </w:pPr>
            <w:r>
              <w:rPr>
                <w:rFonts w:ascii="Calibri" w:cs="Calibri" w:eastAsia="Calibri" w:hAnsi="Calibri"/>
                <w:b w:val="false"/>
                <w:bCs w:val="false"/>
                <w:sz w:val="19"/>
                <w:szCs w:val="19"/>
              </w:rPr>
              <w:t xml:space="preserve">3,1</w:t>
            </w:r>
          </w:p>
        </w:tc>
        <w:tc>
          <w:tcPr>
            <w:tcW w:type="dxa" w:w="1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right"/>
            </w:pPr>
            <w:r>
              <w:rPr>
                <w:rFonts w:ascii="Calibri" w:cs="Calibri" w:eastAsia="Calibri" w:hAnsi="Calibri"/>
                <w:b w:val="false"/>
                <w:bCs w:val="false"/>
                <w:sz w:val="19"/>
                <w:szCs w:val="19"/>
              </w:rPr>
              <w:t xml:space="preserve">339.240</w:t>
            </w:r>
          </w:p>
        </w:tc>
        <w:tc>
          <w:tcPr>
            <w:tcW w:type="dxa" w:w="13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right"/>
            </w:pPr>
            <w:r>
              <w:rPr>
                <w:rFonts w:ascii="Calibri" w:cs="Calibri" w:eastAsia="Calibri" w:hAnsi="Calibri"/>
                <w:b w:val="false"/>
                <w:bCs w:val="false"/>
                <w:sz w:val="19"/>
                <w:szCs w:val="19"/>
              </w:rPr>
              <w:t xml:space="preserve">30,9</w:t>
            </w:r>
          </w:p>
        </w:tc>
      </w:tr>
    </w:tbl>
    <w:p>
      <w:pPr>
        <w:spacing w:after="200" w:before="100"/>
      </w:pPr>
      <w:r>
        <w:rPr>
          <w:rFonts w:ascii="Calibri" w:cs="Calibri" w:eastAsia="Calibri" w:hAnsi="Calibri"/>
          <w:i/>
          <w:iCs/>
          <w:color w:val="595959"/>
          <w:sz w:val="18"/>
          <w:szCs w:val="18"/>
        </w:rPr>
        <w:t xml:space="preserve">En todas las variaciones el VAN es positivo y la TIR supera el 10 %. Los parámetros que más mueven el resultado son el índice de consumo y la tarifa.</w:t>
      </w:r>
    </w:p>
    <w:p>
      <w:pPr>
        <w:pStyle w:val="Heading2"/>
        <w:keepNext/>
        <w:spacing w:after="100" w:before="240"/>
      </w:pPr>
      <w:r>
        <w:rPr>
          <w:rFonts w:ascii="Calibri" w:cs="Calibri" w:eastAsia="Calibri" w:hAnsi="Calibri"/>
          <w:b/>
          <w:bCs/>
          <w:color w:val="2E75B6"/>
          <w:sz w:val="24"/>
          <w:szCs w:val="24"/>
        </w:rPr>
        <w:t xml:space="preserve">5.3 Energía por subsistema (E5)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1800"/>
        <w:gridCol w:w="1700"/>
        <w:gridCol w:w="1838"/>
      </w:tblGrid>
      <w:tr>
        <w:trPr>
          <w:cantSplit/>
          <w:tblHeader/>
        </w:trPr>
        <w:tc>
          <w:tcPr>
            <w:tcW w:type="dxa" w:w="260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Subsistema</w:t>
            </w:r>
          </w:p>
        </w:tc>
        <w:tc>
          <w:tcPr>
            <w:tcW w:type="dxa" w:w="170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right"/>
            </w:pPr>
            <w:r>
              <w:rPr>
                <w:rFonts w:ascii="Calibri" w:cs="Calibri" w:eastAsia="Calibri" w:hAnsi="Calibri"/>
                <w:b/>
                <w:bCs/>
                <w:color w:val="FFFFFF"/>
                <w:sz w:val="19"/>
                <w:szCs w:val="19"/>
              </w:rPr>
              <w:t xml:space="preserve">Base (MWh)</w:t>
            </w:r>
          </w:p>
        </w:tc>
        <w:tc>
          <w:tcPr>
            <w:tcW w:type="dxa" w:w="180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right"/>
            </w:pPr>
            <w:r>
              <w:rPr>
                <w:rFonts w:ascii="Calibri" w:cs="Calibri" w:eastAsia="Calibri" w:hAnsi="Calibri"/>
                <w:b/>
                <w:bCs/>
                <w:color w:val="FFFFFF"/>
                <w:sz w:val="19"/>
                <w:szCs w:val="19"/>
              </w:rPr>
              <w:t xml:space="preserve">Control (MWh)</w:t>
            </w:r>
          </w:p>
        </w:tc>
        <w:tc>
          <w:tcPr>
            <w:tcW w:type="dxa" w:w="170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right"/>
            </w:pPr>
            <w:r>
              <w:rPr>
                <w:rFonts w:ascii="Calibri" w:cs="Calibri" w:eastAsia="Calibri" w:hAnsi="Calibri"/>
                <w:b/>
                <w:bCs/>
                <w:color w:val="FFFFFF"/>
                <w:sz w:val="19"/>
                <w:szCs w:val="19"/>
              </w:rPr>
              <w:t xml:space="preserve">Ahorro (MWh)</w:t>
            </w:r>
          </w:p>
        </w:tc>
        <w:tc>
          <w:tcPr>
            <w:tcW w:type="dxa" w:w="1838"/>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right"/>
            </w:pPr>
            <w:r>
              <w:rPr>
                <w:rFonts w:ascii="Calibri" w:cs="Calibri" w:eastAsia="Calibri" w:hAnsi="Calibri"/>
                <w:b/>
                <w:bCs/>
                <w:color w:val="FFFFFF"/>
                <w:sz w:val="19"/>
                <w:szCs w:val="19"/>
              </w:rPr>
              <w:t xml:space="preserve">Ahorro aplicado</w:t>
            </w:r>
          </w:p>
        </w:tc>
      </w:tr>
      <w:tr>
        <w:trPr>
          <w:cantSplit/>
        </w:trPr>
        <w:tc>
          <w:tcPr>
            <w:tcW w:type="dxa" w:w="26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HVAC</w:t>
            </w:r>
          </w:p>
        </w:tc>
        <w:tc>
          <w:tcPr>
            <w:tcW w:type="dxa" w:w="1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1.094,4</w:t>
            </w:r>
          </w:p>
        </w:tc>
        <w:tc>
          <w:tcPr>
            <w:tcW w:type="dxa" w:w="1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820,8</w:t>
            </w:r>
          </w:p>
        </w:tc>
        <w:tc>
          <w:tcPr>
            <w:tcW w:type="dxa" w:w="1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273,6</w:t>
            </w:r>
          </w:p>
        </w:tc>
        <w:tc>
          <w:tcPr>
            <w:tcW w:type="dxa" w:w="18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25 %</w:t>
            </w:r>
          </w:p>
        </w:tc>
      </w:tr>
      <w:tr>
        <w:trPr>
          <w:cantSplit/>
        </w:trPr>
        <w:tc>
          <w:tcPr>
            <w:tcW w:type="dxa" w:w="26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Laboratorios</w:t>
            </w:r>
          </w:p>
        </w:tc>
        <w:tc>
          <w:tcPr>
            <w:tcW w:type="dxa" w:w="17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576,0</w:t>
            </w:r>
          </w:p>
        </w:tc>
        <w:tc>
          <w:tcPr>
            <w:tcW w:type="dxa" w:w="18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472,3</w:t>
            </w:r>
          </w:p>
        </w:tc>
        <w:tc>
          <w:tcPr>
            <w:tcW w:type="dxa" w:w="17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103,7</w:t>
            </w:r>
          </w:p>
        </w:tc>
        <w:tc>
          <w:tcPr>
            <w:tcW w:type="dxa" w:w="18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18 %</w:t>
            </w:r>
          </w:p>
        </w:tc>
      </w:tr>
      <w:tr>
        <w:trPr>
          <w:cantSplit/>
        </w:trPr>
        <w:tc>
          <w:tcPr>
            <w:tcW w:type="dxa" w:w="26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TI y UPS</w:t>
            </w:r>
          </w:p>
        </w:tc>
        <w:tc>
          <w:tcPr>
            <w:tcW w:type="dxa" w:w="1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518,4</w:t>
            </w:r>
          </w:p>
        </w:tc>
        <w:tc>
          <w:tcPr>
            <w:tcW w:type="dxa" w:w="1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466,6</w:t>
            </w:r>
          </w:p>
        </w:tc>
        <w:tc>
          <w:tcPr>
            <w:tcW w:type="dxa" w:w="1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51,8</w:t>
            </w:r>
          </w:p>
        </w:tc>
        <w:tc>
          <w:tcPr>
            <w:tcW w:type="dxa" w:w="18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10 %</w:t>
            </w:r>
          </w:p>
        </w:tc>
      </w:tr>
      <w:tr>
        <w:trPr>
          <w:cantSplit/>
        </w:trPr>
        <w:tc>
          <w:tcPr>
            <w:tcW w:type="dxa" w:w="26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Iluminación</w:t>
            </w:r>
          </w:p>
        </w:tc>
        <w:tc>
          <w:tcPr>
            <w:tcW w:type="dxa" w:w="17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288,0</w:t>
            </w:r>
          </w:p>
        </w:tc>
        <w:tc>
          <w:tcPr>
            <w:tcW w:type="dxa" w:w="18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172,8</w:t>
            </w:r>
          </w:p>
        </w:tc>
        <w:tc>
          <w:tcPr>
            <w:tcW w:type="dxa" w:w="17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115,2</w:t>
            </w:r>
          </w:p>
        </w:tc>
        <w:tc>
          <w:tcPr>
            <w:tcW w:type="dxa" w:w="18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40 %</w:t>
            </w:r>
          </w:p>
        </w:tc>
      </w:tr>
      <w:tr>
        <w:trPr>
          <w:cantSplit/>
        </w:trPr>
        <w:tc>
          <w:tcPr>
            <w:tcW w:type="dxa" w:w="26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Bombas y ventilación</w:t>
            </w:r>
          </w:p>
        </w:tc>
        <w:tc>
          <w:tcPr>
            <w:tcW w:type="dxa" w:w="1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172,8</w:t>
            </w:r>
          </w:p>
        </w:tc>
        <w:tc>
          <w:tcPr>
            <w:tcW w:type="dxa" w:w="1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138,2</w:t>
            </w:r>
          </w:p>
        </w:tc>
        <w:tc>
          <w:tcPr>
            <w:tcW w:type="dxa" w:w="1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34,6</w:t>
            </w:r>
          </w:p>
        </w:tc>
        <w:tc>
          <w:tcPr>
            <w:tcW w:type="dxa" w:w="18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20 %</w:t>
            </w:r>
          </w:p>
        </w:tc>
      </w:tr>
      <w:tr>
        <w:trPr>
          <w:cantSplit/>
        </w:trPr>
        <w:tc>
          <w:tcPr>
            <w:tcW w:type="dxa" w:w="26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Auxiliares</w:t>
            </w:r>
          </w:p>
        </w:tc>
        <w:tc>
          <w:tcPr>
            <w:tcW w:type="dxa" w:w="17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230,4</w:t>
            </w:r>
          </w:p>
        </w:tc>
        <w:tc>
          <w:tcPr>
            <w:tcW w:type="dxa" w:w="18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202,8</w:t>
            </w:r>
          </w:p>
        </w:tc>
        <w:tc>
          <w:tcPr>
            <w:tcW w:type="dxa" w:w="17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27,6</w:t>
            </w:r>
          </w:p>
        </w:tc>
        <w:tc>
          <w:tcPr>
            <w:tcW w:type="dxa" w:w="18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12 %</w:t>
            </w:r>
          </w:p>
        </w:tc>
      </w:tr>
      <w:tr>
        <w:trPr>
          <w:cantSplit/>
        </w:trPr>
        <w:tc>
          <w:tcPr>
            <w:tcW w:type="dxa" w:w="26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bCs/>
                <w:sz w:val="19"/>
                <w:szCs w:val="19"/>
              </w:rPr>
              <w:t xml:space="preserve">Total</w:t>
            </w:r>
          </w:p>
        </w:tc>
        <w:tc>
          <w:tcPr>
            <w:tcW w:type="dxa" w:w="1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right"/>
            </w:pPr>
            <w:r>
              <w:rPr>
                <w:rFonts w:ascii="Calibri" w:cs="Calibri" w:eastAsia="Calibri" w:hAnsi="Calibri"/>
                <w:b/>
                <w:bCs/>
                <w:sz w:val="19"/>
                <w:szCs w:val="19"/>
              </w:rPr>
              <w:t xml:space="preserve">2.880,0</w:t>
            </w:r>
          </w:p>
        </w:tc>
        <w:tc>
          <w:tcPr>
            <w:tcW w:type="dxa" w:w="1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right"/>
            </w:pPr>
            <w:r>
              <w:rPr>
                <w:rFonts w:ascii="Calibri" w:cs="Calibri" w:eastAsia="Calibri" w:hAnsi="Calibri"/>
                <w:b/>
                <w:bCs/>
                <w:sz w:val="19"/>
                <w:szCs w:val="19"/>
              </w:rPr>
              <w:t xml:space="preserve">2.273,5</w:t>
            </w:r>
          </w:p>
        </w:tc>
        <w:tc>
          <w:tcPr>
            <w:tcW w:type="dxa" w:w="1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right"/>
            </w:pPr>
            <w:r>
              <w:rPr>
                <w:rFonts w:ascii="Calibri" w:cs="Calibri" w:eastAsia="Calibri" w:hAnsi="Calibri"/>
                <w:b/>
                <w:bCs/>
                <w:sz w:val="19"/>
                <w:szCs w:val="19"/>
              </w:rPr>
              <w:t xml:space="preserve">606,5</w:t>
            </w:r>
          </w:p>
        </w:tc>
        <w:tc>
          <w:tcPr>
            <w:tcW w:type="dxa" w:w="18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right"/>
            </w:pPr>
            <w:r>
              <w:rPr>
                <w:rFonts w:ascii="Calibri" w:cs="Calibri" w:eastAsia="Calibri" w:hAnsi="Calibri"/>
                <w:b/>
                <w:bCs/>
                <w:sz w:val="19"/>
                <w:szCs w:val="19"/>
              </w:rPr>
              <w:t xml:space="preserve">21,06 %</w:t>
            </w:r>
          </w:p>
        </w:tc>
      </w:tr>
    </w:tbl>
    <w:p>
      <w:pPr>
        <w:spacing w:after="200" w:before="100"/>
      </w:pPr>
      <w:r>
        <w:rPr>
          <w:rFonts w:ascii="Calibri" w:cs="Calibri" w:eastAsia="Calibri" w:hAnsi="Calibri"/>
          <w:i/>
          <w:iCs/>
          <w:color w:val="595959"/>
          <w:sz w:val="18"/>
          <w:szCs w:val="18"/>
        </w:rPr>
        <w:t xml:space="preserve">El HVAC aporta el 45 % del ahorro total y la iluminación el 19 %.</w:t>
      </w:r>
    </w:p>
    <w:p>
      <w:pPr>
        <w:pStyle w:val="Heading2"/>
        <w:keepNext/>
        <w:spacing w:after="100" w:before="240"/>
      </w:pPr>
      <w:r>
        <w:rPr>
          <w:rFonts w:ascii="Calibri" w:cs="Calibri" w:eastAsia="Calibri" w:hAnsi="Calibri"/>
          <w:b/>
          <w:bCs/>
          <w:color w:val="2E75B6"/>
          <w:sz w:val="24"/>
          <w:szCs w:val="24"/>
        </w:rPr>
        <w:t xml:space="preserve">5.4 Predicción de demanda</w:t>
      </w:r>
    </w:p>
    <w:p>
      <w:pPr>
        <w:keepNext/>
        <w:spacing w:after="120" w:line="280"/>
      </w:pPr>
      <w:r>
        <w:rPr>
          <w:rFonts w:ascii="Calibri" w:cs="Calibri" w:eastAsia="Calibri" w:hAnsi="Calibri"/>
          <w:sz w:val="21"/>
          <w:szCs w:val="21"/>
        </w:rPr>
        <w:t xml:space="preserve">El modelo se probó con el último 15 % del año. Dio un RMSE de 13,3 kW, un MAE de 11,3 kW y un R² de 0,976. El error equivale a 2,5 % de la punta (13,3 / 535,9 kW), dentro de la meta de 10 %. En las figuras se ve que el modelo tiende a quedarse corto en las puntas.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top w:type="dxa" w:w="60"/>
              <w:left w:type="dxa" w:w="80"/>
              <w:bottom w:type="dxa" w:w="60"/>
              <w:right w:type="dxa" w:w="80"/>
            </w:tcMar>
          </w:tcPr>
          <w:p>
            <w:pPr>
              <w:keepNext/>
              <w:jc w:val="center"/>
            </w:pPr>
            <w:r>
              <w:drawing>
                <wp:inline distT="0" distB="0" distL="0" distR="0">
                  <wp:extent cx="2809875" cy="1685925"/>
                  <wp:effectExtent t="0" r="0" b="0" l="0"/>
                  <wp:docPr id="1" name="fig_semana.png" descr="fig_semana.png" title="fig_seman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09875" cy="1685925"/>
                          </a:xfrm>
                          <a:prstGeom prst="rect">
                            <a:avLst/>
                          </a:prstGeom>
                        </pic:spPr>
                      </pic:pic>
                    </a:graphicData>
                  </a:graphic>
                </wp:inline>
              </w:drawing>
            </w:r>
          </w:p>
          <w:p>
            <w:pPr>
              <w:keepNext/>
              <w:spacing w:after="80"/>
              <w:jc w:val="center"/>
            </w:pPr>
            <w:r>
              <w:rPr>
                <w:rFonts w:ascii="Calibri" w:cs="Calibri" w:eastAsia="Calibri" w:hAnsi="Calibri"/>
                <w:i/>
                <w:iCs/>
                <w:color w:val="595959"/>
                <w:sz w:val="18"/>
                <w:szCs w:val="18"/>
              </w:rPr>
              <w:t xml:space="preserve">Semana tipo, base y control (E5)</w:t>
            </w:r>
          </w:p>
        </w:tc>
        <w:tc>
          <w:tcPr>
            <w:tcW w:type="dxa" w:w="4819"/>
            <w:tcBorders>
              <w:top w:val="none" w:color="FFFFFF" w:sz="0"/>
              <w:left w:val="none" w:color="FFFFFF" w:sz="0"/>
              <w:bottom w:val="none" w:color="FFFFFF" w:sz="0"/>
              <w:right w:val="none" w:color="FFFFFF" w:sz="0"/>
            </w:tcBorders>
            <w:tcMar>
              <w:top w:type="dxa" w:w="60"/>
              <w:left w:type="dxa" w:w="80"/>
              <w:bottom w:type="dxa" w:w="60"/>
              <w:right w:type="dxa" w:w="80"/>
            </w:tcMar>
          </w:tcPr>
          <w:p>
            <w:pPr>
              <w:keepNext/>
              <w:jc w:val="center"/>
            </w:pPr>
            <w:r>
              <w:drawing>
                <wp:inline distT="0" distB="0" distL="0" distR="0">
                  <wp:extent cx="2809875" cy="1685925"/>
                  <wp:effectExtent t="0" r="0" b="0" l="0"/>
                  <wp:docPr id="2" name="fig_subsistemas.png" descr="fig_subsistemas.png" title="fig_subsistem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09875" cy="1685925"/>
                          </a:xfrm>
                          <a:prstGeom prst="rect">
                            <a:avLst/>
                          </a:prstGeom>
                        </pic:spPr>
                      </pic:pic>
                    </a:graphicData>
                  </a:graphic>
                </wp:inline>
              </w:drawing>
            </w:r>
          </w:p>
          <w:p>
            <w:pPr>
              <w:keepNext/>
              <w:spacing w:after="80"/>
              <w:jc w:val="center"/>
            </w:pPr>
            <w:r>
              <w:rPr>
                <w:rFonts w:ascii="Calibri" w:cs="Calibri" w:eastAsia="Calibri" w:hAnsi="Calibri"/>
                <w:i/>
                <w:iCs/>
                <w:color w:val="595959"/>
                <w:sz w:val="18"/>
                <w:szCs w:val="18"/>
              </w:rPr>
              <w:t xml:space="preserve">Energía anual por subsistema (E5)</w:t>
            </w:r>
          </w:p>
        </w:tc>
      </w:tr>
      <w:tr>
        <w:trPr>
          <w:cantSplit/>
        </w:trPr>
        <w:tc>
          <w:tcPr>
            <w:tcW w:type="dxa" w:w="4819"/>
            <w:tcBorders>
              <w:top w:val="none" w:color="FFFFFF" w:sz="0"/>
              <w:left w:val="none" w:color="FFFFFF" w:sz="0"/>
              <w:bottom w:val="none" w:color="FFFFFF" w:sz="0"/>
              <w:right w:val="none" w:color="FFFFFF" w:sz="0"/>
            </w:tcBorders>
            <w:tcMar>
              <w:top w:type="dxa" w:w="60"/>
              <w:left w:type="dxa" w:w="80"/>
              <w:bottom w:type="dxa" w:w="60"/>
              <w:right w:type="dxa" w:w="80"/>
            </w:tcMar>
          </w:tcPr>
          <w:p>
            <w:pPr>
              <w:keepNext/>
              <w:jc w:val="center"/>
            </w:pPr>
            <w:r>
              <w:drawing>
                <wp:inline distT="0" distB="0" distL="0" distR="0">
                  <wp:extent cx="2809875" cy="1685925"/>
                  <wp:effectExtent t="0" r="0" b="0" l="0"/>
                  <wp:docPr id="3" name="fig_prediccion.png" descr="fig_prediccion.png" title="fig_predicc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09875" cy="1685925"/>
                          </a:xfrm>
                          <a:prstGeom prst="rect">
                            <a:avLst/>
                          </a:prstGeom>
                        </pic:spPr>
                      </pic:pic>
                    </a:graphicData>
                  </a:graphic>
                </wp:inline>
              </w:drawing>
            </w:r>
          </w:p>
          <w:p>
            <w:pPr>
              <w:keepNext w:val="false"/>
              <w:spacing w:after="80"/>
              <w:jc w:val="center"/>
            </w:pPr>
            <w:r>
              <w:rPr>
                <w:rFonts w:ascii="Calibri" w:cs="Calibri" w:eastAsia="Calibri" w:hAnsi="Calibri"/>
                <w:i/>
                <w:iCs/>
                <w:color w:val="595959"/>
                <w:sz w:val="18"/>
                <w:szCs w:val="18"/>
              </w:rPr>
              <w:t xml:space="preserve">Demanda simulada y demanda predicha</w:t>
            </w:r>
          </w:p>
        </w:tc>
        <w:tc>
          <w:tcPr>
            <w:tcW w:type="dxa" w:w="4819"/>
            <w:tcBorders>
              <w:top w:val="none" w:color="FFFFFF" w:sz="0"/>
              <w:left w:val="none" w:color="FFFFFF" w:sz="0"/>
              <w:bottom w:val="none" w:color="FFFFFF" w:sz="0"/>
              <w:right w:val="none" w:color="FFFFFF" w:sz="0"/>
            </w:tcBorders>
            <w:tcMar>
              <w:top w:type="dxa" w:w="60"/>
              <w:left w:type="dxa" w:w="80"/>
              <w:bottom w:type="dxa" w:w="60"/>
              <w:right w:type="dxa" w:w="80"/>
            </w:tcMar>
          </w:tcPr>
          <w:p>
            <w:pPr>
              <w:keepNext/>
              <w:jc w:val="center"/>
            </w:pPr>
            <w:r>
              <w:drawing>
                <wp:inline distT="0" distB="0" distL="0" distR="0">
                  <wp:extent cx="2809875" cy="1685925"/>
                  <wp:effectExtent t="0" r="0" b="0" l="0"/>
                  <wp:docPr id="4" name="fig_flujo.png" descr="fig_flujo.png" title="fig_fluj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09875" cy="1685925"/>
                          </a:xfrm>
                          <a:prstGeom prst="rect">
                            <a:avLst/>
                          </a:prstGeom>
                        </pic:spPr>
                      </pic:pic>
                    </a:graphicData>
                  </a:graphic>
                </wp:inline>
              </w:drawing>
            </w:r>
          </w:p>
          <w:p>
            <w:pPr>
              <w:keepNext w:val="false"/>
              <w:spacing w:after="80"/>
              <w:jc w:val="center"/>
            </w:pPr>
            <w:r>
              <w:rPr>
                <w:rFonts w:ascii="Calibri" w:cs="Calibri" w:eastAsia="Calibri" w:hAnsi="Calibri"/>
                <w:i/>
                <w:iCs/>
                <w:color w:val="595959"/>
                <w:sz w:val="18"/>
                <w:szCs w:val="18"/>
              </w:rPr>
              <w:t xml:space="preserve">Flujo de caja a 10 años (E5)</w:t>
            </w:r>
          </w:p>
        </w:tc>
      </w:tr>
    </w:tbl>
    <w:p>
      <w:pPr>
        <w:pStyle w:val="Heading1"/>
        <w:keepNext/>
        <w:pageBreakBefore/>
        <w:spacing w:after="120" w:before="300"/>
      </w:pPr>
      <w:r>
        <w:rPr>
          <w:rFonts w:ascii="Calibri" w:cs="Calibri" w:eastAsia="Calibri" w:hAnsi="Calibri"/>
          <w:b/>
          <w:bCs/>
          <w:color w:val="1F4E79"/>
          <w:sz w:val="28"/>
          <w:szCs w:val="28"/>
        </w:rPr>
        <w:t xml:space="preserve">6. Observaciones técnicas</w:t>
      </w:r>
    </w:p>
    <w:p>
      <w:pPr>
        <w:spacing w:after="120" w:line="280"/>
      </w:pPr>
      <w:r>
        <w:rPr>
          <w:rFonts w:ascii="Calibri" w:cs="Calibri" w:eastAsia="Calibri" w:hAnsi="Calibri"/>
          <w:sz w:val="21"/>
          <w:szCs w:val="21"/>
        </w:rPr>
        <w:t xml:space="preserve">Al revisar el código y las salidas encontramos varios puntos que conviene tener presentes al interpretar los resultados y al pasar al nuevo enfoque.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4200"/>
        <w:gridCol w:w="4988"/>
      </w:tblGrid>
      <w:tr>
        <w:trPr>
          <w:cantSplit/>
          <w:tblHeader/>
        </w:trPr>
        <w:tc>
          <w:tcPr>
            <w:tcW w:type="dxa" w:w="45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N°</w:t>
            </w:r>
          </w:p>
        </w:tc>
        <w:tc>
          <w:tcPr>
            <w:tcW w:type="dxa" w:w="420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Observación</w:t>
            </w:r>
          </w:p>
        </w:tc>
        <w:tc>
          <w:tcPr>
            <w:tcW w:type="dxa" w:w="4988"/>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Qué implica o qué hay que hacer</w:t>
            </w:r>
          </w:p>
        </w:tc>
      </w:tr>
      <w:tr>
        <w:trPr>
          <w:cantSplit/>
        </w:trPr>
        <w:tc>
          <w:tcPr>
            <w:tcW w:type="dxa" w:w="45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1</w:t>
            </w:r>
          </w:p>
        </w:tc>
        <w:tc>
          <w:tcPr>
            <w:tcW w:type="dxa" w:w="4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El ahorro de E4 y E5 (21,06 %) es un dato de entrada, tomado de los porcentajes por subsistema de las directrices. El modelo no lo calcula.</w:t>
            </w:r>
          </w:p>
        </w:tc>
        <w:tc>
          <w:tcPr>
            <w:tcW w:type="dxa" w:w="498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No se puede presentar como un ahorro obtenido por IA. En el nuevo enfoque el ahorro debe salir de un modelo por máquina, por ejemplo con ciclos de trabajo y uso de variadores.</w:t>
            </w:r>
          </w:p>
        </w:tc>
      </w:tr>
      <w:tr>
        <w:trPr>
          <w:cantSplit/>
        </w:trPr>
        <w:tc>
          <w:tcPr>
            <w:tcW w:type="dxa" w:w="45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2</w:t>
            </w:r>
          </w:p>
        </w:tc>
        <w:tc>
          <w:tcPr>
            <w:tcW w:type="dxa" w:w="42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E4 y E5 entregan exactamente lo mismo. La gestión de punta de E5 nunca se activa, porque la punta controlada (417 kW) ya está bajo el límite de 500 kW.</w:t>
            </w:r>
          </w:p>
        </w:tc>
        <w:tc>
          <w:tcPr>
            <w:tcW w:type="dxa" w:w="498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La reducción de punta de 22,2 % viene del ahorro general, no del desplazamiento de cargas. Para diferenciar E5 hay que bajar el límite o replantear esa lógica.</w:t>
            </w:r>
          </w:p>
        </w:tc>
      </w:tr>
      <w:tr>
        <w:trPr>
          <w:cantSplit/>
        </w:trPr>
        <w:tc>
          <w:tcPr>
            <w:tcW w:type="dxa" w:w="45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3</w:t>
            </w:r>
          </w:p>
        </w:tc>
        <w:tc>
          <w:tcPr>
            <w:tcW w:type="dxa" w:w="4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E2 (26,1 %) y E3 (24,0 %) ahorran más que E4 (21,1 %). Sus factores se fijaron a mano y no están calibrados.</w:t>
            </w:r>
          </w:p>
        </w:tc>
        <w:tc>
          <w:tcPr>
            <w:tcW w:type="dxa" w:w="498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No debe concluirse que el control horario supera a la IA. Hay que calibrarlos con datos o reformular los escenarios.</w:t>
            </w:r>
          </w:p>
        </w:tc>
      </w:tr>
      <w:tr>
        <w:trPr>
          <w:cantSplit/>
        </w:trPr>
        <w:tc>
          <w:tcPr>
            <w:tcW w:type="dxa" w:w="45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4</w:t>
            </w:r>
          </w:p>
        </w:tc>
        <w:tc>
          <w:tcPr>
            <w:tcW w:type="dxa" w:w="42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El predictor se entrena y se prueba con datos que salen del mismo generador sintético. Además, solo se probó regresión lineal.</w:t>
            </w:r>
          </w:p>
        </w:tc>
        <w:tc>
          <w:tcPr>
            <w:tcW w:type="dxa" w:w="498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El R² de 0,976 no demuestra capacidad real. Las directrices piden comparar también árboles, Random Forest, redes neuronales y LSTM.</w:t>
            </w:r>
          </w:p>
        </w:tc>
      </w:tr>
      <w:tr>
        <w:trPr>
          <w:cantSplit/>
        </w:trPr>
        <w:tc>
          <w:tcPr>
            <w:tcW w:type="dxa" w:w="45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5</w:t>
            </w:r>
          </w:p>
        </w:tc>
        <w:tc>
          <w:tcPr>
            <w:tcW w:type="dxa" w:w="4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El archivo resultados_escenarios.csv guarda RMSE, MAE, R², payback y TIR como enteros, por lo que aparecen valores como R² = 0. Parece deberse al COALESCE(…, 0) de la consulta en dt_plot.m.</w:t>
            </w:r>
          </w:p>
        </w:tc>
        <w:tc>
          <w:tcPr>
            <w:tcW w:type="dxa" w:w="498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Un dashboard que lea ese CSV mostraría datos incorrectos. Hay que corregir la consulta o leer el campo data_json, que sí tiene los valores exactos.</w:t>
            </w:r>
          </w:p>
        </w:tc>
      </w:tr>
      <w:tr>
        <w:trPr>
          <w:cantSplit/>
        </w:trPr>
        <w:tc>
          <w:tcPr>
            <w:tcW w:type="dxa" w:w="45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6</w:t>
            </w:r>
          </w:p>
        </w:tc>
        <w:tc>
          <w:tcPr>
            <w:tcW w:type="dxa" w:w="42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De las 1.111 alarmas generadas, 800 son de sobrecarga en iluminación y auxiliares, y están limitadas a 200 por equipo. Las potencias nominales del catálogo no cuadran con la energía asignada.</w:t>
            </w:r>
          </w:p>
        </w:tc>
        <w:tc>
          <w:tcPr>
            <w:tcW w:type="dxa" w:w="498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Son efectos del modelo, no fallas reales. Con máquinas reales y su potencia de placa este problema desaparece.</w:t>
            </w:r>
          </w:p>
        </w:tc>
      </w:tr>
      <w:tr>
        <w:trPr>
          <w:cantSplit/>
        </w:trPr>
        <w:tc>
          <w:tcPr>
            <w:tcW w:type="dxa" w:w="45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7</w:t>
            </w:r>
          </w:p>
        </w:tc>
        <w:tc>
          <w:tcPr>
            <w:tcW w:type="dxa" w:w="4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Hay diferencias entre documentos: el payback es 3,9 años en las directrices y 3,8 en el motor, y uno de los resúmenes describe un concurso distinto al de las bases oficiales.</w:t>
            </w:r>
          </w:p>
        </w:tc>
        <w:tc>
          <w:tcPr>
            <w:tcW w:type="dxa" w:w="498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Usar el PDF de las bases de Siemens como referencia y unificar las cifras antes de entregar.</w:t>
            </w:r>
          </w:p>
        </w:tc>
      </w:tr>
    </w:tbl>
    <w:p>
      <w:pPr>
        <w:pStyle w:val="Heading1"/>
        <w:keepNext/>
        <w:spacing w:after="120" w:before="300"/>
      </w:pPr>
      <w:r>
        <w:rPr>
          <w:rFonts w:ascii="Calibri" w:cs="Calibri" w:eastAsia="Calibri" w:hAnsi="Calibri"/>
          <w:b/>
          <w:bCs/>
          <w:color w:val="1F4E79"/>
          <w:sz w:val="28"/>
          <w:szCs w:val="28"/>
        </w:rPr>
        <w:t xml:space="preserve">7. Arquitectura del nuevo enfoque</w:t>
      </w:r>
    </w:p>
    <w:p>
      <w:pPr>
        <w:spacing w:after="120" w:line="280"/>
      </w:pPr>
      <w:r>
        <w:rPr>
          <w:rFonts w:ascii="Calibri" w:cs="Calibri" w:eastAsia="Calibri" w:hAnsi="Calibri"/>
          <w:sz w:val="21"/>
          <w:szCs w:val="21"/>
        </w:rPr>
        <w:t xml:space="preserve">Del motor versión 1.0.0 se conservan la capa de persistencia en SQLite, el orquestador, el módulo económico y de emisiones, y la lógica de escenarios y sensibilidades. Cambia la unidad de modelado: en lugar de distribuir la energía anual de un edificio entre subsistemas (enfoque descendente), la demanda total se obtiene sumando la simulación individual de cada máquina (enfoque ascendente).</w:t>
      </w:r>
    </w:p>
    <w:p>
      <w:pPr>
        <w:pStyle w:val="Heading2"/>
        <w:keepNext/>
        <w:spacing w:after="100" w:before="240"/>
      </w:pPr>
      <w:r>
        <w:rPr>
          <w:rFonts w:ascii="Calibri" w:cs="Calibri" w:eastAsia="Calibri" w:hAnsi="Calibri"/>
          <w:b/>
          <w:bCs/>
          <w:color w:val="2E75B6"/>
          <w:sz w:val="24"/>
          <w:szCs w:val="24"/>
        </w:rPr>
        <w:t xml:space="preserve">7.1 Estructura modular por máquina</w:t>
      </w:r>
    </w:p>
    <w:p>
      <w:pPr>
        <w:keepNext/>
        <w:spacing w:after="120" w:line="280"/>
      </w:pPr>
      <w:r>
        <w:rPr>
          <w:rFonts w:ascii="Calibri" w:cs="Calibri" w:eastAsia="Calibri" w:hAnsi="Calibri"/>
          <w:sz w:val="21"/>
          <w:szCs w:val="21"/>
        </w:rPr>
        <w:t xml:space="preserve">Cada equipo se define en una carpeta independiente con una estructura común, de modo que incorporar una máquina nueva no requiere modificar el motor: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0"/>
        <w:gridCol w:w="6538"/>
      </w:tblGrid>
      <w:tr>
        <w:trPr>
          <w:cantSplit/>
          <w:tblHeader/>
        </w:trPr>
        <w:tc>
          <w:tcPr>
            <w:tcW w:type="dxa" w:w="310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Archivo</w:t>
            </w:r>
          </w:p>
        </w:tc>
        <w:tc>
          <w:tcPr>
            <w:tcW w:type="dxa" w:w="6538"/>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Contenido</w:t>
            </w:r>
          </w:p>
        </w:tc>
      </w:tr>
      <w:tr>
        <w:trPr>
          <w:cantSplit/>
        </w:trPr>
        <w:tc>
          <w:tcPr>
            <w:tcW w:type="dxa" w:w="31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bCs/>
                <w:sz w:val="19"/>
                <w:szCs w:val="19"/>
              </w:rPr>
              <w:t xml:space="preserve">machines/&lt;id&gt;/machine.json</w:t>
            </w:r>
          </w:p>
        </w:tc>
        <w:tc>
          <w:tcPr>
            <w:tcW w:type="dxa" w:w="65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Datos de placa (tipo, sector, potencia nominal, tensión, fases, factor de potencia, eficiencia) y referencia de la ficha técnica</w:t>
            </w:r>
          </w:p>
        </w:tc>
      </w:tr>
      <w:tr>
        <w:trPr>
          <w:cantSplit/>
        </w:trPr>
        <w:tc>
          <w:tcPr>
            <w:tcW w:type="dxa" w:w="31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bCs/>
                <w:sz w:val="19"/>
                <w:szCs w:val="19"/>
              </w:rPr>
              <w:t xml:space="preserve">machines/&lt;id&gt;/profile.json</w:t>
            </w:r>
          </w:p>
        </w:tc>
        <w:tc>
          <w:tcPr>
            <w:tcW w:type="dxa" w:w="65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Perfil de operación: ciclo de trabajo, turnos y nivel de carga</w:t>
            </w:r>
          </w:p>
        </w:tc>
      </w:tr>
      <w:tr>
        <w:trPr>
          <w:cantSplit/>
        </w:trPr>
        <w:tc>
          <w:tcPr>
            <w:tcW w:type="dxa" w:w="31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bCs/>
                <w:sz w:val="19"/>
                <w:szCs w:val="19"/>
              </w:rPr>
              <w:t xml:space="preserve">machines/&lt;id&gt;/simulate.m</w:t>
            </w:r>
          </w:p>
        </w:tc>
        <w:tc>
          <w:tcPr>
            <w:tcW w:type="dxa" w:w="65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Modelo de la máquina, con la misma interfaz de entrada y salida para todos los equipos</w:t>
            </w:r>
          </w:p>
        </w:tc>
      </w:tr>
      <w:tr>
        <w:trPr>
          <w:cantSplit/>
        </w:trPr>
        <w:tc>
          <w:tcPr>
            <w:tcW w:type="dxa" w:w="31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bCs/>
                <w:sz w:val="19"/>
                <w:szCs w:val="19"/>
              </w:rPr>
              <w:t xml:space="preserve">machines/&lt;id&gt;/results/</w:t>
            </w:r>
          </w:p>
        </w:tc>
        <w:tc>
          <w:tcPr>
            <w:tcW w:type="dxa" w:w="65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Resultados de la simulación en el formato de la base de datos y del dashboard</w:t>
            </w:r>
          </w:p>
        </w:tc>
      </w:tr>
    </w:tbl>
    <w:p>
      <w:pPr>
        <w:spacing w:after="120"/>
      </w:pPr>
    </w:p>
    <w:p>
      <w:pPr>
        <w:spacing w:after="120" w:line="280"/>
      </w:pPr>
      <w:r>
        <w:rPr>
          <w:rFonts w:ascii="Calibri" w:cs="Calibri" w:eastAsia="Calibri" w:hAnsi="Calibri"/>
          <w:sz w:val="21"/>
          <w:szCs w:val="21"/>
        </w:rPr>
        <w:t xml:space="preserve">La potencia horaria de cada máquina i se calcula a partir de su potencia nominal, su factor de carga según el perfil de operación y su eficiencia, con un consumo en espera cuando el equipo no está en uso:</w:t>
      </w:r>
    </w:p>
    <w:p>
      <w:pPr>
        <w:spacing w:after="160" w:before="60"/>
        <w:jc w:val="center"/>
      </w:pPr>
      <w:r>
        <w:rPr>
          <w:rFonts w:ascii="Calibri" w:cs="Calibri" w:eastAsia="Calibri" w:hAnsi="Calibri"/>
          <w:i/>
          <w:iCs/>
          <w:sz w:val="21"/>
          <w:szCs w:val="21"/>
        </w:rPr>
        <w:t xml:space="preserve">P_i(t) = s_i(t) · P_nom,i · u_i(t) / η_i + (1 − s_i(t)) · P_espera,i          P_T(t) = Σ P_i(t)</w:t>
      </w:r>
    </w:p>
    <w:p>
      <w:pPr>
        <w:spacing w:after="120" w:line="280"/>
      </w:pPr>
      <w:r>
        <w:rPr>
          <w:rFonts w:ascii="Calibri" w:cs="Calibri" w:eastAsia="Calibri" w:hAnsi="Calibri"/>
          <w:sz w:val="21"/>
          <w:szCs w:val="21"/>
        </w:rPr>
        <w:t xml:space="preserve">donde s_i(t) es el estado de operación (1 en funcionamiento, 0 en espera) y u_i(t) el factor de carga. La demanda total P_T(t) alimenta el mismo cálculo de energía, punta, costos, emisiones, VAN, TIR y payback del motor actual.</w:t>
      </w:r>
    </w:p>
    <w:p>
      <w:pPr>
        <w:spacing w:after="120" w:line="280"/>
      </w:pPr>
      <w:r>
        <w:rPr>
          <w:rFonts w:ascii="Calibri" w:cs="Calibri" w:eastAsia="Calibri" w:hAnsi="Calibri"/>
          <w:sz w:val="21"/>
          <w:szCs w:val="21"/>
        </w:rPr>
        <w:t xml:space="preserve">El catálogo objetivo reúne al menos 100 equipos agrupados por categoría: motores y bombas, compresores, ventiladores y climatización, chillers, hornos y calentadores, cintas transportadoras, máquinas herramienta, equipos de laboratorio, servidores e iluminación. Los parámetros de cada equipo se obtienen de datos de placa y fichas técnicas del fabricante, y el catálogo se genera a partir de plantillas por tipo y tamaño.</w:t>
      </w:r>
    </w:p>
    <w:p>
      <w:pPr>
        <w:pStyle w:val="Heading2"/>
        <w:keepNext/>
        <w:spacing w:after="100" w:before="240"/>
      </w:pPr>
      <w:r>
        <w:rPr>
          <w:rFonts w:ascii="Calibri" w:cs="Calibri" w:eastAsia="Calibri" w:hAnsi="Calibri"/>
          <w:b/>
          <w:bCs/>
          <w:color w:val="2E75B6"/>
          <w:sz w:val="24"/>
          <w:szCs w:val="24"/>
        </w:rPr>
        <w:t xml:space="preserve">7.2 Dashboard comparador</w:t>
      </w:r>
    </w:p>
    <w:p>
      <w:pPr>
        <w:keepNext/>
        <w:spacing w:after="120" w:line="280"/>
      </w:pPr>
      <w:r>
        <w:rPr>
          <w:rFonts w:ascii="Calibri" w:cs="Calibri" w:eastAsia="Calibri" w:hAnsi="Calibri"/>
          <w:sz w:val="21"/>
          <w:szCs w:val="21"/>
        </w:rPr>
        <w:t xml:space="preserve">El dashboard lee los resultados desde la base de datos y se organiza en cinco vistas: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538"/>
        <w:gridCol w:w="2800"/>
      </w:tblGrid>
      <w:tr>
        <w:trPr>
          <w:cantSplit/>
          <w:tblHeader/>
        </w:trPr>
        <w:tc>
          <w:tcPr>
            <w:tcW w:type="dxa" w:w="230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Vista</w:t>
            </w:r>
          </w:p>
        </w:tc>
        <w:tc>
          <w:tcPr>
            <w:tcW w:type="dxa" w:w="4538"/>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Contenido</w:t>
            </w:r>
          </w:p>
        </w:tc>
        <w:tc>
          <w:tcPr>
            <w:tcW w:type="dxa" w:w="280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Tablas de origen</w:t>
            </w:r>
          </w:p>
        </w:tc>
      </w:tr>
      <w:tr>
        <w:trPr>
          <w:cantSplit/>
        </w:trPr>
        <w:tc>
          <w:tcPr>
            <w:tcW w:type="dxa" w:w="23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bCs/>
                <w:sz w:val="19"/>
                <w:szCs w:val="19"/>
              </w:rPr>
              <w:t xml:space="preserve">Resumen</w:t>
            </w:r>
          </w:p>
        </w:tc>
        <w:tc>
          <w:tcPr>
            <w:tcW w:type="dxa" w:w="45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Consumo, costo, CO₂ y punta; ahorro respecto de la línea base</w:t>
            </w:r>
          </w:p>
        </w:tc>
        <w:tc>
          <w:tcPr>
            <w:tcW w:type="dxa" w:w="2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simulation_results</w:t>
            </w:r>
          </w:p>
        </w:tc>
      </w:tr>
      <w:tr>
        <w:trPr>
          <w:cantSplit/>
        </w:trPr>
        <w:tc>
          <w:tcPr>
            <w:tcW w:type="dxa" w:w="23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bCs/>
                <w:sz w:val="19"/>
                <w:szCs w:val="19"/>
              </w:rPr>
              <w:t xml:space="preserve">Comparador</w:t>
            </w:r>
          </w:p>
        </w:tc>
        <w:tc>
          <w:tcPr>
            <w:tcW w:type="dxa" w:w="45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Máquinas y escenarios lado a lado, con ranking de oportunidades de ahorro</w:t>
            </w:r>
          </w:p>
        </w:tc>
        <w:tc>
          <w:tcPr>
            <w:tcW w:type="dxa" w:w="28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simulation_results, devices</w:t>
            </w:r>
          </w:p>
        </w:tc>
      </w:tr>
      <w:tr>
        <w:trPr>
          <w:cantSplit/>
        </w:trPr>
        <w:tc>
          <w:tcPr>
            <w:tcW w:type="dxa" w:w="23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bCs/>
                <w:sz w:val="19"/>
                <w:szCs w:val="19"/>
              </w:rPr>
              <w:t xml:space="preserve">Demanda y predicción</w:t>
            </w:r>
          </w:p>
        </w:tc>
        <w:tc>
          <w:tcPr>
            <w:tcW w:type="dxa" w:w="45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Curva real y predicha, error y pronóstico a 24 horas</w:t>
            </w:r>
          </w:p>
        </w:tc>
        <w:tc>
          <w:tcPr>
            <w:tcW w:type="dxa" w:w="2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subsystem_profiles, measurements</w:t>
            </w:r>
          </w:p>
        </w:tc>
      </w:tr>
      <w:tr>
        <w:trPr>
          <w:cantSplit/>
        </w:trPr>
        <w:tc>
          <w:tcPr>
            <w:tcW w:type="dxa" w:w="23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bCs/>
                <w:sz w:val="19"/>
                <w:szCs w:val="19"/>
              </w:rPr>
              <w:t xml:space="preserve">Escenarios</w:t>
            </w:r>
          </w:p>
        </w:tc>
        <w:tc>
          <w:tcPr>
            <w:tcW w:type="dxa" w:w="45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Variación de tarifa, horario, carga o inversión, con los indicadores recalculados</w:t>
            </w:r>
          </w:p>
        </w:tc>
        <w:tc>
          <w:tcPr>
            <w:tcW w:type="dxa" w:w="28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scenarios</w:t>
            </w:r>
          </w:p>
        </w:tc>
      </w:tr>
      <w:tr>
        <w:trPr>
          <w:cantSplit/>
        </w:trPr>
        <w:tc>
          <w:tcPr>
            <w:tcW w:type="dxa" w:w="23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bCs/>
                <w:sz w:val="19"/>
                <w:szCs w:val="19"/>
              </w:rPr>
              <w:t xml:space="preserve">Alarmas</w:t>
            </w:r>
          </w:p>
        </w:tc>
        <w:tc>
          <w:tcPr>
            <w:tcW w:type="dxa" w:w="45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Sobrecargas, bajo factor de potencia y desvíos mayores a 15 %</w:t>
            </w:r>
          </w:p>
        </w:tc>
        <w:tc>
          <w:tcPr>
            <w:tcW w:type="dxa" w:w="2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events</w:t>
            </w:r>
          </w:p>
        </w:tc>
      </w:tr>
    </w:tbl>
    <w:p>
      <w:pPr>
        <w:spacing w:after="200" w:before="100"/>
      </w:pPr>
      <w:r>
        <w:rPr>
          <w:rFonts w:ascii="Calibri" w:cs="Calibri" w:eastAsia="Calibri" w:hAnsi="Calibri"/>
          <w:i/>
          <w:iCs/>
          <w:color w:val="595959"/>
          <w:sz w:val="18"/>
          <w:szCs w:val="18"/>
        </w:rPr>
        <w:t xml:space="preserve">Los resultados se exportan a JSON para visualizarlos en una página web estática, sin depender de MATLAB.</w:t>
      </w:r>
    </w:p>
    <w:p>
      <w:pPr>
        <w:pStyle w:val="Heading1"/>
        <w:keepNext/>
        <w:pageBreakBefore/>
        <w:spacing w:after="120" w:before="300"/>
      </w:pPr>
      <w:r>
        <w:rPr>
          <w:rFonts w:ascii="Calibri" w:cs="Calibri" w:eastAsia="Calibri" w:hAnsi="Calibri"/>
          <w:b/>
          <w:bCs/>
          <w:color w:val="1F4E79"/>
          <w:sz w:val="28"/>
          <w:szCs w:val="28"/>
        </w:rPr>
        <w:t xml:space="preserve">8. Plan hasta la entrega y riesgos</w:t>
      </w:r>
    </w:p>
    <w:p>
      <w:pPr>
        <w:keepNext/>
        <w:spacing w:after="120" w:line="280"/>
      </w:pPr>
      <w:r>
        <w:rPr>
          <w:rFonts w:ascii="Calibri" w:cs="Calibri" w:eastAsia="Calibri" w:hAnsi="Calibri"/>
          <w:sz w:val="21"/>
          <w:szCs w:val="21"/>
        </w:rPr>
        <w:t xml:space="preserve">Esto es una propuesta de calendario para los días que quedan: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Fechas</w:t>
            </w:r>
          </w:p>
        </w:tc>
        <w:tc>
          <w:tcPr>
            <w:tcW w:type="dxa" w:w="7638"/>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Trabajo</w:t>
            </w:r>
          </w:p>
        </w:tc>
      </w:tr>
      <w:tr>
        <w:trPr>
          <w:cantSplit/>
        </w:trPr>
        <w:tc>
          <w:tcPr>
            <w:tcW w:type="dxa" w:w="2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bCs/>
                <w:sz w:val="19"/>
                <w:szCs w:val="19"/>
              </w:rPr>
              <w:t xml:space="preserve">12 al 14 de oct.</w:t>
            </w:r>
          </w:p>
        </w:tc>
        <w:tc>
          <w:tcPr>
            <w:tcW w:type="dxa" w:w="76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Definir la estructura de carpetas y archivos de máquina, adaptar el motor, cargar las primeras 20 a 30 máquinas y corregir las observaciones 5 y 6</w:t>
            </w:r>
          </w:p>
        </w:tc>
      </w:tr>
      <w:tr>
        <w:trPr>
          <w:cantSplit/>
        </w:trPr>
        <w:tc>
          <w:tcPr>
            <w:tcW w:type="dxa" w:w="2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bCs/>
                <w:sz w:val="19"/>
                <w:szCs w:val="19"/>
              </w:rPr>
              <w:t xml:space="preserve">15 al 18 de oct.</w:t>
            </w:r>
          </w:p>
        </w:tc>
        <w:tc>
          <w:tcPr>
            <w:tcW w:type="dxa" w:w="76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Completar las 100 máquinas, correr las simulaciones y poblar la base de datos</w:t>
            </w:r>
          </w:p>
        </w:tc>
      </w:tr>
      <w:tr>
        <w:trPr>
          <w:cantSplit/>
        </w:trPr>
        <w:tc>
          <w:tcPr>
            <w:tcW w:type="dxa" w:w="2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bCs/>
                <w:sz w:val="19"/>
                <w:szCs w:val="19"/>
              </w:rPr>
              <w:t xml:space="preserve">19 al 21 de oct.</w:t>
            </w:r>
          </w:p>
        </w:tc>
        <w:tc>
          <w:tcPr>
            <w:tcW w:type="dxa" w:w="76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Mejorar el predictor comparando al menos tres modelos y armar una primera versión del dashboard</w:t>
            </w:r>
          </w:p>
        </w:tc>
      </w:tr>
      <w:tr>
        <w:trPr>
          <w:cantSplit/>
        </w:trPr>
        <w:tc>
          <w:tcPr>
            <w:tcW w:type="dxa" w:w="2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bCs/>
                <w:sz w:val="19"/>
                <w:szCs w:val="19"/>
              </w:rPr>
              <w:t xml:space="preserve">22 de oct.</w:t>
            </w:r>
          </w:p>
        </w:tc>
        <w:tc>
          <w:tcPr>
            <w:tcW w:type="dxa" w:w="76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Redactar el informe final (hasta 8 páginas, en PDF, con logo y carátula) y preparar la presentación</w:t>
            </w:r>
          </w:p>
        </w:tc>
      </w:tr>
      <w:tr>
        <w:trPr>
          <w:cantSplit/>
        </w:trPr>
        <w:tc>
          <w:tcPr>
            <w:tcW w:type="dxa" w:w="2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bCs/>
                <w:sz w:val="19"/>
                <w:szCs w:val="19"/>
              </w:rPr>
              <w:t xml:space="preserve">23 de oct.</w:t>
            </w:r>
          </w:p>
        </w:tc>
        <w:tc>
          <w:tcPr>
            <w:tcW w:type="dxa" w:w="76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Enviar el informe y los archivos de respaldo a siemens.marketing.ar@siemens.com</w:t>
            </w:r>
          </w:p>
        </w:tc>
      </w:tr>
    </w:tbl>
    <w:p>
      <w:pPr>
        <w:spacing w:after="140"/>
      </w:pPr>
    </w:p>
    <w:p>
      <w:pPr>
        <w:spacing w:after="120" w:line="280"/>
      </w:pPr>
      <w:r>
        <w:rPr>
          <w:rFonts w:ascii="Calibri" w:cs="Calibri" w:eastAsia="Calibri" w:hAnsi="Calibri"/>
          <w:sz w:val="21"/>
          <w:szCs w:val="21"/>
        </w:rPr>
        <w:t xml:space="preserve">Los principales riesgos que vemos son:</w:t>
      </w:r>
    </w:p>
    <w:p>
      <w:pPr>
        <w:pStyle w:val="ListParagraph"/>
        <w:numPr>
          <w:ilvl w:val="0"/>
          <w:numId w:val="2"/>
        </w:numPr>
        <w:spacing w:after="80" w:line="285"/>
      </w:pPr>
      <w:r>
        <w:rPr>
          <w:rFonts w:ascii="Calibri" w:cs="Calibri" w:eastAsia="Calibri" w:hAnsi="Calibri"/>
          <w:sz w:val="21"/>
          <w:szCs w:val="21"/>
        </w:rPr>
        <w:t xml:space="preserve">El cambio de alcance llega tarde. Pasar de 22 a 100 máquinas y armar el dashboard en once días es exigente. Las plantillas por tipo de equipo y un dashboard mínimo ayudan a controlarlo.</w:t>
      </w:r>
    </w:p>
    <w:p>
      <w:pPr>
        <w:pStyle w:val="ListParagraph"/>
        <w:numPr>
          <w:ilvl w:val="0"/>
          <w:numId w:val="2"/>
        </w:numPr>
        <w:spacing w:after="80" w:line="285"/>
      </w:pPr>
      <w:r>
        <w:rPr>
          <w:rFonts w:ascii="Calibri" w:cs="Calibri" w:eastAsia="Calibri" w:hAnsi="Calibri"/>
          <w:sz w:val="21"/>
          <w:szCs w:val="21"/>
        </w:rPr>
        <w:t xml:space="preserve">Sin datos reales de una instalación, el análisis puede verse como genérico. Conviene citar fichas técnicas reales y dejar explícitos los supuestos.</w:t>
      </w:r>
    </w:p>
    <w:p>
      <w:pPr>
        <w:pStyle w:val="ListParagraph"/>
        <w:numPr>
          <w:ilvl w:val="0"/>
          <w:numId w:val="2"/>
        </w:numPr>
        <w:spacing w:after="80" w:line="285"/>
      </w:pPr>
      <w:r>
        <w:rPr>
          <w:rFonts w:ascii="Calibri" w:cs="Calibri" w:eastAsia="Calibri" w:hAnsi="Calibri"/>
          <w:sz w:val="21"/>
          <w:szCs w:val="21"/>
        </w:rPr>
        <w:t xml:space="preserve">Si el ahorro es un porcentaje fijo, es fácil de cuestionar. Es mejor calcularlo por máquina a partir de su ciclo de trabajo, el uso de variadores y el consumo en espera.</w:t>
      </w:r>
    </w:p>
    <w:p>
      <w:pPr>
        <w:pStyle w:val="ListParagraph"/>
        <w:numPr>
          <w:ilvl w:val="0"/>
          <w:numId w:val="2"/>
        </w:numPr>
        <w:spacing w:after="80" w:line="285"/>
      </w:pPr>
      <w:r>
        <w:rPr>
          <w:rFonts w:ascii="Calibri" w:cs="Calibri" w:eastAsia="Calibri" w:hAnsi="Calibri"/>
          <w:sz w:val="21"/>
          <w:szCs w:val="21"/>
        </w:rPr>
        <w:t xml:space="preserve">El nuevo enfoque se definió hace pocos días y todavía se está validando con el profesor tutor, por lo que conviene cerrar el alcance esta semana.</w:t>
      </w:r>
    </w:p>
    <w:p>
      <w:pPr>
        <w:pStyle w:val="ListParagraph"/>
        <w:numPr>
          <w:ilvl w:val="0"/>
          <w:numId w:val="2"/>
        </w:numPr>
        <w:spacing w:after="80" w:line="285"/>
      </w:pPr>
      <w:r>
        <w:rPr>
          <w:rFonts w:ascii="Calibri" w:cs="Calibri" w:eastAsia="Calibri" w:hAnsi="Calibri"/>
          <w:sz w:val="21"/>
          <w:szCs w:val="21"/>
        </w:rPr>
        <w:t xml:space="preserve">MATLAB R2026a con Database Toolbox es un requisito. Si alguien del equipo no puede ejecutarlo, hay que dejar los resultados ya generados.</w:t>
      </w:r>
    </w:p>
    <w:p>
      <w:pPr>
        <w:pStyle w:val="Heading1"/>
        <w:keepNext/>
        <w:spacing w:after="120" w:before="300"/>
      </w:pPr>
      <w:r>
        <w:rPr>
          <w:rFonts w:ascii="Calibri" w:cs="Calibri" w:eastAsia="Calibri" w:hAnsi="Calibri"/>
          <w:b/>
          <w:bCs/>
          <w:color w:val="1F4E79"/>
          <w:sz w:val="28"/>
          <w:szCs w:val="28"/>
        </w:rPr>
        <w:t xml:space="preserve">Anexo. Cómo reproducir los resultados</w:t>
      </w:r>
    </w:p>
    <w:p>
      <w:pPr>
        <w:pStyle w:val="ListParagraph"/>
        <w:numPr>
          <w:ilvl w:val="0"/>
          <w:numId w:val="2"/>
        </w:numPr>
        <w:spacing w:after="80" w:line="285"/>
      </w:pPr>
      <w:r>
        <w:rPr>
          <w:rFonts w:ascii="Calibri" w:cs="Calibri" w:eastAsia="Calibri" w:hAnsi="Calibri"/>
          <w:sz w:val="21"/>
          <w:szCs w:val="21"/>
        </w:rPr>
        <w:t xml:space="preserve">Se necesita MATLAB R2026a o superior con Database Toolbox, y Python 3.9 o superior (solo biblioteca estándar).</w:t>
      </w:r>
    </w:p>
    <w:p>
      <w:pPr>
        <w:pStyle w:val="ListParagraph"/>
        <w:numPr>
          <w:ilvl w:val="0"/>
          <w:numId w:val="2"/>
        </w:numPr>
        <w:spacing w:after="80" w:line="285"/>
      </w:pPr>
      <w:r>
        <w:rPr>
          <w:rFonts w:ascii="Calibri" w:cs="Calibri" w:eastAsia="Calibri" w:hAnsi="Calibri"/>
          <w:sz w:val="21"/>
          <w:szCs w:val="21"/>
        </w:rPr>
        <w:t xml:space="preserve">Se ejecuta con «python orquestador.py». Si MATLAB no está en el PATH, hay que definir la variable MATLAB_BIN.</w:t>
      </w:r>
    </w:p>
    <w:p>
      <w:pPr>
        <w:pStyle w:val="ListParagraph"/>
        <w:numPr>
          <w:ilvl w:val="0"/>
          <w:numId w:val="2"/>
        </w:numPr>
        <w:spacing w:after="80" w:line="285"/>
      </w:pPr>
      <w:r>
        <w:rPr>
          <w:rFonts w:ascii="Calibri" w:cs="Calibri" w:eastAsia="Calibri" w:hAnsi="Calibri"/>
          <w:sz w:val="21"/>
          <w:szCs w:val="21"/>
        </w:rPr>
        <w:t xml:space="preserve">Genera la base bd/spacewise.db, que se recrea en cada corrida y no se sube al repositorio, y deja figuras y CSV en matlab/output/.</w:t>
      </w:r>
    </w:p>
    <w:p>
      <w:pPr>
        <w:pStyle w:val="ListParagraph"/>
        <w:numPr>
          <w:ilvl w:val="0"/>
          <w:numId w:val="2"/>
        </w:numPr>
        <w:spacing w:after="80" w:line="285"/>
      </w:pPr>
      <w:r>
        <w:rPr>
          <w:rFonts w:ascii="Calibri" w:cs="Calibri" w:eastAsia="Calibri" w:hAnsi="Calibri"/>
          <w:sz w:val="21"/>
          <w:szCs w:val="21"/>
        </w:rPr>
        <w:t xml:space="preserve">Los parámetros se editan en matlab/config/spacewise_params.m y los escenarios en matlab/src/dt_scenario.m.</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7"/>
        <w:szCs w:val="17"/>
      </w:rPr>
      <w:t xml:space="preserve">Página </w:t>
    </w:r>
    <w:r>
      <w:rPr>
        <w:rFonts w:ascii="Calibri" w:cs="Calibri" w:eastAsia="Calibri" w:hAnsi="Calibri"/>
        <w:color w:val="7F7F7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7"/>
        <w:szCs w:val="17"/>
      </w:rPr>
      <w:t xml:space="preserve">SPACEWISE AI · Informe técnico de avance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2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b57b7153f08723cb2d8383f4e7251e225a4c774b.png"/><Relationship Id="rId10" Type="http://schemas.openxmlformats.org/officeDocument/2006/relationships/image" Target="media/8d5fee41f20422ec801f14d61dc01677aea3fef0.png"/><Relationship Id="rId11" Type="http://schemas.openxmlformats.org/officeDocument/2006/relationships/image" Target="media/afc909a688f3dc16789f917c22e7c51f312354e2.png"/><Relationship Id="rId12" Type="http://schemas.openxmlformats.org/officeDocument/2006/relationships/image" Target="media/d48206aef34097c9b5a25b6420920eddc631741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SPACEWISE AI - Informe técnico de avance</dc:title>
  <dc:creator>SPACEWISE AI</dc:creator>
  <cp:lastModifiedBy>Un-named</cp:lastModifiedBy>
  <cp:revision>1</cp:revision>
  <dcterms:created xsi:type="dcterms:W3CDTF">2026-10-12T19:12:05.288Z</dcterms:created>
  <dcterms:modified xsi:type="dcterms:W3CDTF">2026-10-12T19:12:05.290Z</dcterms:modified>
</cp:coreProperties>
</file>

<file path=docProps/custom.xml><?xml version="1.0" encoding="utf-8"?>
<Properties xmlns="http://schemas.openxmlformats.org/officeDocument/2006/custom-properties" xmlns:vt="http://schemas.openxmlformats.org/officeDocument/2006/docPropsVTypes"/>
</file>