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 framework to investigate trophic reorganization in marine systems using predator stomach contents</w:t>
      </w:r>
    </w:p>
    <w:p>
      <w:pPr>
        <w:pStyle w:val="Titre2"/>
      </w:pPr>
      <w:r>
        <w:t xml:space="preserve">1. Introduction</w:t>
      </w:r>
    </w:p>
    <w:p>
      <w:pPr>
        <w:pStyle w:val="Normal"/>
      </w:pPr>
      <w:r>
        <w:t xml:space="preserve">Fish diets integrate what prey are available, accessible and selected. Stomach contents are therefore one of the few direct records of how a predator community interacts with its prey field (Hyslop, 1980; Cortés, 1997). When an ecosystem changes, whether through fishing, warming or shifts in lower trophic levels, the change should be written into the diets of its predators. Stomach-content programmes attached to long-term surveys hold that signal. It is complementary to the biomass, community and oceanographic indicators on which ecosystem assessments usually rest (Link, 2004; Tam et al., 2017), and it is under-used.</w:t>
      </w:r>
    </w:p>
    <w:p>
      <w:pPr>
        <w:pStyle w:val="Normal"/>
      </w:pPr>
      <w:r>
        <w:t xml:space="preserve">Recent work shows how much those records can carry when they are modelled rather than described. Standardised stomach contents can track prey biomass itself (Ng et al., 2021). Diet data from many predators can be combined into spatial indices of forage fish that outperform survey indices for small unmanaged species (Gaichas et al., 2024), and the same machinery extends to population-level predation estimates (Grüss et al., 2020) and, with more caution, to benthic invertebrates (Reum et al., 2025). Yet indicators built on realized diet composition remain outside operational food-web indicator suites. The reason given is not that they are uninformative. It is that they need regular diet time series covering the food web, and those series have rarely been available (Cury et al., 2005; Tam et al., 2017). Where such series do exist, the question becomes how to read them.</w:t>
      </w:r>
    </w:p>
    <w:p>
      <w:pPr>
        <w:pStyle w:val="Normal"/>
      </w:pPr>
      <w:r>
        <w:t xml:space="preserve">That question raises a methodological problem which has received little explicit treatment. How can a lasting reorganization of feeding be told apart from the ordinary variation of diets from one year to the next?</w:t>
      </w:r>
    </w:p>
    <w:p>
      <w:pPr>
        <w:pStyle w:val="Normal"/>
      </w:pPr>
      <w:r>
        <w:t xml:space="preserve">Diet data are a limited and noisy sample of feeding. A stomach records only the most recent meals. The window it covers depends on the predator, the temperature and the prey type (Bromley, 1994; dos Santos and Jobling, 1991), and what it holds depends on when and where the fish was caught. Feeding varies with season (Schwalme and Chouinard, 1999) and among individuals. Diet also reflects locally available prey (Hanson, 2018), so it carries a spatial signature set by the predator's home range. The inference depends on the sampling design as well. The number of stomachs and trawl sets examined matters, as does the range of predator species and size classes sampled. So does the taxonomic resolution at which prey are recorded, and that last one depends on prey condition as much as on the analyst (Cortés, 1997; Buckland et al., 2017; Amundsen and Sánchez-Hernández, 2019). A single between-year comparison may therefore come out significant when nothing has been restructured. It may equally come out non-significant when a change is real but modest. A between-period change is convincing only when it forms a clear pattern that adjacent-year variation does not reproduce, and when it is expressed in a way that can be interpreted ecologically.</w:t>
      </w:r>
    </w:p>
    <w:p>
      <w:pPr>
        <w:pStyle w:val="Normal"/>
      </w:pPr>
      <w:r>
        <w:t xml:space="preserve">Interpretation requires more than one measure, because dietary change takes several forms and these need not move together (Cortés, 1997; Bolnick et al., 2003). A predator can change which prey it eats. It can change how evenly it uses the prey it eats. Or its individuals can become more or less specialised. A compositional turnover may leave diversity and niche breadth untouched, and a change in breadth may occur on a stable prey list. Summaries based on a single index capture one of these dimensions and can miss the others entirely. Dietary diversity and functional-group classification are the two most common such summaries (Garrison and Link, 2000). The distinction matters because link-level change, in which a consumer redirects its feeding without any change in the species present, is increasingly seen as the leading edge of ecosystem reorganization (Bartley et al., 2019). Node-based summaries are blind to it by construction. A framework that separates the three signals and interprets their combination therefore offers a more complete and more interpretable account of trophic change than any single index.</w:t>
      </w:r>
    </w:p>
    <w:p>
      <w:pPr>
        <w:pStyle w:val="Normal"/>
      </w:pPr>
      <w:r>
        <w:t xml:space="preserve">Here we develop such a framework. It uses three indices, prey composition, diversity and niche breadth, to sort the change in each predator's diet along a gradient of increasing severity, from stability to reorganisation. Its central design choice is comparative symmetry. The same procedure is applied to contrasts between adjacent years within a period and to the contrast between periods, so the between-period signal is assessed against an internal calibration of short-term variability. Two further layers make the classification robust rather than dependent on analytical choices. Every result is computed across a sweep of about 100 prey taxonomic resolutions and reported as the mean and spread across them, in the spirit of taxonomic sufficiency (Ellis, 1985; Warwick, 1988; Bevilacqua et al., 2009). And every analysis is repeated in two dietary currencies, prey biomass and frequency of occurrence (Hyslop, 1980; Baker et al., 2014). These layers are not research questions in themselves. They are conditions that any answer must satisfy.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t xml:space="preserve">We apply the framework to the southern Gulf of St Lawrence (sGSL). It is a shallow, semi-enclosed shelf sea, monitored since 1971 by a standardized September bottom-trawl survey (Hurlbut and Clay, 1990). The system has changed substantially against that baseline. Trawlable biomass fell sharply in the early 1990s and has not recovered. Several large demersal predators collapsed and remain depleted, among them Atlantic cod </w:t>
      </w:r>
      <w:r>
        <w:rPr>
          <w:rFonts w:ascii="Arial" w:hAnsi="Arial" w:eastAsia="Arial" w:cs="Arial"/>
          <w:i w:val="true"/>
          <w:b w:val="false"/>
          <w:u w:val="none"/>
          <w:strike w:val="false"/>
          <w:sz w:val="20"/>
          <w:szCs w:val="20"/>
          <w:color w:val="000000"/>
        </w:rPr>
        <w:t xml:space="preserve">Gadus morhua</w:t>
      </w:r>
      <w:r>
        <w:t xml:space="preserve">, white hake </w:t>
      </w:r>
      <w:r>
        <w:rPr>
          <w:rFonts w:ascii="Arial" w:hAnsi="Arial" w:eastAsia="Arial" w:cs="Arial"/>
          <w:i w:val="true"/>
          <w:b w:val="false"/>
          <w:u w:val="none"/>
          <w:strike w:val="false"/>
          <w:sz w:val="20"/>
          <w:szCs w:val="20"/>
          <w:color w:val="000000"/>
        </w:rPr>
        <w:t xml:space="preserve">Urophycis tenuis</w:t>
      </w:r>
      <w:r>
        <w:t xml:space="preserve">, American plaice </w:t>
      </w:r>
      <w:r>
        <w:rPr>
          <w:rFonts w:ascii="Arial" w:hAnsi="Arial" w:eastAsia="Arial" w:cs="Arial"/>
          <w:i w:val="true"/>
          <w:b w:val="false"/>
          <w:u w:val="none"/>
          <w:strike w:val="false"/>
          <w:sz w:val="20"/>
          <w:szCs w:val="20"/>
          <w:color w:val="000000"/>
        </w:rPr>
        <w:t xml:space="preserve">Hippoglossoides platessoides</w:t>
      </w:r>
      <w:r>
        <w:t xml:space="preserve">, and thorny and winter skates. Redfish (</w:t>
      </w:r>
      <w:r>
        <w:rPr>
          <w:rFonts w:ascii="Arial" w:hAnsi="Arial" w:eastAsia="Arial" w:cs="Arial"/>
          <w:i w:val="true"/>
          <w:b w:val="false"/>
          <w:u w:val="none"/>
          <w:strike w:val="false"/>
          <w:sz w:val="20"/>
          <w:szCs w:val="20"/>
          <w:color w:val="000000"/>
        </w:rPr>
        <w:t xml:space="preserve">Sebastes</w:t>
      </w:r>
      <w:r>
        <w:t xml:space="preserve"> spp.) meanwhile resurged on exceptional 2011–2013 year classes (Swain and Chouinard, 2008; Swain et al., 2013; Burbank et al., 2025; Senay et al., 2021). Over the same period the water column warmed and sea-ice volume decreased. Zooplankton shifted from large lipid-rich copepods to smaller taxa, and the size and condition of many demersal taxa declined (Galbraith et al., 2021; Benoît et al., in prep.). Diet studies in the sGSL have documented a shift of Atlantic cod from euphausiids to herring by the 1990s (Hanson and Chouinard, 2002), and have described the diets of white hake and of a broader set of coastal fishes (Hanson, 2011, 2018). All of them are single-species or static accounts. Whether the documented community change is mirrored across the diets of the fish community, and in what form, remains open. Stomach contents were collected systematically from a designated set of species during the September survey in 2004–2006 and in 2018–2019. That gives two periods roughly thirteen years apart, each with adjacent years inside it.</w:t>
      </w:r>
    </w:p>
    <w:p>
      <w:pPr>
        <w:pStyle w:val="Normal"/>
      </w:pPr>
      <w:r>
        <w:t xml:space="preserve">Three questions structure the application. First, how much do diets vary between adjacent years within each period, and is that variation similar in the mid-2000s and the late 2010s? Second, how do diets differ between the two periods, and in what form, once between-period change is assessed against within-period variation? Third, is the between-period signal consistent across three nested spatial scales, Gulf-wide, ecoregion and survey stratum, and across the two dietary currencies? Answering them turns a broad expectation into a specific account. The expectation is that a reorganized community must feed differently. The account says where fish diets changed, how widely, and in what form.</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2026-09-08T14:38:09Z</dcterms:modified>
  <cp:category/>
</cp:coreProperties>
</file>