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45.png" ContentType="image/png"/>
  <Override PartName="/word/media/rId60.png" ContentType="image/png"/>
  <Override PartName="/word/media/rId36.png" ContentType="image/png"/>
  <Override PartName="/word/media/rId9.jpg" ContentType="image/jpeg"/>
  <Override PartName="/word/media/rId12.png" ContentType="image/png"/>
  <Override PartName="/word/media/rId15.png" ContentType="image/png"/>
  <Override PartName="/word/media/rId39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48.png" ContentType="image/png"/>
  <Override PartName="/word/media/rId51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framework to investigate trophic reorganization in marine systems using predator stomach contents</w:t>
      </w:r>
    </w:p>
    <w:p>
      <w:pPr>
        <w:pStyle w:val="Subtitle"/>
      </w:pPr>
      <w:r>
        <w:t xml:space="preserve">Figures</w:t>
      </w:r>
    </w:p>
    <w:p>
      <w:pPr>
        <w:pStyle w:val="CaptionedFigure"/>
      </w:pPr>
      <w:r>
        <w:drawing>
          <wp:inline>
            <wp:extent cx="5334000" cy="4272463"/>
            <wp:effectExtent b="0" l="0" r="0" t="0"/>
            <wp:docPr descr="Figure 1. Study area. Bottom-trawl survey strata of the southern Gulf of St Lawrence (sGSL); numbers identify individual strata and the shading gives the depth range of each." title="" id="10" name="Picture"/>
            <a:graphic>
              <a:graphicData uri="http://schemas.openxmlformats.org/drawingml/2006/picture">
                <pic:pic>
                  <pic:nvPicPr>
                    <pic:cNvPr descr="Output_Figures/Fig1_study_area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2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Study area. Bottom-trawl survey strata of the southern Gulf of St Lawrence (sGSL); numbers identify individual strata and the shading gives the depth range of each.</w:t>
      </w:r>
    </w:p>
    <w:p>
      <w:pPr>
        <w:pStyle w:val="CaptionedFigure"/>
      </w:pPr>
      <w:r>
        <w:drawing>
          <wp:inline>
            <wp:extent cx="5334000" cy="3685309"/>
            <wp:effectExtent b="0" l="0" r="0" t="0"/>
            <wp:docPr descr="Figure 2. Position of the trawl sets from which predator stomachs were analysed, by survey year and pooled over years, in the four GSLEA ecoregions." title="" id="13" name="Picture"/>
            <a:graphic>
              <a:graphicData uri="http://schemas.openxmlformats.org/drawingml/2006/picture">
                <pic:pic>
                  <pic:nvPicPr>
                    <pic:cNvPr descr="Output_Figures/Fig2_sets_ecoregion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853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Position of the trawl sets from which predator stomachs were analysed, by survey year and pooled over years, in the four GSLEA ecoregions.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rey taxonomic resolution. (A) Number of prey categories retained as the aggregation threshold x (minimum number of stomachs) is swept from 10 to 1,000." title="" id="16" name="Picture"/>
            <a:graphic>
              <a:graphicData uri="http://schemas.openxmlformats.org/drawingml/2006/picture">
                <pic:pic>
                  <pic:nvPicPr>
                    <pic:cNvPr descr="Output_Figures/Fig3a_prey_categories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Prey taxonomic resolution. (A) Number of prey categories retained as the aggregation threshold x (minimum number of stomachs) is swept from 10 to 1,000.</w:t>
      </w:r>
    </w:p>
    <w:p>
      <w:pPr>
        <w:pStyle w:val="CaptionedFigure"/>
      </w:pPr>
      <w:r>
        <w:drawing>
          <wp:inline>
            <wp:extent cx="5334000" cy="2962794"/>
            <wp:effectExtent b="0" l="0" r="0" t="0"/>
            <wp:docPr descr="Figure 4. Decision tree of the diagnostic typology. Each eligible predator x size-class cell is routed by the outcome of the composition, diversity and niche-breadth tests to one of the nine states and to its family." title="" id="19" name="Picture"/>
            <a:graphic>
              <a:graphicData uri="http://schemas.openxmlformats.org/drawingml/2006/picture">
                <pic:pic>
                  <pic:nvPicPr>
                    <pic:cNvPr descr="Output_Figures/Fig4_typology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2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Decision tree of the diagnostic typology. Each eligible predator x size-class cell is routed by the outcome of the composition, diversity and niche-breadth tests to one of the nine states and to its family.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igure 5. Diet regime break at the Gulf-wide scale. Frequency (%) of the four diagnostic families among the predator x size-class cells, by contrast and currency; mean and standard deviation across the 100 prey taxonomic resolutions." title="" id="22" name="Picture"/>
            <a:graphic>
              <a:graphicData uri="http://schemas.openxmlformats.org/drawingml/2006/picture">
                <pic:pic>
                  <pic:nvPicPr>
                    <pic:cNvPr descr="Output_Figures/Fig5_regime_break_gulf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Diet regime break at the Gulf-wide scale. Frequency (%) of the four diagnostic families among the predator x size-class cells, by contrast and currency; mean and standard deviation across the 100 prey taxonomic resolutions.</w:t>
      </w:r>
    </w:p>
    <w:p>
      <w:pPr>
        <w:pStyle w:val="CaptionedFigure"/>
      </w:pPr>
      <w:r>
        <w:drawing>
          <wp:inline>
            <wp:extent cx="5334000" cy="3103418"/>
            <wp:effectExtent b="0" l="0" r="0" t="0"/>
            <wp:docPr descr="Figure 6. Diet regime break by ecoregion. Composition of the four diagnostic families within each ecoregion (columns) for each contrast, in both currencies." title="" id="25" name="Picture"/>
            <a:graphic>
              <a:graphicData uri="http://schemas.openxmlformats.org/drawingml/2006/picture">
                <pic:pic>
                  <pic:nvPicPr>
                    <pic:cNvPr descr="Output_Figures/Fig6_regime_break_eco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3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Diet regime break by ecoregion. Composition of the four diagnostic families within each ecoregion (columns) for each contrast, in both currencies.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igure 7. Diet regime break at the ecoregion scale. Frequency (%) of the four diagnostic families for each contrast, in biomass (solid) and occurrence (dashed); means across the four ecoregions." title="" id="28" name="Picture"/>
            <a:graphic>
              <a:graphicData uri="http://schemas.openxmlformats.org/drawingml/2006/picture">
                <pic:pic>
                  <pic:nvPicPr>
                    <pic:cNvPr descr="Output_Figures/Fig7_regime_break_ecoregio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Diet regime break at the ecoregion scale. Frequency (%) of the four diagnostic families for each contrast, in biomass (solid) and occurrence (dashed); means across the four ecoregions.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igure 8. Diet regime break at the stratum scale. As Figure 7, with the composites computed per survey stratum and averaged across strata." title="" id="31" name="Picture"/>
            <a:graphic>
              <a:graphicData uri="http://schemas.openxmlformats.org/drawingml/2006/picture">
                <pic:pic>
                  <pic:nvPicPr>
                    <pic:cNvPr descr="Output_Figures/Fig8_regime_break_stratum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Diet regime break at the stratum scale. As Figure 7, with the composites computed per survey stratum and averaged across strata.</w:t>
      </w:r>
    </w:p>
    <w:p>
      <w:pPr>
        <w:pStyle w:val="CaptionedFigure"/>
      </w:pPr>
      <w:r>
        <w:drawing>
          <wp:inline>
            <wp:extent cx="5334000" cy="4889499"/>
            <wp:effectExtent b="0" l="0" r="0" t="0"/>
            <wp:docPr descr="Figure 9. Spatial distribution of the four diagnostic families across survey strata, biomass currency. Each panel maps the within-stratum family composition for one contrast." title="" id="34" name="Picture"/>
            <a:graphic>
              <a:graphicData uri="http://schemas.openxmlformats.org/drawingml/2006/picture">
                <pic:pic>
                  <pic:nvPicPr>
                    <pic:cNvPr descr="Output_Figures/Fig9_map_strata_biom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Spatial distribution of the four diagnostic families across survey strata, biomass currency. Each panel maps the within-stratum family composition for one contrast.</w:t>
      </w:r>
    </w:p>
    <w:p>
      <w:pPr>
        <w:pStyle w:val="CaptionedFigure"/>
      </w:pPr>
      <w:r>
        <w:drawing>
          <wp:inline>
            <wp:extent cx="5334000" cy="3031957"/>
            <wp:effectExtent b="0" l="0" r="0" t="0"/>
            <wp:docPr descr="Figure 10. Effect of spatial aggregation on the diagnostic composition for the between-period contrast (2004-2006 vs 2018-2019). Stratum and ecoregion values are means across units; the Gulf-wide value is a single pooled test. Bars are the standard deviation across resolutions." title="" id="37" name="Picture"/>
            <a:graphic>
              <a:graphicData uri="http://schemas.openxmlformats.org/drawingml/2006/picture">
                <pic:pic>
                  <pic:nvPicPr>
                    <pic:cNvPr descr="Output_Figures/Fig10_crossscale_gradien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1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Effect of spatial aggregation on the diagnostic composition for the between-period contrast (2004-2006 vs 2018-2019). Stratum and ecoregion values are means across units; the Gulf-wide value is a single pooled test. Bars are the standard deviation across resolutions.</w:t>
      </w:r>
    </w:p>
    <w:bookmarkStart w:id="63" w:name="supplementary-figures"/>
    <w:p>
      <w:pPr>
        <w:pStyle w:val="Heading1"/>
      </w:pPr>
      <w:r>
        <w:t xml:space="preserve">Supplementary figures</w:t>
      </w:r>
    </w:p>
    <w:p>
      <w:pPr>
        <w:pStyle w:val="CaptionedFigure"/>
      </w:pPr>
      <w:r>
        <w:drawing>
          <wp:inline>
            <wp:extent cx="5334000" cy="2297723"/>
            <wp:effectExtent b="0" l="0" r="0" t="0"/>
            <wp:docPr descr="Figure 3 (continued). (B) Frequency of the four diagnostic families across the full sweep, by contrast and currency. The values reported in the text are the means of these curves." title="" id="40" name="Picture"/>
            <a:graphic>
              <a:graphicData uri="http://schemas.openxmlformats.org/drawingml/2006/picture">
                <pic:pic>
                  <pic:nvPicPr>
                    <pic:cNvPr descr="Output_Figures/Fig3b_sweep_famili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(continued). (B) Frequency of the four diagnostic families across the full sweep, by contrast and currency. The values reported in the text are the means of these curves.</w:t>
      </w:r>
    </w:p>
    <w:p>
      <w:pPr>
        <w:pStyle w:val="CaptionedFigure"/>
      </w:pPr>
      <w:r>
        <w:drawing>
          <wp:inline>
            <wp:extent cx="5334000" cy="3067049"/>
            <wp:effectExtent b="0" l="0" r="0" t="0"/>
            <wp:docPr descr="Figure S1. Number of stomachs analysed per survey year and ecoregion, for the predators retained in the analysis." title="" id="43" name="Picture"/>
            <a:graphic>
              <a:graphicData uri="http://schemas.openxmlformats.org/drawingml/2006/picture">
                <pic:pic>
                  <pic:nvPicPr>
                    <pic:cNvPr descr="Output_Appendices/FigS1_sampling_by_yea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S1. Number of stomachs analysed per survey year and ecoregion, for the predators retained in the analysis.</w:t>
      </w:r>
    </w:p>
    <w:p>
      <w:pPr>
        <w:pStyle w:val="CaptionedFigure"/>
      </w:pPr>
      <w:r>
        <w:drawing>
          <wp:inline>
            <wp:extent cx="5334000" cy="1600200"/>
            <wp:effectExtent b="0" l="0" r="0" t="0"/>
            <wp:docPr descr="Figure S2. Number of stomachs analysed per survey stratum and year (colour scale on a square-root transform)." title="" id="46" name="Picture"/>
            <a:graphic>
              <a:graphicData uri="http://schemas.openxmlformats.org/drawingml/2006/picture">
                <pic:pic>
                  <pic:nvPicPr>
                    <pic:cNvPr descr="Output_Appendices/FigS2_sampling_by_stratum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0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S2. Number of stomachs analysed per survey stratum and year (colour scale on a square-root transform).</w:t>
      </w:r>
    </w:p>
    <w:p>
      <w:pPr>
        <w:pStyle w:val="CaptionedFigure"/>
      </w:pPr>
      <w:r>
        <w:drawing>
          <wp:inline>
            <wp:extent cx="5334000" cy="3879272"/>
            <wp:effectExtent b="0" l="0" r="0" t="0"/>
            <wp:docPr descr="Figure S3. Diet regime break within each ecoregion. Frequency (%) of the four diagnostic families for each contrast, in biomass and occurrence, shown separately for each of the four ecoregions." title="" id="49" name="Picture"/>
            <a:graphic>
              <a:graphicData uri="http://schemas.openxmlformats.org/drawingml/2006/picture">
                <pic:pic>
                  <pic:nvPicPr>
                    <pic:cNvPr descr="Output_Figures/FigS3_regime_break_by_ecoreg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S3. Diet regime break within each ecoregion. Frequency (%) of the four diagnostic families for each contrast, in biomass and occurrence, shown separately for each of the four ecoregions.</w:t>
      </w:r>
    </w:p>
    <w:p>
      <w:pPr>
        <w:pStyle w:val="CaptionedFigure"/>
      </w:pPr>
      <w:r>
        <w:drawing>
          <wp:inline>
            <wp:extent cx="5334000" cy="4889499"/>
            <wp:effectExtent b="0" l="0" r="0" t="0"/>
            <wp:docPr descr="Figure S4. Spatial distribution of the four diagnostic families across survey strata, occurrence currency (same layout as Figure 9)." title="" id="52" name="Picture"/>
            <a:graphic>
              <a:graphicData uri="http://schemas.openxmlformats.org/drawingml/2006/picture">
                <pic:pic>
                  <pic:nvPicPr>
                    <pic:cNvPr descr="Output_Figures/FigS4_map_strata_occurrence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S4. Spatial distribution of the four diagnostic families across survey strata, occurrence currency (same layout as Figure 9).</w:t>
      </w:r>
    </w:p>
    <w:p>
      <w:pPr>
        <w:pStyle w:val="CaptionedFigure"/>
      </w:pPr>
      <w:r>
        <w:drawing>
          <wp:inline>
            <wp:extent cx="5334000" cy="4889499"/>
            <wp:effectExtent b="0" l="0" r="0" t="0"/>
            <wp:docPr descr="Figure S5. Spatial distribution of the four diagnostic families across survey strata, biomass currency, with the strata built on fewer than five predator x size-class cells masked." title="" id="55" name="Picture"/>
            <a:graphic>
              <a:graphicData uri="http://schemas.openxmlformats.org/drawingml/2006/picture">
                <pic:pic>
                  <pic:nvPicPr>
                    <pic:cNvPr descr="Output_Figures/FigS5_map_strata_biomass_masked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S5. Spatial distribution of the four diagnostic families across survey strata, biomass currency, with the strata built on fewer than five predator x size-class cells masked.</w:t>
      </w:r>
    </w:p>
    <w:p>
      <w:pPr>
        <w:pStyle w:val="CaptionedFigure"/>
      </w:pPr>
      <w:r>
        <w:drawing>
          <wp:inline>
            <wp:extent cx="5334000" cy="4889499"/>
            <wp:effectExtent b="0" l="0" r="0" t="0"/>
            <wp:docPr descr="Figure S6. As Figure S5, occurrence currency." title="" id="58" name="Picture"/>
            <a:graphic>
              <a:graphicData uri="http://schemas.openxmlformats.org/drawingml/2006/picture">
                <pic:pic>
                  <pic:nvPicPr>
                    <pic:cNvPr descr="Output_Figures/FigS6_map_strata_occurrence_masked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S6. As Figure S5, occurrence currency.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Figure S7. Sensitivity of the across-unit composites to sparsely sampled units, at the three spatial scales." title="" id="61" name="Picture"/>
            <a:graphic>
              <a:graphicData uri="http://schemas.openxmlformats.org/drawingml/2006/picture">
                <pic:pic>
                  <pic:nvPicPr>
                    <pic:cNvPr descr="Output_Appendices/FigS7_lowN_sensitiv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S7. Sensitivity of the across-unit composites to sparsely sampled units, at the three spatial scales.</w:t>
      </w:r>
    </w:p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60" Target="media/rId60.png" /><Relationship Type="http://schemas.openxmlformats.org/officeDocument/2006/relationships/image" Id="rId36" Target="media/rId36.png" /><Relationship Type="http://schemas.openxmlformats.org/officeDocument/2006/relationships/image" Id="rId9" Target="media/rId9.jp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39" Target="media/rId39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framework to investigate trophic reorganization in marine systems using predator stomach contents</dc:title>
  <dc:creator/>
  <cp:keywords/>
  <dcterms:created xsi:type="dcterms:W3CDTF">2026-09-21T13:50:23Z</dcterms:created>
  <dcterms:modified xsi:type="dcterms:W3CDTF">2026-09-21T13:50:23Z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fig-cap-location">
    <vt:lpwstr>bottom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</vt:lpwstr>
  </property>
  <property fmtid="{D5CDD505-2E9C-101B-9397-08002B2CF9AE}" pid="10" name="toc-title">
    <vt:lpwstr>Table of contents</vt:lpwstr>
  </property>
</Properties>
</file>