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framework to investigate trophic reorganization in marine systems using predator stomach contents</w:t>
      </w:r>
    </w:p>
    <w:p>
      <w:pPr>
        <w:pStyle w:val="Subtitle"/>
      </w:pPr>
      <w:r>
        <w:t xml:space="preserve">Tables</w:t>
      </w:r>
    </w:p>
    <w:bookmarkStart w:id="9" w:name="main-tables"/>
    <w:p>
      <w:pPr>
        <w:pStyle w:val="Heading1"/>
      </w:pPr>
      <w:r>
        <w:t xml:space="preserve">Main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Diagnostic typology. Each predator × size-class cell is scored on three tests — prey composition (C, PERMANOVA), diversity (</w:t>
      </w:r>
      <w:r>
        <w:rPr>
          <w:i/>
          <w:iCs/>
        </w:rPr>
        <w:t xml:space="preserve">H</w:t>
      </w:r>
      <w:r>
        <w:t xml:space="preserve">′, jackknifed Shannon) and niche breadth (</w:t>
      </w:r>
      <w:r>
        <w:rPr>
          <w:i/>
          <w:iCs/>
        </w:rPr>
        <w:t xml:space="preserve">B</w:t>
      </w:r>
      <w:r>
        <w:t xml:space="preserve">s, standardized Levins) — as significant (sig,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0.05) or non-significant (ns). A composition trend (0.05 ≤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0.10) is used only when</w:t>
      </w:r>
      <w:r>
        <w:t xml:space="preserve"> </w:t>
      </w:r>
      <w:r>
        <w:rPr>
          <w:i/>
          <w:iCs/>
        </w:rPr>
        <w:t xml:space="preserve">H</w:t>
      </w:r>
      <w:r>
        <w:t xml:space="preserve">′ and</w:t>
      </w:r>
      <w:r>
        <w:t xml:space="preserve"> </w:t>
      </w:r>
      <w:r>
        <w:rPr>
          <w:i/>
          <w:iCs/>
        </w:rPr>
        <w:t xml:space="preserve">B</w:t>
      </w:r>
      <w:r>
        <w:t xml:space="preserve">s are both non-significant; otherwise the cell is classified on the significant signal.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Diagnostic state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Stable Diet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 (p ≥ 0.10)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Emerging Shift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Ghost Shift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Internal Rebalancing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Niche Compression/Expansion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Niche Restructuring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Partial Diet Shift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Structural Shift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Major Shift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Number of prey categories produced by each grouping architecture at reference aggregation thresholds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(minimum number of stomachs). Counts are distinct category labels across all predators. The per-predator architecture is swept over 5–250 stomachs only, so higher thresholds are not defined for it.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Grouping architecture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 = 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 = 250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 = 440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 = 1000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Pooled (_1)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Pooled cross-predator (_2)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Per-predator (_PP)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bookmarkEnd w:id="9"/>
    <w:bookmarkStart w:id="10" w:name="X57ec6a7090c24ba75c6c27264925a5403be398b"/>
    <w:p>
      <w:pPr>
        <w:pStyle w:val="Heading1"/>
      </w:pPr>
      <w:r>
        <w:t xml:space="preserve">Supplementary tables — robustness of the diagnostic assignment</w:t>
      </w:r>
    </w:p>
    <w:p>
      <w:pPr>
        <w:pStyle w:val="FirstParagraph"/>
      </w:pPr>
      <w:r>
        <w:rPr>
          <w:b/>
          <w:bCs/>
        </w:rPr>
        <w:t xml:space="preserve">Table S7.</w:t>
      </w:r>
      <w:r>
        <w:t xml:space="preserve"> </w:t>
      </w:r>
      <w:r>
        <w:t xml:space="preserve">Summary of the robustness checks. Each row states the objection addressed and the result at the Gulf-wide scale unless indicated. Values are read directly from the analysis outputs.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Check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Objection addressed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Bootstrap over cells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Too few cells to separate the bands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 bands separated by 10.7 (biomass) and 19.8 (occurrence) points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Benjamini–Hochberg correction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Uncorrected multiple testing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 55.1% → 67.1% (biomass)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 sweep (α 0.01–0.075)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Dependence on α =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Within and between curves never cross; smallest Stability gap 28.8 points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Resolution 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Dependence on prey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support 1.00 (biomass) and 0.96 (occurrence) across 100 resolutions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Permutation null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Unequal calibration of the three tests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False-positive rate: C 4.98 / 5.16%, H′ 11.69 / 7.52%, Bs 5.80 / 5.37% (biomass / occurrence)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Calibrated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 driven by a liberal 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 55.1% → 61.9%; Stability gap 33.1 → 35.9 points (biomass)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Equalized sampling effort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Decadal contrast has more trawl sets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Bands disjoint in 100% of draws; median gap 24.2–41.2 points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Common-support restriction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Unequal effort, all three scales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Gaps of 12.1–56.4 points under a common-support restriction, 3 scale(s)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</w:t>
      </w:r>
      <w:r>
        <w:t xml:space="preserve"> </w:t>
      </w:r>
      <w:r>
        <w:t xml:space="preserve">False-positive rates of the three tests and null frequencies of the diagnostic families, under within-cell permutation of period labels (200 permutations, between-period contrast, Gulf-wide scale).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Null tests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Composition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Diversity H′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Niche breadth Bs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Dispersion (%)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118,910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118,910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5.31</w:t>
            </w: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Null mean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S9.</w:t>
      </w:r>
      <w:r>
        <w:t xml:space="preserve"> </w:t>
      </w:r>
      <w:r>
        <w:t xml:space="preserve">Significance thresholds calibrated on the permutation null: the fifth percentile of each test’s null</w:t>
      </w:r>
      <w:r>
        <w:t xml:space="preserve"> </w:t>
      </w:r>
      <w:r>
        <w:rPr>
          <w:i/>
          <w:iCs/>
        </w:rPr>
        <w:t xml:space="preserve">p</w:t>
      </w:r>
      <w:r>
        <w:t xml:space="preserve">-value distribution, overall and by class of sample size (the smaller of the two per-period set counts).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Sets per 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Null tests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α composition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α diversity (H′)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α niche breadth (Bs)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118,910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118,910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[5,8)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[8,12)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[12,20)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[20,Inf)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[5,8)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[8,12)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[12,20)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[20,Inf)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74,000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S10.</w:t>
      </w:r>
      <w:r>
        <w:t xml:space="preserve"> </w:t>
      </w:r>
      <w:r>
        <w:t xml:space="preserve">Univariate effect sizes by diagnostic family, between-period contrast (2004–2006 vs 2018–2019), Gulf-wide scale. Medians and 90th percentiles across cells and prey resolutions.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Cell × resolution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|ΔH′| 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|ΔH′| 90th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|ΔBs| 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|ΔBs| 90th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Bray–Curtis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PERMANOVA R²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S11.</w:t>
      </w:r>
      <w:r>
        <w:t xml:space="preserve"> </w:t>
      </w:r>
      <w:r>
        <w:t xml:space="preserve">Sampling effort per contrast and separation of the within- and between-period bands under a restriction to the effort range common to all five contrasts. Effort is the median number of trawl sets per period across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Cells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Period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Period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Smaller group (IQR)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21.5 (13.2–34.8)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22.0 (15.0–35.0)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(7.0–18.0)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(9.8–20.2)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25.0 (14.0–35.5)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 (5.0–20.5)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 (5.0–20.5)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 (4.0–12.0)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 (4.0–11.2)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 (6.0–20.0)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 (3.0–5.0)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 (3.0–5.0)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 (3.0–3.0)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 (3.0–4.0)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 (4.0–6.0)</w:t>
            </w: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Gap, all cells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Gap, common support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S12.</w:t>
      </w:r>
      <w:r>
        <w:t xml:space="preserve"> </w:t>
      </w:r>
      <w:r>
        <w:t xml:space="preserve">Separation of the within- and between-period bands under equalized sampling effort. Proportion of independent draws in which the between-period band lies entirely outside the within-period band, and the gap between bands in percentage points.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Draws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Draws separated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2.5% gap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S13.</w:t>
      </w:r>
      <w:r>
        <w:t xml:space="preserve"> </w:t>
      </w:r>
      <w:r>
        <w:t xml:space="preserve">Frequency (%) of the four diagnostic families by contrast, currency and spatial scale: mean across the 100 prey resolutions, with the standard deviation across resolutions in parentheses. At the ecoregion and stratum scales, percentages are computed per spatial unit and averaged across units.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Stability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Substitution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Functional change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Reorganization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 (2.4)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21.7 (2.1)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15.6 (1.4)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8.5 (1.4)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24.2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(1.2)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17.5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(3.0)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(5.6)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55.1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30.2 (5.5)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 (5.9)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17.8 (1.7)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 (1.0)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63.4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15.6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10.2 (2.1)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29.5 (5.7)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Gulf-wide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39.4 (4.9)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20.2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 (1.2)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69.5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 (0.9)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18.7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(0.5)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69.5 (4.6)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17.7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 (1.7)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18.3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16.8 (1.8)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41.7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9.6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24.1 (4.1)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70.7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11.9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 (0.4)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(0.3)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 (2.7)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28.3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48.7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 (1.6)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Ecoregion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16.9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53.9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24.1 (1.7)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 (0.6)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11.8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 (0.4)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68.8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28.4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(0.5)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56.0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20.1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 (2.3)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41.1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 (1.5)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77.8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11.7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 (1.6)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2004–2005 vs 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 (0.8)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 vs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82.1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8.7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 (1.2)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2006 vs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48.6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39.9 (3.8)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8.5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2004–2006 vs 2018–2019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Occurrence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24.8 (2.8)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59.2 (2.1)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(0.5)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(3.0)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framework to investigate trophic reorganization in marine systems using predator stomach contents</dc:title>
  <dc:creator/>
  <cp:keywords/>
  <dcterms:created xsi:type="dcterms:W3CDTF">2026-09-21T14:25:08Z</dcterms:created>
  <dcterms:modified xsi:type="dcterms:W3CDTF">2026-09-21T14:25:08Z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Tables</vt:lpwstr>
  </property>
  <property fmtid="{D5CDD505-2E9C-101B-9397-08002B2CF9AE}" pid="9" name="toc-title">
    <vt:lpwstr>Table of contents</vt:lpwstr>
  </property>
</Properties>
</file>