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60.png" ContentType="image/png"/>
  <Override PartName="/word/media/rId27.png" ContentType="image/png"/>
  <Override PartName="/word/media/rId9.jpg" ContentType="image/jpeg"/>
  <Override PartName="/word/media/rId30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39.png" ContentType="image/png"/>
  <Override PartName="/word/media/rId42.png" ContentType="image/png"/>
  <Override PartName="/word/media/rId48.png" ContentType="image/png"/>
  <Override PartName="/word/media/rId24.png" ContentType="image/png"/>
  <Override PartName="/word/media/rId45.png" ContentType="image/png"/>
  <Override PartName="/word/media/rId51.png" ContentType="image/png"/>
  <Override PartName="/word/media/rId5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diagnostic framework for assessing trophic change from predator stomach contents</w:t>
      </w:r>
    </w:p>
    <w:p>
      <w:pPr>
        <w:pStyle w:val="Subtitle"/>
      </w:pPr>
      <w:r>
        <w:t xml:space="preserve">Figures</w:t>
      </w:r>
    </w:p>
    <w:p>
      <w:pPr>
        <w:pStyle w:val="CaptionedFigure"/>
      </w:pPr>
      <w:r>
        <w:drawing>
          <wp:inline>
            <wp:extent cx="5334000" cy="4272463"/>
            <wp:effectExtent b="0" l="0" r="0" t="0"/>
            <wp:docPr descr="Figure 1. Study area. Bottom-trawl survey strata of the southern Gulf of St Lawrence (sGSL); numbers identify individual strata and the shading gives the depth range of each." title="" id="10" name="Picture"/>
            <a:graphic>
              <a:graphicData uri="http://schemas.openxmlformats.org/drawingml/2006/picture">
                <pic:pic>
                  <pic:nvPicPr>
                    <pic:cNvPr descr="Output_Figures/Fig1_study_area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Study area. Bottom-trawl survey strata of the southern Gulf of St Lawrence (sGSL); numbers identify individual strata and the shading gives the depth range of each.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2. Prey taxonomic resolution. (A) Number of prey categories retained as the aggregation threshold x (minimum number of stomachs) is swept from 10 to 1,000." title="" id="13" name="Picture"/>
            <a:graphic>
              <a:graphicData uri="http://schemas.openxmlformats.org/drawingml/2006/picture">
                <pic:pic>
                  <pic:nvPicPr>
                    <pic:cNvPr descr="Output_Figures/Fig3a_prey_categori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Prey taxonomic resolution. (A) Number of prey categories retained as the aggregation threshold x (minimum number of stomachs) is swept from 10 to 1,000.</w:t>
      </w:r>
    </w:p>
    <w:p>
      <w:pPr>
        <w:pStyle w:val="CaptionedFigure"/>
      </w:pPr>
      <w:r>
        <w:drawing>
          <wp:inline>
            <wp:extent cx="5334000" cy="2297723"/>
            <wp:effectExtent b="0" l="0" r="0" t="0"/>
            <wp:docPr descr="Figure 2 (continued). (B) Frequency of the four diagnostic families across the full sweep, by contrast and currency. The values reported in the text are the means of these curves." title="" id="16" name="Picture"/>
            <a:graphic>
              <a:graphicData uri="http://schemas.openxmlformats.org/drawingml/2006/picture">
                <pic:pic>
                  <pic:nvPicPr>
                    <pic:cNvPr descr="Output_Figures/Fig3b_sweep_famili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(continued). (B) Frequency of the four diagnostic families across the full sweep, by contrast and currency. The values reported in the text are the means of these curves.</w:t>
      </w:r>
    </w:p>
    <w:p>
      <w:pPr>
        <w:pStyle w:val="CaptionedFigure"/>
      </w:pPr>
      <w:r>
        <w:drawing>
          <wp:inline>
            <wp:extent cx="5334000" cy="2962794"/>
            <wp:effectExtent b="0" l="0" r="0" t="0"/>
            <wp:docPr descr="Figure 3. Decision tree of the diagnostic typology. Each eligible predator × size-class cell is routed by the outcomes of the composition, diversity and niche-breadth tests to one of nine states and to its family." title="" id="19" name="Picture"/>
            <a:graphic>
              <a:graphicData uri="http://schemas.openxmlformats.org/drawingml/2006/picture">
                <pic:pic>
                  <pic:nvPicPr>
                    <pic:cNvPr descr="Output_Figures/Fig4_typology_tre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Decision tree of the diagnostic typology. Each eligible predator × size-class cell is routed by the outcomes of the composition, diversity and niche-breadth tests to one of nine states and to its family.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Figure 4. Gulf-wide diagnostic families. Frequency (%) of the four families among classifiable predator × size-class cells, by contrast and currency; mean and standard deviation across the 100 prey taxonomic resolutions." title="" id="22" name="Picture"/>
            <a:graphic>
              <a:graphicData uri="http://schemas.openxmlformats.org/drawingml/2006/picture">
                <pic:pic>
                  <pic:nvPicPr>
                    <pic:cNvPr descr="Output_Figures/Fig5_regime_break_gulf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Gulf-wide diagnostic families. Frequency (%) of the four families among classifiable predator × size-class cells, by contrast and currency; mean and standard deviation across the 100 prey taxonomic resolutions.</w:t>
      </w:r>
    </w:p>
    <w:p>
      <w:pPr>
        <w:pStyle w:val="CaptionedFigure"/>
      </w:pPr>
      <w:r>
        <w:drawing>
          <wp:inline>
            <wp:extent cx="5334000" cy="4889499"/>
            <wp:effectExtent b="0" l="0" r="0" t="0"/>
            <wp:docPr descr="Figure 5. Spatial distribution of the four diagnostic families across survey strata, biomass currency. Each panel maps the within-stratum family composition for one contrast." title="" id="25" name="Picture"/>
            <a:graphic>
              <a:graphicData uri="http://schemas.openxmlformats.org/drawingml/2006/picture">
                <pic:pic>
                  <pic:nvPicPr>
                    <pic:cNvPr descr="Output_Figures/Fig9_map_strata_biomas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Spatial distribution of the four diagnostic families across survey strata, biomass currency. Each panel maps the within-stratum family composition for one contrast.</w:t>
      </w:r>
    </w:p>
    <w:p>
      <w:pPr>
        <w:pStyle w:val="CaptionedFigure"/>
      </w:pPr>
      <w:r>
        <w:drawing>
          <wp:inline>
            <wp:extent cx="5334000" cy="3031957"/>
            <wp:effectExtent b="0" l="0" r="0" t="0"/>
            <wp:docPr descr="Figure 6. Effect of spatial aggregation on the diagnostic composition for the full between-period contrast (2004–2006 vs 2018–2019). Stratum and ecoregion values are means across units; the Gulf-wide value is a single pooled test. Bars are the standard deviation across resolutions." title="" id="28" name="Picture"/>
            <a:graphic>
              <a:graphicData uri="http://schemas.openxmlformats.org/drawingml/2006/picture">
                <pic:pic>
                  <pic:nvPicPr>
                    <pic:cNvPr descr="Output_Figures/Fig10_crossscale_gradie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Effect of spatial aggregation on the diagnostic composition for the full between-period contrast (2004–2006 vs 2018–2019). Stratum and ecoregion values are means across units; the Gulf-wide value is a single pooled test. Bars are the standard deviation across resolutions.</w:t>
      </w:r>
    </w:p>
    <w:bookmarkStart w:id="63" w:name="supplementary-figures"/>
    <w:p>
      <w:pPr>
        <w:pStyle w:val="Heading1"/>
      </w:pPr>
      <w:r>
        <w:t xml:space="preserve">Supplementary figures</w:t>
      </w:r>
    </w:p>
    <w:p>
      <w:pPr>
        <w:pStyle w:val="CaptionedFigure"/>
      </w:pPr>
      <w:r>
        <w:drawing>
          <wp:inline>
            <wp:extent cx="5334000" cy="3685309"/>
            <wp:effectExtent b="0" l="0" r="0" t="0"/>
            <wp:docPr descr="Figure S1. Position of the trawl sets from which predator stomachs were analysed, by survey year and pooled over years, in the four ecoregions." title="" id="31" name="Picture"/>
            <a:graphic>
              <a:graphicData uri="http://schemas.openxmlformats.org/drawingml/2006/picture">
                <pic:pic>
                  <pic:nvPicPr>
                    <pic:cNvPr descr="Output_Figures/Fig2_sets_ecoregion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5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S1. Position of the trawl sets from which predator stomachs were analysed, by survey year and pooled over years, in the four ecoregions.</w:t>
      </w:r>
    </w:p>
    <w:p>
      <w:pPr>
        <w:pStyle w:val="CaptionedFigure"/>
      </w:pPr>
      <w:r>
        <w:drawing>
          <wp:inline>
            <wp:extent cx="5334000" cy="3067049"/>
            <wp:effectExtent b="0" l="0" r="0" t="0"/>
            <wp:docPr descr="Figure S2. Number of stomachs analysed per survey year and ecoregion, for the predators retained in the analysis." title="" id="34" name="Picture"/>
            <a:graphic>
              <a:graphicData uri="http://schemas.openxmlformats.org/drawingml/2006/picture">
                <pic:pic>
                  <pic:nvPicPr>
                    <pic:cNvPr descr="Output_Appendices/FigS1_sampling_by_yea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S2. Number of stomachs analysed per survey year and ecoregion, for the predators retained in the analysis.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Figure S3. Number of stomachs analysed per survey stratum and year (colour scale on a square-root transform)." title="" id="37" name="Picture"/>
            <a:graphic>
              <a:graphicData uri="http://schemas.openxmlformats.org/drawingml/2006/picture">
                <pic:pic>
                  <pic:nvPicPr>
                    <pic:cNvPr descr="Output_Appendices/FigS2_sampling_by_stratu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S3. Number of stomachs analysed per survey stratum and year (colour scale on a square-root transform).</w:t>
      </w:r>
    </w:p>
    <w:p>
      <w:pPr>
        <w:pStyle w:val="CaptionedFigure"/>
      </w:pPr>
      <w:r>
        <w:drawing>
          <wp:inline>
            <wp:extent cx="5334000" cy="3103418"/>
            <wp:effectExtent b="0" l="0" r="0" t="0"/>
            <wp:docPr descr="Figure S4. Diagnostic families by ecoregion. Composition of the four families within each ecoregion (columns) for each contrast, in both currencies." title="" id="40" name="Picture"/>
            <a:graphic>
              <a:graphicData uri="http://schemas.openxmlformats.org/drawingml/2006/picture">
                <pic:pic>
                  <pic:nvPicPr>
                    <pic:cNvPr descr="Output_Figures/Fig6_regime_break_ecoreg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S4. Diagnostic families by ecoregion. Composition of the four families within each ecoregion (columns) for each contrast, in both currencies.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Figure S5. Ecoregion-scale diagnostic families. Frequency (%) of the four families for each contrast, in biomass (solid) and occurrence (dashed); means across the four ecoregions." title="" id="43" name="Picture"/>
            <a:graphic>
              <a:graphicData uri="http://schemas.openxmlformats.org/drawingml/2006/picture">
                <pic:pic>
                  <pic:nvPicPr>
                    <pic:cNvPr descr="Output_Figures/Fig7_regime_break_ecoreg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S5. Ecoregion-scale diagnostic families. Frequency (%) of the four families for each contrast, in biomass (solid) and occurrence (dashed); means across the four ecoregions.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Figure S6. Diagnostic families within each ecoregion. Frequency (%) of the four families for each contrast, in biomass and occurrence, shown separately for each ecoregion." title="" id="46" name="Picture"/>
            <a:graphic>
              <a:graphicData uri="http://schemas.openxmlformats.org/drawingml/2006/picture">
                <pic:pic>
                  <pic:nvPicPr>
                    <pic:cNvPr descr="Output_Figures/FigS3_regime_break_by_ecoreg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S6. Diagnostic families within each ecoregion. Frequency (%) of the four families for each contrast, in biomass and occurrence, shown separately for each ecoregion.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Figure S7. Stratum-scale diagnostic families. As Figure S5, with frequencies computed per survey stratum and averaged across strata." title="" id="49" name="Picture"/>
            <a:graphic>
              <a:graphicData uri="http://schemas.openxmlformats.org/drawingml/2006/picture">
                <pic:pic>
                  <pic:nvPicPr>
                    <pic:cNvPr descr="Output_Figures/Fig8_regime_break_stratu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S7. Stratum-scale diagnostic families. As Figure S5, with frequencies computed per survey stratum and averaged across strata.</w:t>
      </w:r>
    </w:p>
    <w:p>
      <w:pPr>
        <w:pStyle w:val="CaptionedFigure"/>
      </w:pPr>
      <w:r>
        <w:drawing>
          <wp:inline>
            <wp:extent cx="5334000" cy="4889499"/>
            <wp:effectExtent b="0" l="0" r="0" t="0"/>
            <wp:docPr descr="Figure S8. Spatial distribution of the four diagnostic families across survey strata, occurrence currency (same layout as Figure 5)." title="" id="52" name="Picture"/>
            <a:graphic>
              <a:graphicData uri="http://schemas.openxmlformats.org/drawingml/2006/picture">
                <pic:pic>
                  <pic:nvPicPr>
                    <pic:cNvPr descr="Output_Figures/FigS4_map_strata_occurren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S8. Spatial distribution of the four diagnostic families across survey strata, occurrence currency (same layout as Figure 5).</w:t>
      </w:r>
    </w:p>
    <w:p>
      <w:pPr>
        <w:pStyle w:val="CaptionedFigure"/>
      </w:pPr>
      <w:r>
        <w:drawing>
          <wp:inline>
            <wp:extent cx="5334000" cy="4889499"/>
            <wp:effectExtent b="0" l="0" r="0" t="0"/>
            <wp:docPr descr="Figure S9. As Figure 5, with strata represented by fewer than five classifiable predator × size-class cells masked." title="" id="55" name="Picture"/>
            <a:graphic>
              <a:graphicData uri="http://schemas.openxmlformats.org/drawingml/2006/picture">
                <pic:pic>
                  <pic:nvPicPr>
                    <pic:cNvPr descr="Output_Figures/FigS5_map_strata_biomass_maske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S9. As Figure 5, with strata represented by fewer than five classifiable predator × size-class cells masked.</w:t>
      </w:r>
    </w:p>
    <w:p>
      <w:pPr>
        <w:pStyle w:val="CaptionedFigure"/>
      </w:pPr>
      <w:r>
        <w:drawing>
          <wp:inline>
            <wp:extent cx="5334000" cy="4889499"/>
            <wp:effectExtent b="0" l="0" r="0" t="0"/>
            <wp:docPr descr="Figure S10. As Figure S9, occurrence currency." title="" id="58" name="Picture"/>
            <a:graphic>
              <a:graphicData uri="http://schemas.openxmlformats.org/drawingml/2006/picture">
                <pic:pic>
                  <pic:nvPicPr>
                    <pic:cNvPr descr="Output_Figures/FigS6_map_strata_occurrence_maske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S10. As Figure S9, occurrence currency.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ure S11. Sensitivity of the across-unit summaries to sparsely represented spatial units, at the ecoregion and stratum scales." title="" id="61" name="Picture"/>
            <a:graphic>
              <a:graphicData uri="http://schemas.openxmlformats.org/drawingml/2006/picture">
                <pic:pic>
                  <pic:nvPicPr>
                    <pic:cNvPr descr="Output_Appendices/FigS7_lowN_sensitivit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S11. Sensitivity of the across-unit summaries to sparsely represented spatial units, at the ecoregion and stratum scales.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60" Target="media/rId60.png" /><Relationship Type="http://schemas.openxmlformats.org/officeDocument/2006/relationships/image" Id="rId27" Target="media/rId27.png" /><Relationship Type="http://schemas.openxmlformats.org/officeDocument/2006/relationships/image" Id="rId9" Target="media/rId9.jpg" /><Relationship Type="http://schemas.openxmlformats.org/officeDocument/2006/relationships/image" Id="rId30" Target="media/rId30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diagnostic framework for assessing trophic change from predator stomach contents</dc:title>
  <dc:creator/>
  <cp:keywords/>
  <dcterms:created xsi:type="dcterms:W3CDTF">2026-09-22T12:26:04Z</dcterms:created>
  <dcterms:modified xsi:type="dcterms:W3CDTF">2026-09-22T12:26:04Z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ig-cap-location">
    <vt:lpwstr>bottom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Figures</vt:lpwstr>
  </property>
  <property fmtid="{D5CDD505-2E9C-101B-9397-08002B2CF9AE}" pid="10" name="toc-title">
    <vt:lpwstr>Table of contents</vt:lpwstr>
  </property>
</Properties>
</file>