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diagnostic framework for assessing trophic change from predator stomach contents</w:t>
      </w:r>
    </w:p>
    <w:p>
      <w:pPr>
        <w:pStyle w:val="Subtitle"/>
      </w:pPr>
      <w:r>
        <w:t xml:space="preserve">Tables</w:t>
      </w:r>
    </w:p>
    <w:p>
      <w:pPr>
        <w:pStyle w:val="FirstParagraph"/>
      </w:pPr>
      <w:r>
        <w:rPr>
          <w:b/>
          <w:bCs/>
        </w:rPr>
        <w:t xml:space="preserve">Table 1.</w:t>
      </w:r>
      <w:r>
        <w:t xml:space="preserve"> </w:t>
      </w:r>
      <w:r>
        <w:t xml:space="preserve">Diagnostic typology. Each predator × size-class cell is scored on three tests — prey composition (C, PERMANOVA), diversity (</w:t>
      </w:r>
      <w:r>
        <w:rPr>
          <w:i/>
          <w:iCs/>
        </w:rPr>
        <w:t xml:space="preserve">H</w:t>
      </w:r>
      <w:r>
        <w:t xml:space="preserve">′, jackknifed Shannon) and niche breadth (</w:t>
      </w:r>
      <w:r>
        <w:rPr>
          <w:i/>
          <w:iCs/>
        </w:rPr>
        <w:t xml:space="preserve">B</w:t>
      </w:r>
      <w:r>
        <w:t xml:space="preserve">s, standardized Levins) — as significant (sig,</w:t>
      </w:r>
      <w:r>
        <w:t xml:space="preserve"> </w:t>
      </w:r>
      <w:r>
        <w:rPr>
          <w:i/>
          <w:iCs/>
        </w:rPr>
        <w:t xml:space="preserve">p</w:t>
      </w:r>
      <w:r>
        <w:t xml:space="preserve"> </w:t>
      </w:r>
      <w:r>
        <w:t xml:space="preserve">&lt; 0.05) or non-significant (ns). A composition trend (0.05 ≤</w:t>
      </w:r>
      <w:r>
        <w:t xml:space="preserve"> </w:t>
      </w:r>
      <w:r>
        <w:rPr>
          <w:i/>
          <w:iCs/>
        </w:rPr>
        <w:t xml:space="preserve">p</w:t>
      </w:r>
      <w:r>
        <w:t xml:space="preserve"> </w:t>
      </w:r>
      <w:r>
        <w:t xml:space="preserve">&lt; 0.10) is used only when</w:t>
      </w:r>
      <w:r>
        <w:t xml:space="preserve"> </w:t>
      </w:r>
      <w:r>
        <w:rPr>
          <w:i/>
          <w:iCs/>
        </w:rPr>
        <w:t xml:space="preserve">H</w:t>
      </w:r>
      <w:r>
        <w:t xml:space="preserve">′ and</w:t>
      </w:r>
      <w:r>
        <w:t xml:space="preserve"> </w:t>
      </w:r>
      <w:r>
        <w:rPr>
          <w:i/>
          <w:iCs/>
        </w:rPr>
        <w:t xml:space="preserve">B</w:t>
      </w:r>
      <w:r>
        <w:t xml:space="preserve">s are both non-significant; otherwise the cell is classified on the significant signal.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Diagnostic state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Family</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Stable Diet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 (p ≥ 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Emerging Shift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Ghost Shift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Internal Rebalancing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Niche Compression/Expansion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Niche Restructuring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Partial Diet Shift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Structural Shift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Major Shift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bl>
    <w:p>
      <w:pPr>
        <w:pStyle w:val="BodyText"/>
      </w:pPr>
      <w:r>
        <w:rPr>
          <w:b/>
          <w:bCs/>
        </w:rPr>
        <w:t xml:space="preserve">Table 2.</w:t>
      </w:r>
      <w:r>
        <w:t xml:space="preserve"> </w:t>
      </w:r>
      <w:r>
        <w:t xml:space="preserve">Gulf-wide frequency (%) of the four diagnostic families by contrast and dietary currency. Values are means across the 100 prey taxonomic resolutions of the primary grouping rule, with the standard deviation across resolutions in parentheses, computed over classifiable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54.1 (2.4)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21.7 (2.1)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 (1.4)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 (1.4)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48.3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24.2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20.3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 (1.2)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64.2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17.5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 (3.0)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15.2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47.4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32.5 (5.6)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10.7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55.1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30.2 (5.5)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51.5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28.5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17.8 (1.7)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52.9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15.1 (1.0)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63.4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10.9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 (2.1)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58.1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29.5 (5.7)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 (2.0)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50.6 (4.3)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 (1.3)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39.4 (4.9)</w:t>
            </w:r>
          </w:p>
        </w:tc>
      </w:tr>
    </w:tbl>
    <w:p>
      <w:pPr>
        <w:pStyle w:val="BodyText"/>
      </w:pPr>
      <w:r>
        <w:rPr>
          <w:b/>
          <w:bCs/>
        </w:rPr>
        <w:t xml:space="preserve">Table 3.</w:t>
      </w:r>
      <w:r>
        <w:t xml:space="preserve"> </w:t>
      </w:r>
      <w:r>
        <w:t xml:space="preserve">Frequency (%) of the four diagnostic families at the ecoregion and stratum scales, by contrast and dietary currency. Frequencies are computed within each spatial unit, with a family absent from a unit counted as zero, then averaged across units and across the 100 prey taxonomic resolutions; standard deviation across resolutions in parentheses.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65.9 (2.0)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9.3 (0.8)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20.2 (1.2)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 (1.2)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69.5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 (0.5)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69.5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17.7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 (1.7)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34.5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30.4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18.3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16.8 (1.8)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24.6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24.1 (4.1)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11.9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 (0.4)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 (0.3)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78.0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9.4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 (2.7)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28.3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48.7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19.8 (1.6)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16.9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24.1 (1.7)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 (0.6)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80.3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 (0.4)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68.8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28.4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 (0.5)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56.0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11.6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12.3 (2.3)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37.4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41.1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 (1.5)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77.8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11.7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 (1.6)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77.7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 (0.8)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82.1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 (1.2)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48.6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39.9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 (1.1)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24.8 (2.8)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59.2 (2.1)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 (0.5)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11.2 (3.0)</w:t>
            </w:r>
          </w:p>
        </w:tc>
      </w:tr>
    </w:tbl>
    <w:bookmarkStart w:id="9" w:name="supplementary-tables"/>
    <w:p>
      <w:pPr>
        <w:pStyle w:val="Heading1"/>
      </w:pPr>
      <w:r>
        <w:t xml:space="preserve">Supplementary tables</w:t>
      </w:r>
    </w:p>
    <w:p>
      <w:pPr>
        <w:pStyle w:val="FirstParagraph"/>
      </w:pPr>
      <w:r>
        <w:rPr>
          <w:b/>
          <w:bCs/>
        </w:rPr>
        <w:t xml:space="preserve">Table S1.</w:t>
      </w:r>
      <w:r>
        <w:t xml:space="preserve"> </w:t>
      </w:r>
      <w:r>
        <w:t xml:space="preserve">Predator taxa retained in the analysis, with the length at maturity (</w:t>
      </w:r>
      <w:r>
        <w:rPr>
          <w:i/>
          <w:iCs/>
        </w:rPr>
        <w:t xml:space="preserve">L</w:t>
      </w:r>
      <w:r>
        <w:rPr>
          <w:vertAlign w:val="subscript"/>
        </w:rPr>
        <w:t xml:space="preserve">mat</w:t>
      </w:r>
      <w:r>
        <w:t xml:space="preserve">) used to separate juvenile and adult size classes (Scharf et al., 2000, and regional sources). Taxa without a published regional</w:t>
      </w:r>
      <w:r>
        <w:t xml:space="preserve"> </w:t>
      </w:r>
      <w:r>
        <w:rPr>
          <w:i/>
          <w:iCs/>
        </w:rPr>
        <w:t xml:space="preserve">L</w:t>
      </w:r>
      <w:r>
        <w:rPr>
          <w:vertAlign w:val="subscript"/>
        </w:rPr>
        <w:t xml:space="preserve">mat</w:t>
      </w:r>
      <w:r>
        <w:t xml:space="preserve"> </w:t>
      </w:r>
      <w:r>
        <w:t xml:space="preserve">were analysed as a single size class.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Predator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Scientific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Length range 2004-2006 (cm)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Length range 2018-2019 (cm)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Stomachs 2004-2006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Stomachs 2018-2019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Lmat (cm)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Lmax (cm)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Source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cod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Gadus morhua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American plaice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Hippoglossoides platessoides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Yellowtail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Myzopsetta ferruginea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Thorny skate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Amblyraja radiata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Templemen 1987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Capelin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Mallotus villosus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Daubed shanny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Leptoclinus maculatus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Moustache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Triglops murrayi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Longhorn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Myoxocephalus octodecemspinosus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Winter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Pseudopleuronectes americanus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White hake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Urophycis tenuis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herring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Clupea harengus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CSAS/Beaudry-Sylvestre et al. 2022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Alligatorfish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Aspidophoroides monopterygius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hookear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Artediellus atlanticus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poacher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Leptagonus decagonus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Witch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Glyptocephalus cynoglossus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Dusky snailfish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Liparis gibbus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Spatulate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Icelus spatula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Laval's eelpout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Lycodes lavalaei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Greenland halibut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Reinhardtius hippoglossoides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Arctic staghorn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Gymnocanthus tricuspis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Stout eelblenny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Anisarchus medius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Alewife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Alosa pseudoharengus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Fourline snakeblenny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Eumesogrammus praecisus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Rainbow smelt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Osmerus mordax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Shorthorn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Myoxocephalus scorpius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Redfish unidentified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Sebastes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Lehoux et al. 2024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spiny lumpsucker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Eumicrotremus spinosus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Smooth skate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Malacoraja senta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NOAA/Gulf of maine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Snakeblenny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Lumpenus lampretaeformis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Arctic alligatorfish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Aspidophoroides olrikii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Fourbeard rockling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Enchelyopus cimbrius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Marlin-spike grenadier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Nezumia bairdii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Three-spined stickleback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Gasterosteus aculeatus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mackerel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Scomber scombrus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DFO CSAS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Greenland cod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Gadus macrocephalus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Arctic hookear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Artediellus uncinatus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Sea raven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Hemitripterus americanus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Vahl's eelpout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Lycodes vahlii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Northern sand lance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Ammodytes dubius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Windowpane flounder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Scophthalmus aquosus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12.7-24.7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Fishbase</w:t>
            </w:r>
          </w:p>
        </w:tc>
      </w:tr>
    </w:tbl>
    <w:p>
      <w:pPr>
        <w:pStyle w:val="BodyText"/>
      </w:pPr>
      <w:r>
        <w:rPr>
          <w:b/>
          <w:bCs/>
        </w:rPr>
        <w:t xml:space="preserve">Table S2.</w:t>
      </w:r>
      <w:r>
        <w:t xml:space="preserve"> </w:t>
      </w:r>
      <w:r>
        <w:t xml:space="preserve">Predator × size-class cells classifiable in the full between-period contrast (2004–2006 vs 2018–2019), with the numbers of non-empty stomachs and trawl sets in each sampling window. Two further cells, juvenile snakeblenny and adult thorny skate, were classifiable only in within-period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Predator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Size 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Stomachs 2004-2006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Stomachs 2018-2019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Sets 2004-2006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Sets 2018-2019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Testable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Reliable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Alewife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Alewife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Alligatorfish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Alligatorfish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American plaice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American plaice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Arctic alligatorfish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Arctic hookear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Arctic staghorn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cod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cod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herring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herring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hookear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mackerel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mackerel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poacher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Atlantic spiny lumpsucker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Capelin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Capelin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Daubed shanny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Daubed shanny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Dusky snailfish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Fourbeard rockling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Fourline snakeblenny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Greenland cod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Greenland halibut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Greenland halibut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Laval's eelpout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Longhorn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Longhorn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Marlin-spike grenadier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Moustache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Northern sand lance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Rainbow smelt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Rainbow smelt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Redfish unidentified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Redfish unidentified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Sea raven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Shorthorn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Shorthorn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Smooth skate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Snakeblenny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Spatulate 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Stout eelblenny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Thorny skate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Three-spined stickleback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Three-spined stickleback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Vahl's eelpout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one_class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White hake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White hake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Windowpane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Windowpane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Winter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Winter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Witch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Witch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Yellowtail flounder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adult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Yellowtail flounder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juvenile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true</w:t>
            </w:r>
          </w:p>
        </w:tc>
      </w:tr>
    </w:tbl>
    <w:p>
      <w:pPr>
        <w:pStyle w:val="BodyText"/>
      </w:pPr>
      <w:r>
        <w:rPr>
          <w:b/>
          <w:bCs/>
        </w:rPr>
        <w:t xml:space="preserve">Table S3.</w:t>
      </w:r>
      <w:r>
        <w:t xml:space="preserve"> </w:t>
      </w:r>
      <w:r>
        <w:t xml:space="preserve">Frequency (%) of the four diagnostic families within each ecoregion, by contrast and dietary currency, with the number of classifiable predator × size-class cells in each ecoregion.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 units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Reorganisation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Chaleur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Magdalen Shallows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Northumberland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w:t>
            </w:r>
          </w:p>
        </w:tc>
      </w:tr>
    </w:tbl>
    <w:p>
      <w:pPr>
        <w:pStyle w:val="BodyText"/>
      </w:pPr>
      <w:r>
        <w:rPr>
          <w:b/>
          <w:bCs/>
        </w:rPr>
        <w:t xml:space="preserve">Table S4.</w:t>
      </w:r>
      <w:r>
        <w:t xml:space="preserve"> </w:t>
      </w:r>
      <w:r>
        <w:t xml:space="preserve">Frequency (%) of the four diagnostic families within each survey stratum, by contrast and dietary currency, with the number of classifiable predator × size-class cells in each stratum.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 units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Reorganisation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9.7</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diagnostic framework for assessing trophic change from predator stomach contents</dc:title>
  <dc:creator/>
  <cp:keywords/>
  <dcterms:created xsi:type="dcterms:W3CDTF">2026-09-22T12:27:16Z</dcterms:created>
  <dcterms:modified xsi:type="dcterms:W3CDTF">2026-09-22T12:27:16Z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Tables</vt:lpwstr>
  </property>
  <property fmtid="{D5CDD505-2E9C-101B-9397-08002B2CF9AE}" pid="9" name="toc-title">
    <vt:lpwstr>Table of contents</vt:lpwstr>
  </property>
</Properties>
</file>