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40"/>
          <w:szCs w:val="40"/>
          <w:rtl w:val="0"/>
        </w:rPr>
        <w:t xml:space="preserve">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="276" w:lineRule="auto"/>
        <w:jc w:val="center"/>
        <w:rPr>
          <w:rFonts w:ascii="Times New Roman" w:cs="Times New Roman" w:eastAsia="Times New Roman" w:hAnsi="Times New Roman"/>
          <w:color w:val="2e74b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4b5"/>
          <w:sz w:val="68"/>
          <w:szCs w:val="68"/>
          <w:rtl w:val="0"/>
        </w:rPr>
        <w:t xml:space="preserve">YEDI + TIDAL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6"/>
          <w:sz w:val="34"/>
          <w:szCs w:val="34"/>
          <w:rtl w:val="0"/>
        </w:rPr>
        <w:t xml:space="preserve">Two-Sided Staffing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5b6" w:space="12" w:sz="4" w:val="single"/>
        </w:pBd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8"/>
          <w:szCs w:val="28"/>
          <w:rtl w:val="0"/>
        </w:rPr>
        <w:t xml:space="preserve">From Admin Panel to Production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right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Version: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right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Authored by: Chris Vu</w:t>
      </w:r>
    </w:p>
    <w:p w:rsidR="00000000" w:rsidDel="00000000" w:rsidP="00000000" w:rsidRDefault="00000000" w:rsidRPr="00000000" w14:paraId="0000000A">
      <w:pPr>
        <w:spacing w:line="276" w:lineRule="auto"/>
        <w:jc w:val="right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Approved by: Bryan Du</w:t>
      </w:r>
    </w:p>
    <w:p w:rsidR="00000000" w:rsidDel="00000000" w:rsidP="00000000" w:rsidRDefault="00000000" w:rsidRPr="00000000" w14:paraId="0000000B">
      <w:pPr>
        <w:spacing w:before="400" w:line="276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right"/>
        <w:rPr>
          <w:rFonts w:ascii="Times New Roman" w:cs="Times New Roman" w:eastAsia="Times New Roman" w:hAnsi="Times New Roman"/>
          <w:sz w:val="26"/>
          <w:szCs w:val="26"/>
        </w:rPr>
        <w:sectPr>
          <w:headerReference r:id="rId6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579a"/>
          <w:sz w:val="26"/>
          <w:szCs w:val="26"/>
          <w:rtl w:val="0"/>
        </w:rPr>
        <w:t xml:space="preserve">Hanoi, July 6th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Presenter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7"/>
        <w:gridCol w:w="3008.666666666667"/>
        <w:gridCol w:w="3008.666666666667"/>
        <w:tblGridChange w:id="0">
          <w:tblGrid>
            <w:gridCol w:w="3008.666666666667"/>
            <w:gridCol w:w="3008.666666666667"/>
            <w:gridCol w:w="3008.666666666667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40" w:before="40" w:line="276" w:lineRule="auto"/>
              <w:ind w:lef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Presenter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40" w:before="40" w:line="276" w:lineRule="auto"/>
              <w:ind w:lef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Position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40" w:before="40" w:line="276" w:lineRule="auto"/>
              <w:ind w:lef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Division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40" w:before="40" w:line="276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Bryan 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40" w:before="40" w:line="276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Solutions /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40" w:before="40" w:line="276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Global Delivery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Edit History</w:t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095"/>
        <w:gridCol w:w="3060"/>
        <w:gridCol w:w="3000"/>
        <w:tblGridChange w:id="0">
          <w:tblGrid>
            <w:gridCol w:w="1785"/>
            <w:gridCol w:w="1095"/>
            <w:gridCol w:w="306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40" w:before="40" w:line="276" w:lineRule="auto"/>
              <w:ind w:left="27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40" w:before="40" w:line="276" w:lineRule="auto"/>
              <w:ind w:left="27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Version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40" w:before="40" w:line="276" w:lineRule="auto"/>
              <w:ind w:left="27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40" w:before="40" w:line="276" w:lineRule="auto"/>
              <w:ind w:left="27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40" w:before="40" w:line="276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Jul 6,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40" w:before="40" w:line="276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40" w:before="40" w:line="276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40" w:before="40" w:line="276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Chris Vu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4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Approval</w:t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40" w:before="40" w:line="276" w:lineRule="auto"/>
              <w:ind w:left="27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Approved date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40" w:before="40" w:line="276" w:lineRule="auto"/>
              <w:ind w:left="27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Version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40" w:before="40" w:line="276" w:lineRule="auto"/>
              <w:ind w:left="27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Approved by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40" w:before="40" w:line="276" w:lineRule="auto"/>
              <w:ind w:left="27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40" w:before="40" w:line="276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40" w:before="40" w:line="276" w:lineRule="auto"/>
              <w:ind w:left="36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40" w:before="40" w:line="276" w:lineRule="auto"/>
              <w:ind w:left="36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Bryan Du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40" w:before="40" w:line="276" w:lineRule="auto"/>
              <w:ind w:left="36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CDO</w:t>
            </w:r>
          </w:p>
        </w:tc>
      </w:tr>
    </w:tbl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0" w:line="276" w:lineRule="auto"/>
        <w:rPr>
          <w:rFonts w:ascii="Times New Roman" w:cs="Times New Roman" w:eastAsia="Times New Roman" w:hAnsi="Times New Roman"/>
          <w:b w:val="1"/>
          <w:bCs w:val="1"/>
          <w:color w:val="1a2b4a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2b4a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2A">
      <w:pPr>
        <w:spacing w:after="4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id w:val="16316268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Project Overview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Current State — Directly Verified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Solution Value Proposition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Objectives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Project Scope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In-Scope Items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0tzipuut3j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 Identity, Authentication &amp; Access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 Brand/School Portal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 Candidate/Teacher Portal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2.1.4 Adverts &amp; Job Lifecycle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2.1.5 Applications, Matching &amp; Booking (Core Loop)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2.1.6 Compliance &amp; Right-to-Work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2.1.7 Timesheets &amp; Attendance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2.1.8 Billing (Invoice / Payslip)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2.1.9 Notifications &amp; Communications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2.1.10 Multi-Tenancy &amp; Non-Functional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29jgr6ghv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2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2.1.11 Phase 2 — Automation, Full Yedi &amp; Polish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Out-of-Scope Items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Dependencies and Assumptions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Solution Approach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Delivery Methodology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Communication &amp; Collaboration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Quality Assurance Strategy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Technical Requirements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Core Architectural Principles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System Architecture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Architecture Options — Shared vs Separate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Technical Configuration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Master Schedule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Master Schedule Overview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Phase 1 (MVP) Sprint Breakdown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Phase 2 (Enhancement) Sprint Breakdown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Quotation &amp; Work Breakdown Structure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Work Breakdown Structure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Team Structure &amp; Cost Breakdown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Payment Milestones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Future Enhancements Roadmap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2">
      <w:pPr>
        <w:pStyle w:val="Heading2"/>
        <w:keepNext w:val="1"/>
        <w:keepLines w:val="1"/>
        <w:spacing w:after="40" w:before="40" w:line="276" w:lineRule="auto"/>
        <w:ind w:left="720" w:firstLine="0"/>
        <w:jc w:val="both"/>
        <w:rPr>
          <w:rFonts w:ascii="Times New Roman" w:cs="Times New Roman" w:eastAsia="Times New Roman" w:hAnsi="Times New Roman"/>
          <w:color w:val="1a2b4a"/>
          <w:sz w:val="36"/>
          <w:szCs w:val="36"/>
        </w:rPr>
      </w:pPr>
      <w:bookmarkStart w:colFirst="0" w:colLast="0" w:name="_hrvrn7ovwxp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1"/>
        <w:keepLines w:val="1"/>
        <w:spacing w:after="40" w:before="40" w:line="276" w:lineRule="auto"/>
        <w:ind w:left="720" w:firstLine="0"/>
        <w:jc w:val="both"/>
        <w:rPr>
          <w:rFonts w:ascii="Times New Roman" w:cs="Times New Roman" w:eastAsia="Times New Roman" w:hAnsi="Times New Roman"/>
          <w:color w:val="1a2b4a"/>
          <w:sz w:val="36"/>
          <w:szCs w:val="36"/>
        </w:rPr>
      </w:pPr>
      <w:bookmarkStart w:colFirst="0" w:colLast="0" w:name="_d9tzpn9t9s7m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1. Project Overview</w:t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Yedi and Tidal are a two-sided staffing platform — Yedi connects schools with teachers; Tidal connects brands with candidates — built on a Laravel + Filament admin panel. Sotatek proposes a “keep &amp; extend” programme (no rebuild) that turns the internal admin panel into a production, self-service, transacting product, delivered on a single shared multi-tenant foundation.</w:t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Figures in this proposal are indicative — based on a hands-on assessment of the live admin systems without source-code access. Sprint 1 of Phase 1 includes a source-code audit that confirms or fine-tunes these figures before Sprint 2 begins; there is no separate pre-project phase or additional approval gate.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Current State — Directly Verified</w:t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logged in and tested the live admin of both platforms (Tidal on 2026-06-29; Yedi + Tidal re-verification on 2026-07-03). The backbone is real and reusable — roughly a quarter of a full platform already exists: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Rich data model: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Adverts (rate, charge %, shift, address, docs), Candidates (4-tab profile, references, compliance status, ID/video/contract storage), Brands/Schools, and System settings.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Working admin CRUD: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resource coverage, status filters, bulk actions and financial dashboard widgets.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Partial application logic: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an Application correctly updates the related records (accepted-application, counters).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Per-tenant configuration: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Yedi carries 5 education job-roles (QTS) plus a “DBS Evidence” catalogue; Tidal carries its charge defaults.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finding: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Yedi and Tidal are currently the SAME codebase — separately deployed, re-labelled (School/Teacher/Job vs Brand/Candidate/Advert) and configured per tenant.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Assessment: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across ~110 features assessed: ~23 done, ~41 partial, ~46 missing.</w:t>
      </w:r>
    </w:p>
    <w:p w:rsidR="00000000" w:rsidDel="00000000" w:rsidP="00000000" w:rsidRDefault="00000000" w:rsidRPr="00000000" w14:paraId="00000060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Solution Value Proposition</w:t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remains is the transaction engine and the self-service surfaces that turn the admin panel into a sellable product. Because every missing engine is identical for both platforms, we build it once on a multi-tenant foundation: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self-service portals (Brand/School + Candidate/Teacher).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Core booking engine: Application → Matching → Offer/Accept → Booking.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Billing engine: invoice/payslip generation + PDF + lifecycle.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&amp; right-to-work engine with enforcement.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Timesheets, multi-party authentication, RBAC and notifications.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Shared multi-tenant white-label foundation — ~40–45% cheaper than two separate builds.</w:t>
      </w:r>
    </w:p>
    <w:p w:rsidR="00000000" w:rsidDel="00000000" w:rsidP="00000000" w:rsidRDefault="00000000" w:rsidRPr="00000000" w14:paraId="00000068">
      <w:pPr>
        <w:spacing w:after="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Project Objectives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 the internal admin panel into a production, self-service, transacting two-sided platform.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 the Tidal MVP in ~3 months — including the Sprint 1 source-code audit — on a shared multi-tenant foundation.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Yedi in Phase 2 — including its UI/UX, tenant configuration and the education compliance layer (DBS/safeguarding — a mandatory gate).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 production-grade security, a GDPR baseline, automated tests and CI/CD.</w:t>
      </w:r>
    </w:p>
    <w:p w:rsidR="00000000" w:rsidDel="00000000" w:rsidP="00000000" w:rsidRDefault="00000000" w:rsidRPr="00000000" w14:paraId="0000006E">
      <w:pPr>
        <w:pStyle w:val="Heading1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2. Project Scope</w:t>
      </w:r>
    </w:p>
    <w:p w:rsidR="00000000" w:rsidDel="00000000" w:rsidP="00000000" w:rsidRDefault="00000000" w:rsidRPr="00000000" w14:paraId="0000006F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2.1 In-Scope Items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Delivery is organised into two Phases. Phase 1 delivers a launchable Tidal MVP on a shared multi-tenant foundation, built so that additional industry verticals (incl. Yedi) can be switched on via configuration in a later phase. Phase 2 fully enables Yedi — UI/UX, tenant configuration, and the education compliance layer (DBS/safeguarding) — alongside payment automation, full education matching and reporting depth.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note on pricing precision: the effort and cost figures in this proposal are indicative — built from a hands-on but black-box assessment of the live systems (no source-code access yet). Sprint 1 of Phase 1 includes a source-code audit alongside environment setup and foundation work; by the end of Sprint 1 we confirm these figures against the real codebase and flag any material change before Sprint 2 begins. This confirmation happens inside Phase 1 — it is not a separate phase, and its cost and timeline are already included in the ~3-month.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b0tzipuut3jt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Phase 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Phase 1 includes the full Tidal platform (UI/UX, Matching Engine, full features) and the shared multi-tenant foundation. Yedi — including its UI/UX, tenant configuration and education compliance layer (DBS/safeguarding) — is built entirely in Phase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2.1.1 Identity, Authentication &amp; Access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Multi-party authentication (Brand/School, Candidate/Teacher, Admin) with password reset and 2FA.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access control (RBAC) across portals and admin.</w:t>
      </w:r>
    </w:p>
    <w:p w:rsidR="00000000" w:rsidDel="00000000" w:rsidP="00000000" w:rsidRDefault="00000000" w:rsidRPr="00000000" w14:paraId="00000077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2.1.2 Brand/School Portal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and manage staffing requests / adverts; review applicants.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 management and invoice view.</w:t>
      </w:r>
    </w:p>
    <w:p w:rsidR="00000000" w:rsidDel="00000000" w:rsidP="00000000" w:rsidRDefault="00000000" w:rsidRPr="00000000" w14:paraId="0000007A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2.1.3 Candidate/Teacher Portal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Onboarding, profile, upload evidence, set availability.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Search, apply, accept; timesheet submission and payslip view.</w:t>
      </w:r>
    </w:p>
    <w:p w:rsidR="00000000" w:rsidDel="00000000" w:rsidP="00000000" w:rsidRDefault="00000000" w:rsidRPr="00000000" w14:paraId="0000007D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2.1.4 Adverts &amp; Job Lifecycle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Advert creation, status lifecycle, and publishing to the candidate portal.</w:t>
      </w:r>
    </w:p>
    <w:p w:rsidR="00000000" w:rsidDel="00000000" w:rsidP="00000000" w:rsidRDefault="00000000" w:rsidRPr="00000000" w14:paraId="0000007F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2.1.5 Applications, Matching &amp; Booking (Core Loop)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Application → Matching → Offer/Accept → Booking, with allocation and auto-status.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Availability model + basic clash detection.</w:t>
      </w:r>
    </w:p>
    <w:p w:rsidR="00000000" w:rsidDel="00000000" w:rsidP="00000000" w:rsidRDefault="00000000" w:rsidRPr="00000000" w14:paraId="00000082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2.1.6 Compliance &amp; Right-to-Work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engine with rules, enforcement and evidence capture (right-to-work gate).</w:t>
      </w:r>
    </w:p>
    <w:p w:rsidR="00000000" w:rsidDel="00000000" w:rsidP="00000000" w:rsidRDefault="00000000" w:rsidRPr="00000000" w14:paraId="00000084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2.1.7 Timesheets &amp; Attendance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Shift → hours → pay-basis capture feeding billing and payslips.</w:t>
      </w:r>
    </w:p>
    <w:p w:rsidR="00000000" w:rsidDel="00000000" w:rsidP="00000000" w:rsidRDefault="00000000" w:rsidRPr="00000000" w14:paraId="00000086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2.1.8 Billing (Invoice / Payslip)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Invoice and payslip generation + PDF output + lifecycle (using existing bank/terms/template config).</w:t>
      </w:r>
    </w:p>
    <w:p w:rsidR="00000000" w:rsidDel="00000000" w:rsidP="00000000" w:rsidRDefault="00000000" w:rsidRPr="00000000" w14:paraId="00000088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2.1.9 Notifications &amp; Communications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notifications: email-first plus key SMS (booking / timesheet / compliance).</w:t>
      </w:r>
    </w:p>
    <w:p w:rsidR="00000000" w:rsidDel="00000000" w:rsidP="00000000" w:rsidRDefault="00000000" w:rsidRPr="00000000" w14:paraId="0000008A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2.1.10 Multi-Tenancy &amp; Non-Functional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Shared multi-tenant white-label foundation, architected to support additional industry verticals — Yedi is enabled via configuration in Phase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+ GDPR baseline, automated tests and CI/CD; Tidal go-live.</w:t>
      </w:r>
    </w:p>
    <w:p w:rsidR="00000000" w:rsidDel="00000000" w:rsidP="00000000" w:rsidRDefault="00000000" w:rsidRPr="00000000" w14:paraId="0000008D">
      <w:pPr>
        <w:pStyle w:val="Heading2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h29jgr6ghvq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Phase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2.1.11 Phase 2 — Automation, Full Yedi &amp; Polish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Yedi enablement: UI/UX, tenant configuration, and the education compliance layer (DBS/safeguarding — mandatory gate).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automation (collection + payout); accounting export + credit notes.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ID / right-to-work verification; e-signature; in-app notification centre.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Two-way ratings &amp; feedback (client ↔ candidate) + reliability tracking → feeding matching.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Referral programme; training/onboarding records (in-app).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Geo / multi-slot adverts; reporting depth; full Yedi + education matching.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Tidal client-visibility dashboard (“Tidal OS”: coverage / fill / spend / ratings).</w:t>
      </w:r>
    </w:p>
    <w:p w:rsidR="00000000" w:rsidDel="00000000" w:rsidP="00000000" w:rsidRDefault="00000000" w:rsidRPr="00000000" w14:paraId="00000096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2.2 Out-of-Scope Items</w:t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are excluded from this engagement and may be considered for future development: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Native mobile app (separate track).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migration beyond existing records.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Third-party licence fees.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Hosting and support after launch.</w:t>
      </w:r>
    </w:p>
    <w:p w:rsidR="00000000" w:rsidDel="00000000" w:rsidP="00000000" w:rsidRDefault="00000000" w:rsidRPr="00000000" w14:paraId="0000009C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2.3 Dependencies and Assumptions</w:t>
      </w:r>
    </w:p>
    <w:tbl>
      <w:tblPr>
        <w:tblStyle w:val="Table4"/>
        <w:tblW w:w="936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a2b4a" w:val="clear"/>
          </w:tcPr>
          <w:p w:rsidR="00000000" w:rsidDel="00000000" w:rsidP="00000000" w:rsidRDefault="00000000" w:rsidRPr="00000000" w14:paraId="0000009D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4a" w:val="clear"/>
          </w:tcPr>
          <w:p w:rsidR="00000000" w:rsidDel="00000000" w:rsidP="00000000" w:rsidRDefault="00000000" w:rsidRPr="00000000" w14:paraId="0000009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4a" w:val="clear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Source code + Git access — the biggest variable: whether the empty modules hide a backend, and whether it is a single ENV-configured mono-repo or two drifting forks.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A3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Candidate employment model (PAYE / umbrella / self-employed) — drives payslip and tax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Adverts single-hire vs multi-slot — affects the booking/billing schema.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A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Whether a mobile app has already been released (marketing mentions an “OnDemand App”) — affects front-end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Third-Party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Payment, SMS, ID-verification and e-sign services (e.g. GoCardless / Twilio / Yoti / DocuSign) — licence fees are client-borne.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B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Third-Party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B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Cloud infrastructure (AWS/GCP) costs are paid directly by the client.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Phase 1 pricing is indicative at signature and confirmed during Sprint 1 (source-code audit), within (or below) the indicative ranges — no separate approval gate or pre-project phase.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B5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B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B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Questions and clarifications are answered within 2 working days.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1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3. Solution Approach</w:t>
      </w:r>
    </w:p>
    <w:p w:rsidR="00000000" w:rsidDel="00000000" w:rsidP="00000000" w:rsidRDefault="00000000" w:rsidRPr="00000000" w14:paraId="000000B9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3.1 Delivery Methodology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employ an Agile Scrum methodology with 2-week sprints, following a “keep &amp; extend” approach (no rebuild). Sprint 1 of Phase 1 includes the source-code audit: we review the repository, confirm reusability and validate the estimate in parallel with environment/CI setup and initial foundation work, then confirm pricing before Sprint 2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ceremonies: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Planning — define the sprint backlog from prioritised user stories.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Daily Standups — 15-minute sync on progress, blockers and next steps.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Demo — bi-weekly client demonstration of working software.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Retrospective — team reflection to improve the process.</w:t>
      </w:r>
    </w:p>
    <w:p w:rsidR="00000000" w:rsidDel="00000000" w:rsidP="00000000" w:rsidRDefault="00000000" w:rsidRPr="00000000" w14:paraId="000000C1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3.2 Communication &amp; Collaboration</w:t>
      </w:r>
    </w:p>
    <w:tbl>
      <w:tblPr>
        <w:tblStyle w:val="Table5"/>
        <w:tblW w:w="936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2b4a" w:val="clear"/>
          </w:tcPr>
          <w:p w:rsidR="00000000" w:rsidDel="00000000" w:rsidP="00000000" w:rsidRDefault="00000000" w:rsidRPr="00000000" w14:paraId="000000C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Tool /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4a" w:val="clear"/>
          </w:tcPr>
          <w:p w:rsidR="00000000" w:rsidDel="00000000" w:rsidP="00000000" w:rsidRDefault="00000000" w:rsidRPr="00000000" w14:paraId="000000C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Slack / Google Chat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Daily communication, real-time questions and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C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C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Project tracking, backlog, sprint progress, burn-down charts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GitHub / GitLab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Version control, pull-request reviews, automated CI/CD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C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Confluence / Google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C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SRS, technical documentation, API specs, user guides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Figma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UI/UX design, interactive prototypes, design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C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Telegram /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C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Bi-weekly demos and reviews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3.3 Quality Assurance Strategy</w:t>
      </w:r>
    </w:p>
    <w:tbl>
      <w:tblPr>
        <w:tblStyle w:val="Table6"/>
        <w:tblW w:w="936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a2b4a" w:val="clear"/>
          </w:tcPr>
          <w:p w:rsidR="00000000" w:rsidDel="00000000" w:rsidP="00000000" w:rsidRDefault="00000000" w:rsidRPr="00000000" w14:paraId="000000D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Testing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4a" w:val="clear"/>
          </w:tcPr>
          <w:p w:rsidR="00000000" w:rsidDel="00000000" w:rsidP="00000000" w:rsidRDefault="00000000" w:rsidRPr="00000000" w14:paraId="000000D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4a" w:val="clear"/>
          </w:tcPr>
          <w:p w:rsidR="00000000" w:rsidDel="00000000" w:rsidP="00000000" w:rsidRDefault="00000000" w:rsidRPr="00000000" w14:paraId="000000D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Target /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Automated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PHPUnit / Pest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Unit + feature tests on booking, billing and compliance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D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D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222222"/>
                <w:rtl w:val="0"/>
              </w:rPr>
              <w:t xml:space="preserve">End-to-end portal flows (post → match → book → timesheet → invoice)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Manual / Exploratory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Edge cases, RBAC, multi-tenant isolation, UX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D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User 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D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Staging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D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Client-led acceptance before go-live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pStyle w:val="Heading1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4. Technical Requirements</w:t>
      </w:r>
    </w:p>
    <w:p w:rsidR="00000000" w:rsidDel="00000000" w:rsidP="00000000" w:rsidRDefault="00000000" w:rsidRPr="00000000" w14:paraId="000000E1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4.1 Core Architectural Principles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&amp; extend the existing Laravel + Filament core — no rebuild.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Shared multi-tenant backend; the industry layer is switched on/off via configuration.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Per-tenant compliance isolation — Yedi safeguarding stays separate from Tidal.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API-first services powering the Brand and Candidate self-service portals.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and GDPR by design; automated tests and CI/CD from day one.</w:t>
      </w:r>
    </w:p>
    <w:p w:rsidR="00000000" w:rsidDel="00000000" w:rsidP="00000000" w:rsidRDefault="00000000" w:rsidRPr="00000000" w14:paraId="000000E7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4.2 System Architecture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extends the existing admin into a layered, service-oriented platform: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 layer: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(Filament), Brand/School portal, Candidate/Teacher portal.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layer: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 services with multi-party JWT/session auth and RBAC.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 layer: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Identity, Adverts, Applications/Matching/Booking, Compliance, Timesheets, Billing, Notifications, Multi-Tenancy.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layer: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MySQL/PostgreSQL (multi-tenant schema), Redis (cache/queue), S3-compatible document storage.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services: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Email/SMS, payments, ID verification and e-signature (Phase 2).</w:t>
      </w:r>
    </w:p>
    <w:p w:rsidR="00000000" w:rsidDel="00000000" w:rsidP="00000000" w:rsidRDefault="00000000" w:rsidRPr="00000000" w14:paraId="000000EE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4.3 Architecture Options — Shared vs Separate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every missing engine is identical for both platforms, we recommend building it once on a multi-tenant foundation:</w:t>
      </w:r>
    </w:p>
    <w:tbl>
      <w:tblPr>
        <w:tblStyle w:val="Table7"/>
        <w:tblW w:w="936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a2b4a" w:val="clear"/>
          </w:tcPr>
          <w:p w:rsidR="00000000" w:rsidDel="00000000" w:rsidP="00000000" w:rsidRDefault="00000000" w:rsidRPr="00000000" w14:paraId="000000F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4a" w:val="clear"/>
          </w:tcPr>
          <w:p w:rsidR="00000000" w:rsidDel="00000000" w:rsidP="00000000" w:rsidRDefault="00000000" w:rsidRPr="00000000" w14:paraId="000000F1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4a" w:val="clear"/>
          </w:tcPr>
          <w:p w:rsidR="00000000" w:rsidDel="00000000" w:rsidP="00000000" w:rsidRDefault="00000000" w:rsidRPr="00000000" w14:paraId="000000F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A. Shared multi-tenant; industry-specific FE / branding /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Lowest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RECOMMENDED — matches your instinct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0F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B. Shared core library + two separate deployments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0F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Versioning overhead; drift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C. Two fully separate products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Highest (+70–90%)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Not recommended — 2× maintenance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4.4 Technical Configuration</w:t>
      </w:r>
    </w:p>
    <w:tbl>
      <w:tblPr>
        <w:tblStyle w:val="Table8"/>
        <w:tblW w:w="936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a2b4a" w:val="clear"/>
          </w:tcPr>
          <w:p w:rsidR="00000000" w:rsidDel="00000000" w:rsidP="00000000" w:rsidRDefault="00000000" w:rsidRPr="00000000" w14:paraId="000000F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4a" w:val="clear"/>
          </w:tcPr>
          <w:p w:rsidR="00000000" w:rsidDel="00000000" w:rsidP="00000000" w:rsidRDefault="00000000" w:rsidRPr="00000000" w14:paraId="000000F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4a" w:val="clear"/>
          </w:tcPr>
          <w:p w:rsidR="00000000" w:rsidDel="00000000" w:rsidP="00000000" w:rsidRDefault="00000000" w:rsidRPr="00000000" w14:paraId="000000F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Laravel (PHP)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Existing core — keep &amp; extend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0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0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Filament 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0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Existing admin — reuse &amp; extend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Frontend (portals)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Livewire + Blade / Inertia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Brand &amp; Candidate self-service portals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0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0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MySQL 8 / PostgreSQL 14+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0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Multi-tenant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Cache / Queue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Redis + Laravel Queue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Async billing, PDF,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0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1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S3-compatible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1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Documents, evidence, contracts, PDFs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Laravel + RBAC (2FA)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Multi-party auth; per-tenant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1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1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Email (SES/SMTP) + SMS (Twilio)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1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Email-first + key 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Payments (Phase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GoCardless / Stripe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Collection + payout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1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ID / Right-to-Work (Phase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1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Yoti / similar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1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Automated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E-signature (Phase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DocuSign / similar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Contracts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2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2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GitHub Actions / GitLab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2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Automated tests, build,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Multi-Tenancy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Config-driven tenant + industry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White-label Yedi / Tidal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pStyle w:val="Heading1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5. Master Schedule</w:t>
      </w:r>
    </w:p>
    <w:p w:rsidR="00000000" w:rsidDel="00000000" w:rsidP="00000000" w:rsidRDefault="00000000" w:rsidRPr="00000000" w14:paraId="0000012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5.1 Master Schedule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1 (MVP):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~3 months (6 sprints)</w:t>
      </w:r>
    </w:p>
    <w:p w:rsidR="00000000" w:rsidDel="00000000" w:rsidP="00000000" w:rsidRDefault="00000000" w:rsidRPr="00000000" w14:paraId="0000012A">
      <w:pPr>
        <w:spacing w:after="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1 includes the source-code audit; delivery covers the full Tidal MVP and Tidal go-live on the shared multi-tenant foundation; enlarged parallel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2 (Enhancement):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~1.5 months (3 sprints)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Yedi enablement (UI/UX, tenant configuration, DBS/safeguarding compliance layer) runs first, alongside payment automation, full education matching, ratings/referral/training and reporting depth; team continues at peak concurrency.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5.2 Phase 1 (MVP) Sprint Breakdown</w:t>
      </w:r>
    </w:p>
    <w:tbl>
      <w:tblPr>
        <w:tblStyle w:val="Table9"/>
        <w:tblW w:w="936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00"/>
        <w:gridCol w:w="1945.0000000000002"/>
        <w:gridCol w:w="5315"/>
        <w:tblGridChange w:id="0">
          <w:tblGrid>
            <w:gridCol w:w="2100"/>
            <w:gridCol w:w="1945.0000000000002"/>
            <w:gridCol w:w="5315"/>
          </w:tblGrid>
        </w:tblGridChange>
      </w:tblGrid>
      <w:tr>
        <w:trPr>
          <w:cantSplit w:val="0"/>
          <w:tblHeader w:val="0"/>
        </w:trPr>
        <w:tc>
          <w:tcPr>
            <w:shd w:fill="1a2b4a" w:val="clear"/>
          </w:tcPr>
          <w:p w:rsidR="00000000" w:rsidDel="00000000" w:rsidP="00000000" w:rsidRDefault="00000000" w:rsidRPr="00000000" w14:paraId="0000012E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4a" w:val="clear"/>
          </w:tcPr>
          <w:p w:rsidR="00000000" w:rsidDel="00000000" w:rsidP="00000000" w:rsidRDefault="00000000" w:rsidRPr="00000000" w14:paraId="0000012F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4a" w:val="clear"/>
          </w:tcPr>
          <w:p w:rsidR="00000000" w:rsidDel="00000000" w:rsidP="00000000" w:rsidRDefault="00000000" w:rsidRPr="00000000" w14:paraId="0000013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Key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Sprint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Week 1–2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Source-code audit (repo review, reusability confirmation, pricing confirmation) run in parallel with environment provisioning, CI/CD scaffolding, multi-tenant core and auth + RBAC scaffolding.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34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35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Week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3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Identity/Auth/Access complete (2FA, reset, RBAC); Brand/School &amp; Candidate/Teacher portal skeletons; Adverts &amp; job lifecycle.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Week 5–6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222222"/>
                <w:rtl w:val="0"/>
              </w:rPr>
              <w:t xml:space="preserve">Candidate evidence upload + availability model; application persistence; core booking loop begins (Application → Matching).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3A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3B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Week 7–8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3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222222"/>
                <w:rtl w:val="0"/>
              </w:rPr>
              <w:t xml:space="preserve">Core booking loop complete (Offer/Accept → Booking) + basic clash detection; Compliance engine + right-to-work enforcement built in parallel.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Week 9–10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222222"/>
                <w:rtl w:val="0"/>
              </w:rPr>
              <w:t xml:space="preserve">Timesheets (shift → hours → pay basis); Billing (Invoice/Payslip generation + PDF + lifecycle); basic notifications (email-first + key SMS) — parallel streams.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40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41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Week 11–12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4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Multi-tenant finalisation; security + GDPR baseline; automated tests + CI/CD; Tidal UAT; bug-fix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5.3 Phase 2 (Enhancement) Sprint Breakdown</w:t>
      </w:r>
    </w:p>
    <w:tbl>
      <w:tblPr>
        <w:tblStyle w:val="Table10"/>
        <w:tblW w:w="936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00"/>
        <w:gridCol w:w="1940.0000000000005"/>
        <w:gridCol w:w="5320"/>
        <w:tblGridChange w:id="0">
          <w:tblGrid>
            <w:gridCol w:w="2100"/>
            <w:gridCol w:w="1940.0000000000005"/>
            <w:gridCol w:w="5320"/>
          </w:tblGrid>
        </w:tblGridChange>
      </w:tblGrid>
      <w:tr>
        <w:trPr>
          <w:cantSplit w:val="0"/>
          <w:tblHeader w:val="0"/>
        </w:trPr>
        <w:tc>
          <w:tcPr>
            <w:shd w:fill="1a2b4a" w:val="clear"/>
          </w:tcPr>
          <w:p w:rsidR="00000000" w:rsidDel="00000000" w:rsidP="00000000" w:rsidRDefault="00000000" w:rsidRPr="00000000" w14:paraId="00000144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4a" w:val="clear"/>
          </w:tcPr>
          <w:p w:rsidR="00000000" w:rsidDel="00000000" w:rsidP="00000000" w:rsidRDefault="00000000" w:rsidRPr="00000000" w14:paraId="00000145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4a" w:val="clear"/>
          </w:tcPr>
          <w:p w:rsidR="00000000" w:rsidDel="00000000" w:rsidP="00000000" w:rsidRDefault="00000000" w:rsidRPr="00000000" w14:paraId="0000014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Key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Week 1–2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Yedi enablement: UI/UX, tenant configuration, and the education compliance layer (DBS/safeguarding mandatory gate); Yedi go-live prep.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Week 3–4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Payment automation (collection + payout) + accounting export/credit notes; automated ID/right-to-work verification; e-signature.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4D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4E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Week 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4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color w:val="222222"/>
                <w:rtl w:val="0"/>
              </w:rPr>
              <w:t xml:space="preserve">In-app notification centre; two-way ratings &amp; feedback + reliability tracking → matching; referral programme; training/onboarding records; geo/multi-slot adverts; reporting depth; full Yedi education matching; Tidal OS dashboard; UAT + deployment.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6. Quotation &amp; Work Breakdown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6.1 Work Breakdown Structure</w:t>
      </w:r>
    </w:p>
    <w:p w:rsidR="00000000" w:rsidDel="00000000" w:rsidP="00000000" w:rsidRDefault="00000000" w:rsidRPr="00000000" w14:paraId="000001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49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8490"/>
        <w:tblGridChange w:id="0">
          <w:tblGrid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1a2b4a" w:val="clear"/>
          </w:tcPr>
          <w:p w:rsidR="00000000" w:rsidDel="00000000" w:rsidP="00000000" w:rsidRDefault="00000000" w:rsidRPr="00000000" w14:paraId="0000015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P1  Identity / Auth /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5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P2  Brand/School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P3  Candidate/Teacher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5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P4  Adverts / Job Lifecycle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P5  Applications / Matching / Booking (core)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5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P6  Compliance &amp; Right-to-Work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after="40" w:before="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P7  Timesheets &amp; Attendance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5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P8  Billing (Invoice / Payslip)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P9  Payments &amp; Settlement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5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P10 Notifications &amp; Comms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P11 Documents / Contracts / E-sign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5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P12 Multi-Tenancy / White-Label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P13 Reporting &amp;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6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P14 Non-Functional (security / GDPR / QA / CI-CD)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6.2 Team Structure &amp; Cost Breakdown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propose a fixed-scope, indicative-price model per phase. The ranges below reflect a hands-on but black-box assessment (no source-code access yet); Sprint 1 of Phase 1 (source-code audit + foundation) confirms or fine-tunes these figures within the first ~2 weeks of delivery — work continues without interruption, and any change is agreed before Sprint 2 rather than mid-project. Figures exclude hosting, third-party licences (e.g. Twilio / GoCardless / DocuSign / Yoti) and post-launch support.</w:t>
      </w:r>
    </w:p>
    <w:p w:rsidR="00000000" w:rsidDel="00000000" w:rsidP="00000000" w:rsidRDefault="00000000" w:rsidRPr="00000000" w14:paraId="00000165">
      <w:pPr>
        <w:spacing w:after="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6.2.1 Phase 1 (MVP) — ~3 months (Includes 2 weeks UAT)</w:t>
      </w:r>
    </w:p>
    <w:p w:rsidR="00000000" w:rsidDel="00000000" w:rsidP="00000000" w:rsidRDefault="00000000" w:rsidRPr="00000000" w14:paraId="00000166">
      <w:pPr>
        <w:spacing w:after="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20"/>
        <w:gridCol w:w="630"/>
        <w:gridCol w:w="655.0000000000002"/>
        <w:gridCol w:w="1429.9999999999998"/>
        <w:gridCol w:w="1140"/>
        <w:gridCol w:w="1620"/>
        <w:gridCol w:w="1650"/>
        <w:tblGridChange w:id="0">
          <w:tblGrid>
            <w:gridCol w:w="2220"/>
            <w:gridCol w:w="630"/>
            <w:gridCol w:w="655.0000000000002"/>
            <w:gridCol w:w="1429.9999999999998"/>
            <w:gridCol w:w="1140"/>
            <w:gridCol w:w="1620"/>
            <w:gridCol w:w="16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M3 (0.5 month)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(M/M)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Unit Price (USD)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Cost (USD)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10,800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 &amp; UI/UX Designer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9,000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Senior Backend Engineer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12,800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Senior Frontend Engineer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DevOps Engineer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3,400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1,700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QC Engineer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18,200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$60,500</w:t>
            </w:r>
          </w:p>
        </w:tc>
      </w:tr>
    </w:tbl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6.2.2 Phase 2 (Enhancement) — ~1.5 months</w:t>
      </w:r>
    </w:p>
    <w:p w:rsidR="00000000" w:rsidDel="00000000" w:rsidP="00000000" w:rsidRDefault="00000000" w:rsidRPr="00000000" w14:paraId="000001A2">
      <w:pPr>
        <w:spacing w:after="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85"/>
        <w:gridCol w:w="645"/>
        <w:gridCol w:w="1500"/>
        <w:gridCol w:w="1335"/>
        <w:gridCol w:w="1740"/>
        <w:gridCol w:w="1755"/>
        <w:tblGridChange w:id="0">
          <w:tblGrid>
            <w:gridCol w:w="2385"/>
            <w:gridCol w:w="645"/>
            <w:gridCol w:w="1500"/>
            <w:gridCol w:w="1335"/>
            <w:gridCol w:w="1740"/>
            <w:gridCol w:w="17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M2 (0.5 month)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(M/M)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Unit Price (USD)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Cost (USD)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7,200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 &amp; UI/UX Designer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6,000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Senior Backend Engineer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8,000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Senior Frontend Engineer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4,800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DevOps Engineer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3,400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1,700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QC Engineer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12,600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$40,300</w:t>
            </w:r>
          </w:p>
        </w:tc>
      </w:tr>
    </w:tbl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6.3 Payment Milestones</w:t>
      </w:r>
    </w:p>
    <w:p w:rsidR="00000000" w:rsidDel="00000000" w:rsidP="00000000" w:rsidRDefault="00000000" w:rsidRPr="00000000" w14:paraId="000001D5">
      <w:pPr>
        <w:spacing w:after="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6.3.1 Phase 1 (MVP)</w:t>
      </w:r>
    </w:p>
    <w:p w:rsidR="00000000" w:rsidDel="00000000" w:rsidP="00000000" w:rsidRDefault="00000000" w:rsidRPr="00000000" w14:paraId="000001D6">
      <w:pPr>
        <w:spacing w:after="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a2b4a" w:val="clear"/>
          </w:tcPr>
          <w:p w:rsidR="00000000" w:rsidDel="00000000" w:rsidP="00000000" w:rsidRDefault="00000000" w:rsidRPr="00000000" w14:paraId="000001D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4a" w:val="clear"/>
          </w:tcPr>
          <w:p w:rsidR="00000000" w:rsidDel="00000000" w:rsidP="00000000" w:rsidRDefault="00000000" w:rsidRPr="00000000" w14:paraId="000001D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4a" w:val="clear"/>
          </w:tcPr>
          <w:p w:rsidR="00000000" w:rsidDel="00000000" w:rsidP="00000000" w:rsidRDefault="00000000" w:rsidRPr="00000000" w14:paraId="000001D9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4a" w:val="clear"/>
          </w:tcPr>
          <w:p w:rsidR="00000000" w:rsidDel="00000000" w:rsidP="00000000" w:rsidRDefault="00000000" w:rsidRPr="00000000" w14:paraId="000001DA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M1: Contract &amp; Phase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Signed SOW, fixed price issued, environment provisioned, foundation started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Upon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DF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M2: Core Booking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E0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Auth + RBAC, portals, adverts, and core booking loop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E1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E2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M3: UAT Start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Compliance, timesheets, billing and notifications complete; Tidal UAT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Week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E7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M4: UAT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E8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All bug fixed, documentation + source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E9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EA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Week 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after="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6.3.2 Phase 2 (Enhancement)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a2b4a" w:val="clear"/>
          </w:tcPr>
          <w:p w:rsidR="00000000" w:rsidDel="00000000" w:rsidP="00000000" w:rsidRDefault="00000000" w:rsidRPr="00000000" w14:paraId="000001E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4a" w:val="clear"/>
          </w:tcPr>
          <w:p w:rsidR="00000000" w:rsidDel="00000000" w:rsidP="00000000" w:rsidRDefault="00000000" w:rsidRPr="00000000" w14:paraId="000001E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4a" w:val="clear"/>
          </w:tcPr>
          <w:p w:rsidR="00000000" w:rsidDel="00000000" w:rsidP="00000000" w:rsidRDefault="00000000" w:rsidRPr="00000000" w14:paraId="000001EF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b4a" w:val="clear"/>
          </w:tcPr>
          <w:p w:rsidR="00000000" w:rsidDel="00000000" w:rsidP="00000000" w:rsidRDefault="00000000" w:rsidRPr="00000000" w14:paraId="000001F0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M1: Kickoff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Scope confirmation, sprint planning; Yedi enablement started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Upon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M2: Yedi Enablement Demo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Yedi UI/UX, tenant configuration and education compliance layer (DBS/safeguarding) complete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</w:tcPr>
          <w:p w:rsidR="00000000" w:rsidDel="00000000" w:rsidP="00000000" w:rsidRDefault="00000000" w:rsidRPr="00000000" w14:paraId="000001F9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M3: Full Feature &amp; UAT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FA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Payment automation, ID verification, e-sign, notification centre, ratings, referral, training, reporting, full Yedi education matching, Tidal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FB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</w:tcPr>
          <w:p w:rsidR="00000000" w:rsidDel="00000000" w:rsidP="00000000" w:rsidRDefault="00000000" w:rsidRPr="00000000" w14:paraId="000001FC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M4: Launch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All bugs fixed, documentation + source transfer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Grand Total (Phase 1 + Phase 2): 32.5 M/M ~ $100,800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7. Future Enhancements Roadmap</w:t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are planned for future phases, subject to Phase 1–2 feedback and client priorities.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Native mobile apps (candidate / brand) — separate track.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Advanced matching (AI/ML ranking on reliability, distance and ratings).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Analytics / BI depth — expansion of the “Tidal OS” coverage / fill / spend / ratings dashboards.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Integrations marketplace (accounting, HR, background-check providers).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migration tooling for historical records.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spacing w:after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 industry verticals on the same multi-tenant 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6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66666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D">
    <w:pPr>
      <w:rPr/>
    </w:pPr>
    <w:r w:rsidDel="00000000" w:rsidR="00000000" w:rsidRPr="00000000">
      <w:rPr/>
      <w:pict>
        <v:shape id="WordPictureWatermark1" style="position:absolute;width:614.25pt;height:792.4170078740158pt;rotation:0;z-index:-503316481;mso-position-horizontal-relative:margin;mso-position-horizontal:absolute;margin-left:-72.75pt;mso-position-vertical-relative:margin;mso-position-vertical:absolute;margin-top:-71.62496062992126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b4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d4740e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d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