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38"/>
          <w:szCs w:val="38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76" w:lineRule="auto"/>
        <w:jc w:val="center"/>
        <w:rPr>
          <w:rFonts w:ascii="Times New Roman" w:cs="Times New Roman" w:eastAsia="Times New Roman" w:hAnsi="Times New Roman"/>
          <w:color w:val="2e74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66"/>
          <w:szCs w:val="66"/>
          <w:rtl w:val="0"/>
        </w:rPr>
        <w:t>YEDI + TIDAL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32"/>
          <w:szCs w:val="32"/>
          <w:rtl w:val="0"/>
        </w:rPr>
        <w:t>Two-Sided Staffing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12" w:sz="4" w:val="single"/>
        </w:pBd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rtl w:val="0"/>
        </w:rPr>
        <w:t>From Admin Panel to Production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Version: v1.0</w:t>
      </w:r>
    </w:p>
    <w:p w:rsidR="00000000" w:rsidDel="00000000" w:rsidP="00000000" w:rsidRDefault="00000000" w:rsidRPr="00000000" w14:paraId="00000009">
      <w:pPr>
        <w:spacing w:line="276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Authored by: Sotatek</w:t>
      </w:r>
    </w:p>
    <w:p w:rsidR="00000000" w:rsidDel="00000000" w:rsidP="00000000" w:rsidRDefault="00000000" w:rsidRPr="00000000" w14:paraId="0000000A">
      <w:pPr>
        <w:spacing w:line="276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Approved by: </w:t>
      </w:r>
    </w:p>
    <w:p w:rsidR="00000000" w:rsidDel="00000000" w:rsidP="00000000" w:rsidRDefault="00000000" w:rsidRPr="00000000" w14:paraId="0000000B">
      <w:pPr>
        <w:spacing w:before="40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6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579a"/>
          <w:sz w:val="24"/>
          <w:szCs w:val="24"/>
          <w:rtl w:val="0"/>
        </w:rPr>
        <w:t>Hanoi, July 6th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Presenter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7"/>
        <w:gridCol w:w="3008.666666666667"/>
        <w:gridCol w:w="3008.666666666667"/>
        <w:tblGridChange w:id="0">
          <w:tblGrid>
            <w:gridCol w:w="3008.666666666667"/>
            <w:gridCol w:w="3008.666666666667"/>
            <w:gridCol w:w="3008.666666666667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40" w:before="40" w:line="276" w:lineRule="auto"/>
              <w:ind w:left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Presenter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0" w:before="40" w:line="276" w:lineRule="auto"/>
              <w:ind w:left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Position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40" w:before="40" w:line="276" w:lineRule="auto"/>
              <w:ind w:left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Division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  <w:t>Sotatek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  <w:t>Solutions /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  <w:t>Global Delivery</w:t>
            </w:r>
          </w:p>
        </w:tc>
      </w:tr>
    </w:tbl>
    <w:p w:rsidR="00000000" w:rsidDel="00000000" w:rsidP="00000000" w:rsidRDefault="00000000" w:rsidRPr="00000000" w14:paraId="00000014">
      <w:p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Edit History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095"/>
        <w:gridCol w:w="3060"/>
        <w:gridCol w:w="3000"/>
        <w:tblGridChange w:id="0">
          <w:tblGrid>
            <w:gridCol w:w="1785"/>
            <w:gridCol w:w="1095"/>
            <w:gridCol w:w="30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  <w:t>Jul 6,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  <w:t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  <w:t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  <w:t>Sotatek</w:t>
            </w:r>
          </w:p>
        </w:tc>
      </w:tr>
    </w:tbl>
    <w:p w:rsidR="00000000" w:rsidDel="00000000" w:rsidP="00000000" w:rsidRDefault="00000000" w:rsidRPr="00000000" w14:paraId="0000001E">
      <w:p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Approval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Approved date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Approved by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0" w:before="40" w:line="276" w:lineRule="auto"/>
              <w:ind w:left="36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  <w:t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0" w:before="40" w:line="276" w:lineRule="auto"/>
              <w:ind w:left="36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="276" w:lineRule="auto"/>
              <w:ind w:left="36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Arial" w:hAnsi="Arial"/>
                <w:b w:val="0"/>
                <w:color w:val="222222"/>
                <w:sz w:val="22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0" w:line="276" w:lineRule="auto"/>
        <w:rPr>
          <w:rFonts w:ascii="Times New Roman" w:cs="Times New Roman" w:eastAsia="Times New Roman" w:hAnsi="Times New Roman"/>
          <w:b w:val="1"/>
          <w:bCs w:val="1"/>
          <w:color w:val="1a2b4a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b4a"/>
          <w:sz w:val="34"/>
          <w:szCs w:val="34"/>
          <w:rtl w:val="0"/>
        </w:rPr>
        <w:t xml:space="preserve">Table of Contents</w:t>
      </w:r>
    </w:p>
    <w:p>
      <w:pPr>
        <w:tabs>
          <w:tab w:pos="9360" w:val="right" w:leader="dot"/>
        </w:tabs>
        <w:spacing w:after="40" w:before="0"/>
        <w:ind w:left="0"/>
      </w:pPr>
      <w:r>
        <w:rPr>
          <w:rFonts w:ascii="Arial" w:hAnsi="Arial"/>
          <w:b/>
          <w:color w:val="1A2B4A"/>
          <w:sz w:val="22"/>
        </w:rPr>
        <w:t>1. Project Overview</w:t>
      </w:r>
      <w:r>
        <w:rPr>
          <w:rFonts w:ascii="Arial" w:hAnsi="Arial"/>
          <w:b/>
          <w:color w:val="333333"/>
          <w:sz w:val="22"/>
        </w:rPr>
        <w:tab/>
        <w:t>4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Current State — Directly Verified</w:t>
      </w:r>
      <w:r>
        <w:rPr>
          <w:rFonts w:ascii="Arial" w:hAnsi="Arial"/>
          <w:b w:val="0"/>
          <w:color w:val="333333"/>
          <w:sz w:val="20"/>
        </w:rPr>
        <w:tab/>
        <w:t>4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Solution Value Proposition</w:t>
      </w:r>
      <w:r>
        <w:rPr>
          <w:rFonts w:ascii="Arial" w:hAnsi="Arial"/>
          <w:b w:val="0"/>
          <w:color w:val="333333"/>
          <w:sz w:val="20"/>
        </w:rPr>
        <w:tab/>
        <w:t>4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Project Objectives</w:t>
      </w:r>
      <w:r>
        <w:rPr>
          <w:rFonts w:ascii="Arial" w:hAnsi="Arial"/>
          <w:b w:val="0"/>
          <w:color w:val="333333"/>
          <w:sz w:val="20"/>
        </w:rPr>
        <w:tab/>
        <w:t>4</w:t>
      </w:r>
    </w:p>
    <w:p>
      <w:pPr>
        <w:tabs>
          <w:tab w:pos="9360" w:val="right" w:leader="dot"/>
        </w:tabs>
        <w:spacing w:after="40" w:before="0"/>
        <w:ind w:left="0"/>
      </w:pPr>
      <w:r>
        <w:rPr>
          <w:rFonts w:ascii="Arial" w:hAnsi="Arial"/>
          <w:b/>
          <w:color w:val="1A2B4A"/>
          <w:sz w:val="22"/>
        </w:rPr>
        <w:t>2. Project Scope</w:t>
      </w:r>
      <w:r>
        <w:rPr>
          <w:rFonts w:ascii="Arial" w:hAnsi="Arial"/>
          <w:b/>
          <w:color w:val="333333"/>
          <w:sz w:val="22"/>
        </w:rPr>
        <w:tab/>
        <w:t>5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2.1 In-Scope Items</w:t>
      </w:r>
      <w:r>
        <w:rPr>
          <w:rFonts w:ascii="Arial" w:hAnsi="Arial"/>
          <w:b w:val="0"/>
          <w:color w:val="333333"/>
          <w:sz w:val="20"/>
        </w:rPr>
        <w:tab/>
        <w:t>5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2.1.1 Identity, Authentication &amp; Access</w:t>
      </w:r>
      <w:r>
        <w:rPr>
          <w:rFonts w:ascii="Arial" w:hAnsi="Arial"/>
          <w:b w:val="0"/>
          <w:color w:val="333333"/>
          <w:sz w:val="20"/>
        </w:rPr>
        <w:tab/>
        <w:t>5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2.1.2 Brand/School Portal</w:t>
      </w:r>
      <w:r>
        <w:rPr>
          <w:rFonts w:ascii="Arial" w:hAnsi="Arial"/>
          <w:b w:val="0"/>
          <w:color w:val="333333"/>
          <w:sz w:val="20"/>
        </w:rPr>
        <w:tab/>
        <w:t>5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2.1.3 Candidate/Teacher Portal</w:t>
      </w:r>
      <w:r>
        <w:rPr>
          <w:rFonts w:ascii="Arial" w:hAnsi="Arial"/>
          <w:b w:val="0"/>
          <w:color w:val="333333"/>
          <w:sz w:val="20"/>
        </w:rPr>
        <w:tab/>
        <w:t>5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2.1.4 Adverts &amp; Job Lifecycle</w:t>
      </w:r>
      <w:r>
        <w:rPr>
          <w:rFonts w:ascii="Arial" w:hAnsi="Arial"/>
          <w:b w:val="0"/>
          <w:color w:val="333333"/>
          <w:sz w:val="20"/>
        </w:rPr>
        <w:tab/>
        <w:t>5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2.1.5 Applications, Matching &amp; Booking (Core Loop)</w:t>
      </w:r>
      <w:r>
        <w:rPr>
          <w:rFonts w:ascii="Arial" w:hAnsi="Arial"/>
          <w:b w:val="0"/>
          <w:color w:val="333333"/>
          <w:sz w:val="20"/>
        </w:rPr>
        <w:tab/>
        <w:t>5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2.1.6 Compliance &amp; Right-to-Work</w:t>
      </w:r>
      <w:r>
        <w:rPr>
          <w:rFonts w:ascii="Arial" w:hAnsi="Arial"/>
          <w:b w:val="0"/>
          <w:color w:val="333333"/>
          <w:sz w:val="20"/>
        </w:rPr>
        <w:tab/>
        <w:t>5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2.1.7 Timesheets &amp; Attendance</w:t>
      </w:r>
      <w:r>
        <w:rPr>
          <w:rFonts w:ascii="Arial" w:hAnsi="Arial"/>
          <w:b w:val="0"/>
          <w:color w:val="333333"/>
          <w:sz w:val="20"/>
        </w:rPr>
        <w:tab/>
        <w:t>5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2.1.8 Billing (Invoice / Payslip)</w:t>
      </w:r>
      <w:r>
        <w:rPr>
          <w:rFonts w:ascii="Arial" w:hAnsi="Arial"/>
          <w:b w:val="0"/>
          <w:color w:val="333333"/>
          <w:sz w:val="20"/>
        </w:rPr>
        <w:tab/>
        <w:t>5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2.1.9 Notifications &amp; Communications</w:t>
      </w:r>
      <w:r>
        <w:rPr>
          <w:rFonts w:ascii="Arial" w:hAnsi="Arial"/>
          <w:b w:val="0"/>
          <w:color w:val="333333"/>
          <w:sz w:val="20"/>
        </w:rPr>
        <w:tab/>
        <w:t>6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2.1.10 Multi-Tenancy &amp; Non-Functional</w:t>
      </w:r>
      <w:r>
        <w:rPr>
          <w:rFonts w:ascii="Arial" w:hAnsi="Arial"/>
          <w:b w:val="0"/>
          <w:color w:val="333333"/>
          <w:sz w:val="20"/>
        </w:rPr>
        <w:tab/>
        <w:t>6</w:t>
      </w:r>
    </w:p>
    <w:p>
      <w:pPr>
        <w:tabs>
          <w:tab w:pos="9360" w:val="right" w:leader="dot"/>
        </w:tabs>
        <w:spacing w:after="40" w:before="0"/>
        <w:ind w:left="620"/>
      </w:pPr>
      <w:r>
        <w:rPr>
          <w:rFonts w:ascii="Arial" w:hAnsi="Arial"/>
          <w:b w:val="0"/>
          <w:color w:val="333333"/>
          <w:sz w:val="20"/>
        </w:rPr>
        <w:t>2.1.11 Tranche 2 — Automation, Full Yedi &amp; Polish</w:t>
      </w:r>
      <w:r>
        <w:rPr>
          <w:rFonts w:ascii="Arial" w:hAnsi="Arial"/>
          <w:b w:val="0"/>
          <w:color w:val="333333"/>
          <w:sz w:val="20"/>
        </w:rPr>
        <w:tab/>
        <w:t>6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2.2 Out-of-Scope Items</w:t>
      </w:r>
      <w:r>
        <w:rPr>
          <w:rFonts w:ascii="Arial" w:hAnsi="Arial"/>
          <w:b w:val="0"/>
          <w:color w:val="333333"/>
          <w:sz w:val="20"/>
        </w:rPr>
        <w:tab/>
        <w:t>6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2.3 Dependencies and Assumptions</w:t>
      </w:r>
      <w:r>
        <w:rPr>
          <w:rFonts w:ascii="Arial" w:hAnsi="Arial"/>
          <w:b w:val="0"/>
          <w:color w:val="333333"/>
          <w:sz w:val="20"/>
        </w:rPr>
        <w:tab/>
        <w:t>6</w:t>
      </w:r>
    </w:p>
    <w:p>
      <w:pPr>
        <w:tabs>
          <w:tab w:pos="9360" w:val="right" w:leader="dot"/>
        </w:tabs>
        <w:spacing w:after="40" w:before="0"/>
        <w:ind w:left="0"/>
      </w:pPr>
      <w:r>
        <w:rPr>
          <w:rFonts w:ascii="Arial" w:hAnsi="Arial"/>
          <w:b/>
          <w:color w:val="1A2B4A"/>
          <w:sz w:val="22"/>
        </w:rPr>
        <w:t>3. Solution Approach</w:t>
      </w:r>
      <w:r>
        <w:rPr>
          <w:rFonts w:ascii="Arial" w:hAnsi="Arial"/>
          <w:b/>
          <w:color w:val="333333"/>
          <w:sz w:val="22"/>
        </w:rPr>
        <w:tab/>
        <w:t>7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3.1 Delivery Methodology</w:t>
      </w:r>
      <w:r>
        <w:rPr>
          <w:rFonts w:ascii="Arial" w:hAnsi="Arial"/>
          <w:b w:val="0"/>
          <w:color w:val="333333"/>
          <w:sz w:val="20"/>
        </w:rPr>
        <w:tab/>
        <w:t>7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3.2 Communication &amp; Collaboration</w:t>
      </w:r>
      <w:r>
        <w:rPr>
          <w:rFonts w:ascii="Arial" w:hAnsi="Arial"/>
          <w:b w:val="0"/>
          <w:color w:val="333333"/>
          <w:sz w:val="20"/>
        </w:rPr>
        <w:tab/>
        <w:t>7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3.3 Quality Assurance Strategy</w:t>
      </w:r>
      <w:r>
        <w:rPr>
          <w:rFonts w:ascii="Arial" w:hAnsi="Arial"/>
          <w:b w:val="0"/>
          <w:color w:val="333333"/>
          <w:sz w:val="20"/>
        </w:rPr>
        <w:tab/>
        <w:t>7</w:t>
      </w:r>
    </w:p>
    <w:p>
      <w:pPr>
        <w:tabs>
          <w:tab w:pos="9360" w:val="right" w:leader="dot"/>
        </w:tabs>
        <w:spacing w:after="40" w:before="0"/>
        <w:ind w:left="0"/>
      </w:pPr>
      <w:r>
        <w:rPr>
          <w:rFonts w:ascii="Arial" w:hAnsi="Arial"/>
          <w:b/>
          <w:color w:val="1A2B4A"/>
          <w:sz w:val="22"/>
        </w:rPr>
        <w:t>4. Technical Requirements</w:t>
      </w:r>
      <w:r>
        <w:rPr>
          <w:rFonts w:ascii="Arial" w:hAnsi="Arial"/>
          <w:b/>
          <w:color w:val="333333"/>
          <w:sz w:val="22"/>
        </w:rPr>
        <w:tab/>
        <w:t>8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4.1 Core Architectural Principles</w:t>
      </w:r>
      <w:r>
        <w:rPr>
          <w:rFonts w:ascii="Arial" w:hAnsi="Arial"/>
          <w:b w:val="0"/>
          <w:color w:val="333333"/>
          <w:sz w:val="20"/>
        </w:rPr>
        <w:tab/>
        <w:t>8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4.2 System Architecture</w:t>
      </w:r>
      <w:r>
        <w:rPr>
          <w:rFonts w:ascii="Arial" w:hAnsi="Arial"/>
          <w:b w:val="0"/>
          <w:color w:val="333333"/>
          <w:sz w:val="20"/>
        </w:rPr>
        <w:tab/>
        <w:t>8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4.3 Architecture Options — Shared vs Separate</w:t>
      </w:r>
      <w:r>
        <w:rPr>
          <w:rFonts w:ascii="Arial" w:hAnsi="Arial"/>
          <w:b w:val="0"/>
          <w:color w:val="333333"/>
          <w:sz w:val="20"/>
        </w:rPr>
        <w:tab/>
        <w:t>8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4.4 Technical Configuration</w:t>
      </w:r>
      <w:r>
        <w:rPr>
          <w:rFonts w:ascii="Arial" w:hAnsi="Arial"/>
          <w:b w:val="0"/>
          <w:color w:val="333333"/>
          <w:sz w:val="20"/>
        </w:rPr>
        <w:tab/>
        <w:t>8</w:t>
      </w:r>
    </w:p>
    <w:p>
      <w:pPr>
        <w:tabs>
          <w:tab w:pos="9360" w:val="right" w:leader="dot"/>
        </w:tabs>
        <w:spacing w:after="40" w:before="0"/>
        <w:ind w:left="0"/>
      </w:pPr>
      <w:r>
        <w:rPr>
          <w:rFonts w:ascii="Arial" w:hAnsi="Arial"/>
          <w:b/>
          <w:color w:val="1A2B4A"/>
          <w:sz w:val="22"/>
        </w:rPr>
        <w:t>5. Master Schedule</w:t>
      </w:r>
      <w:r>
        <w:rPr>
          <w:rFonts w:ascii="Arial" w:hAnsi="Arial"/>
          <w:b/>
          <w:color w:val="333333"/>
          <w:sz w:val="22"/>
        </w:rPr>
        <w:tab/>
        <w:t>9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5.1 Master Schedule Overview</w:t>
      </w:r>
      <w:r>
        <w:rPr>
          <w:rFonts w:ascii="Arial" w:hAnsi="Arial"/>
          <w:b w:val="0"/>
          <w:color w:val="333333"/>
          <w:sz w:val="20"/>
        </w:rPr>
        <w:tab/>
        <w:t>9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5.2 Tranche 1 (MVP) Sprint Breakdown</w:t>
      </w:r>
      <w:r>
        <w:rPr>
          <w:rFonts w:ascii="Arial" w:hAnsi="Arial"/>
          <w:b w:val="0"/>
          <w:color w:val="333333"/>
          <w:sz w:val="20"/>
        </w:rPr>
        <w:tab/>
        <w:t>9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5.3 Tranche 2 (Enhancement) Sprint Breakdown</w:t>
      </w:r>
      <w:r>
        <w:rPr>
          <w:rFonts w:ascii="Arial" w:hAnsi="Arial"/>
          <w:b w:val="0"/>
          <w:color w:val="333333"/>
          <w:sz w:val="20"/>
        </w:rPr>
        <w:tab/>
        <w:t>10</w:t>
      </w:r>
    </w:p>
    <w:p>
      <w:pPr>
        <w:tabs>
          <w:tab w:pos="9360" w:val="right" w:leader="dot"/>
        </w:tabs>
        <w:spacing w:after="40" w:before="0"/>
        <w:ind w:left="0"/>
      </w:pPr>
      <w:r>
        <w:rPr>
          <w:rFonts w:ascii="Arial" w:hAnsi="Arial"/>
          <w:b/>
          <w:color w:val="1A2B4A"/>
          <w:sz w:val="22"/>
        </w:rPr>
        <w:t>6. Work Breakdown Structure &amp; Quotation</w:t>
      </w:r>
      <w:r>
        <w:rPr>
          <w:rFonts w:ascii="Arial" w:hAnsi="Arial"/>
          <w:b/>
          <w:color w:val="333333"/>
          <w:sz w:val="22"/>
        </w:rPr>
        <w:tab/>
        <w:t>10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6.1 Quotation Summary</w:t>
      </w:r>
      <w:r>
        <w:rPr>
          <w:rFonts w:ascii="Arial" w:hAnsi="Arial"/>
          <w:b w:val="0"/>
          <w:color w:val="333333"/>
          <w:sz w:val="20"/>
        </w:rPr>
        <w:tab/>
        <w:t>10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6.2 Work Breakdown Structure (Effort by Domain)</w:t>
      </w:r>
      <w:r>
        <w:rPr>
          <w:rFonts w:ascii="Arial" w:hAnsi="Arial"/>
          <w:b w:val="0"/>
          <w:color w:val="333333"/>
          <w:sz w:val="20"/>
        </w:rPr>
        <w:tab/>
        <w:t>11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6.3 Team Structure &amp; Cost Breakdown</w:t>
      </w:r>
      <w:r>
        <w:rPr>
          <w:rFonts w:ascii="Arial" w:hAnsi="Arial"/>
          <w:b w:val="0"/>
          <w:color w:val="333333"/>
          <w:sz w:val="20"/>
        </w:rPr>
        <w:tab/>
        <w:t>11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6.4 Payment Milestones</w:t>
      </w:r>
      <w:r>
        <w:rPr>
          <w:rFonts w:ascii="Arial" w:hAnsi="Arial"/>
          <w:b w:val="0"/>
          <w:color w:val="333333"/>
          <w:sz w:val="20"/>
        </w:rPr>
        <w:tab/>
        <w:t>12</w:t>
      </w:r>
    </w:p>
    <w:p>
      <w:pPr>
        <w:tabs>
          <w:tab w:pos="9360" w:val="right" w:leader="dot"/>
        </w:tabs>
        <w:spacing w:after="40" w:before="0"/>
        <w:ind w:left="0"/>
      </w:pPr>
      <w:r>
        <w:rPr>
          <w:rFonts w:ascii="Arial" w:hAnsi="Arial"/>
          <w:b/>
          <w:color w:val="1A2B4A"/>
          <w:sz w:val="22"/>
        </w:rPr>
        <w:t>7. Future Enhancements Roadmap</w:t>
      </w:r>
      <w:r>
        <w:rPr>
          <w:rFonts w:ascii="Arial" w:hAnsi="Arial"/>
          <w:b/>
          <w:color w:val="333333"/>
          <w:sz w:val="22"/>
        </w:rPr>
        <w:tab/>
        <w:t>13</w:t>
      </w:r>
    </w:p>
    <w:p>
      <w:pPr>
        <w:tabs>
          <w:tab w:pos="9360" w:val="right" w:leader="dot"/>
        </w:tabs>
        <w:spacing w:after="40" w:before="0"/>
        <w:ind w:left="0"/>
      </w:pPr>
      <w:r>
        <w:rPr>
          <w:rFonts w:ascii="Arial" w:hAnsi="Arial"/>
          <w:b/>
          <w:color w:val="1A2B4A"/>
          <w:sz w:val="22"/>
        </w:rPr>
        <w:t>8. Q&amp;A, Commercial Model &amp; Next Steps</w:t>
      </w:r>
      <w:r>
        <w:rPr>
          <w:rFonts w:ascii="Arial" w:hAnsi="Arial"/>
          <w:b/>
          <w:color w:val="333333"/>
          <w:sz w:val="22"/>
        </w:rPr>
        <w:tab/>
        <w:t>13</w:t>
      </w:r>
    </w:p>
    <w:p>
      <w:pPr>
        <w:tabs>
          <w:tab w:pos="9360" w:val="right" w:leader="dot"/>
        </w:tabs>
        <w:spacing w:after="40" w:before="0"/>
        <w:ind w:left="300"/>
      </w:pPr>
      <w:r>
        <w:rPr>
          <w:rFonts w:ascii="Arial" w:hAnsi="Arial"/>
          <w:b w:val="0"/>
          <w:color w:val="333333"/>
          <w:sz w:val="20"/>
        </w:rPr>
        <w:t>Next Steps</w:t>
      </w:r>
      <w:r>
        <w:rPr>
          <w:rFonts w:ascii="Arial" w:hAnsi="Arial"/>
          <w:b w:val="0"/>
          <w:color w:val="333333"/>
          <w:sz w:val="20"/>
        </w:rPr>
        <w:tab/>
        <w:t>14</w:t>
      </w:r>
    </w:p>
    <w:p w:rsidR="00000000" w:rsidDel="00000000" w:rsidP="00000000" w:rsidRDefault="00000000" w:rsidRPr="00000000" w14:paraId="0000002A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keepLines w:val="1"/>
        <w:spacing w:after="40" w:before="40" w:line="276" w:lineRule="auto"/>
        <w:ind w:left="720"/>
        <w:jc w:val="both"/>
        <w:rPr>
          <w:rFonts w:ascii="Times New Roman" w:cs="Times New Roman" w:eastAsia="Times New Roman" w:hAnsi="Times New Roman"/>
          <w:color w:val="1a2b4a"/>
          <w:sz w:val="34"/>
          <w:szCs w:val="34"/>
        </w:rPr>
      </w:pPr>
      <w:bookmarkStart w:colFirst="0" w:colLast="0" w:name="_nknpoteyqmz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</w:pPr>
      <w:r>
        <w:t>1. Project Overview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Yedi and Tidal are a two-sided staffing platform — Yedi connects schools with teachers; Tidal connects brands with candidates — built on a Laravel + Filament admin panel. Sotatek proposes a “keep &amp; extend” programme (no rebuild) that turns the internal admin panel into a production, self-service, transacting product, delivered on a single shared multi-tenant foundation.</w:t>
      </w:r>
    </w:p>
    <w:p>
      <w:pPr>
        <w:spacing w:after="120"/>
      </w:pPr>
      <w:r>
        <w:rPr>
          <w:rFonts w:ascii="Arial" w:hAnsi="Arial"/>
          <w:b w:val="0"/>
          <w:i/>
          <w:sz w:val="22"/>
        </w:rPr>
        <w:t>Figures in this proposal are indicative estimates based on a direct, hands-on assessment of the live admin systems (black-box — without source-code access). They will be converted to a fixed price following a ~2-week Phase 0 audit.</w:t>
      </w:r>
    </w:p>
    <w:p>
      <w:pPr>
        <w:pStyle w:val="Heading2"/>
      </w:pPr>
      <w:r>
        <w:t>Current State — Directly Verified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We logged in and tested the live admin of both platforms (Tidal on 2026-06-29; Yedi + Tidal re-verification on 2026-07-03). The backbone is real and reusable — roughly a quarter of a full platform already exists: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Rich data model: </w:t>
      </w:r>
      <w:r>
        <w:rPr>
          <w:rFonts w:ascii="Arial" w:hAnsi="Arial"/>
          <w:sz w:val="22"/>
        </w:rPr>
        <w:t>Adverts (rate, charge %, shift, address, docs), Candidates (4-tab profile, references, compliance status, ID/video/contract storage), Brands/Schools, and System settings.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Working admin CRUD: </w:t>
      </w:r>
      <w:r>
        <w:rPr>
          <w:rFonts w:ascii="Arial" w:hAnsi="Arial"/>
          <w:sz w:val="22"/>
        </w:rPr>
        <w:t>full resource coverage, status filters, bulk actions and financial dashboard widgets.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Partial application logic: </w:t>
      </w:r>
      <w:r>
        <w:rPr>
          <w:rFonts w:ascii="Arial" w:hAnsi="Arial"/>
          <w:sz w:val="22"/>
        </w:rPr>
        <w:t>creating an Application correctly updates the related records (accepted-application, counters).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Per-tenant configuration: </w:t>
      </w:r>
      <w:r>
        <w:rPr>
          <w:rFonts w:ascii="Arial" w:hAnsi="Arial"/>
          <w:sz w:val="22"/>
        </w:rPr>
        <w:t>Yedi carries 5 education job-roles (QTS) plus a “DBS Evidence” catalogue; Tidal carries its charge defaults.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Key finding: </w:t>
      </w:r>
      <w:r>
        <w:rPr>
          <w:rFonts w:ascii="Arial" w:hAnsi="Arial"/>
          <w:sz w:val="22"/>
        </w:rPr>
        <w:t>Yedi and Tidal are currently the SAME codebase — separately deployed, re-labelled (School/Teacher/Job vs Brand/Candidate/Advert) and configured per tenant.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Assessment: </w:t>
      </w:r>
      <w:r>
        <w:rPr>
          <w:rFonts w:ascii="Arial" w:hAnsi="Arial"/>
          <w:sz w:val="22"/>
        </w:rPr>
        <w:t>across ~110 features assessed: ~23 done, ~41 partial, ~46 missing.</w:t>
      </w:r>
    </w:p>
    <w:p>
      <w:pPr>
        <w:pStyle w:val="Heading2"/>
      </w:pPr>
      <w:r>
        <w:t>Solution Value Proposition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What remains is the transaction engine and the self-service surfaces that turn the admin panel into a sellable product. Because every missing engine is identical for both platforms, we build it once on a multi-tenant foundation: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Two self-service portals (Brand/School + Candidate/Teacher).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Core booking engine: Application → Matching → Offer/Accept → Booking.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Billing engine: invoice/payslip generation + PDF + lifecycle.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Compliance &amp; right-to-work engine with enforcement.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Timesheets, multi-party authentication, RBAC and notifications.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Shared multi-tenant white-label foundation — ~40–45% cheaper than two separate builds.</w:t>
      </w:r>
    </w:p>
    <w:p>
      <w:pPr>
        <w:pStyle w:val="Heading2"/>
      </w:pPr>
      <w:r>
        <w:t>Project Objectives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Turn the internal admin panel into a production, self-service, transacting two-sided platform.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Launch the Tidal MVP in ~4 months on a shared multi-tenant foundation.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Enable Yedi immediately after via configuration plus the education compliance layer (DBS/safeguarding — a mandatory gate).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Deliver production-grade security, a GDPR baseline, automated tests and CI/CD.</w:t>
      </w:r>
    </w:p>
    <w:p>
      <w:pPr>
        <w:pStyle w:val="Heading1"/>
      </w:pPr>
      <w:r>
        <w:t>2. Project Scope</w:t>
      </w:r>
    </w:p>
    <w:p>
      <w:pPr>
        <w:pStyle w:val="Heading2"/>
      </w:pPr>
      <w:r>
        <w:t>2.1 In-Scope Items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Delivery is organised into two tranches. Tranche 1 delivers a launchable Tidal MVP on a shared multi-tenant foundation; Yedi is enabled immediately after via configuration plus the education compliance layer. Tranche 2 adds automation, full Yedi education matching and reporting depth (see 2.1.11).</w:t>
      </w:r>
    </w:p>
    <w:p>
      <w:pPr>
        <w:pStyle w:val="Heading3"/>
      </w:pPr>
      <w:r>
        <w:t>2.1.1 Identity, Authentication &amp; Access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Multi-party authentication (Brand/School, Candidate/Teacher, Admin) with password reset and 2FA.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Role-based access control (RBAC) across portals and admin.</w:t>
      </w:r>
    </w:p>
    <w:p>
      <w:pPr>
        <w:pStyle w:val="Heading3"/>
      </w:pPr>
      <w:r>
        <w:t>2.1.2 Brand/School Portal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Post and manage staffing requests / adverts; review applicants.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Booking management and invoice view.</w:t>
      </w:r>
    </w:p>
    <w:p>
      <w:pPr>
        <w:pStyle w:val="Heading3"/>
      </w:pPr>
      <w:r>
        <w:t>2.1.3 Candidate/Teacher Portal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Onboarding, profile, upload evidence, set availability.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Search, apply, accept; timesheet submission and payslip view.</w:t>
      </w:r>
    </w:p>
    <w:p>
      <w:pPr>
        <w:pStyle w:val="Heading3"/>
      </w:pPr>
      <w:r>
        <w:t>2.1.4 Adverts &amp; Job Lifecycle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Advert creation, status lifecycle, and publishing to the candidate portal.</w:t>
      </w:r>
    </w:p>
    <w:p>
      <w:pPr>
        <w:pStyle w:val="Heading3"/>
      </w:pPr>
      <w:r>
        <w:t>2.1.5 Applications, Matching &amp; Booking (Core Loop)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Application → Matching → Offer/Accept → Booking, with allocation and auto-status.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Availability model + basic clash detection.</w:t>
      </w:r>
    </w:p>
    <w:p>
      <w:pPr>
        <w:pStyle w:val="Heading3"/>
      </w:pPr>
      <w:r>
        <w:t>2.1.6 Compliance &amp; Right-to-Work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Compliance engine with rules, enforcement and evidence capture (right-to-work gate).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Yedi education layer: DBS / safeguarding (mandatory gate) enabled per tenant.</w:t>
      </w:r>
    </w:p>
    <w:p>
      <w:pPr>
        <w:pStyle w:val="Heading3"/>
      </w:pPr>
      <w:r>
        <w:t>2.1.7 Timesheets &amp; Attendance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Shift → hours → pay-basis capture feeding billing and payslips.</w:t>
      </w:r>
    </w:p>
    <w:p>
      <w:pPr>
        <w:pStyle w:val="Heading3"/>
      </w:pPr>
      <w:r>
        <w:t>2.1.8 Billing (Invoice / Payslip)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Invoice and payslip generation + PDF output + lifecycle (using existing bank/terms/template config).</w:t>
      </w:r>
    </w:p>
    <w:p>
      <w:pPr>
        <w:pStyle w:val="Heading3"/>
      </w:pPr>
      <w:r>
        <w:t>2.1.9 Notifications &amp; Communications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Basic notifications: email-first plus key SMS (booking / timesheet / compliance).</w:t>
      </w:r>
    </w:p>
    <w:p>
      <w:pPr>
        <w:pStyle w:val="Heading3"/>
      </w:pPr>
      <w:r>
        <w:t>2.1.10 Multi-Tenancy &amp; Non-Functional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Shared multi-tenant white-label foundation (Yedi + Tidal from one codebase).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Security + GDPR baseline, automated tests and CI/CD; Tidal go-live.</w:t>
      </w:r>
    </w:p>
    <w:p>
      <w:pPr>
        <w:pStyle w:val="Heading3"/>
      </w:pPr>
      <w:r>
        <w:t>2.1.11 Tranche 2 — Automation, Full Yedi &amp; Polish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Payment automation (collection + payout); accounting export + credit notes.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Automated ID / right-to-work verification; e-signature; in-app notification centre.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Two-way ratings &amp; feedback (client ↔ candidate) + reliability tracking → feeding matching.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Referral programme; training/onboarding records (in-app).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Geo / multi-slot adverts; reporting depth; full Yedi + education matching.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Tidal client-visibility dashboard (“Tidal OS”: coverage / fill / spend / ratings).</w:t>
      </w:r>
    </w:p>
    <w:p>
      <w:pPr>
        <w:pStyle w:val="Heading2"/>
      </w:pPr>
      <w:r>
        <w:t>2.2 Out-of-Scope Items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following are excluded from this engagement and may be considered for future development: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Native mobile app (separate track).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Data migration beyond existing records.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Third-party licence fees.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Hosting and support after launch.</w:t>
      </w:r>
    </w:p>
    <w:p>
      <w:pPr>
        <w:pStyle w:val="Heading2"/>
      </w:pPr>
      <w:r>
        <w:t>2.3 Dependencies and Assumptions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5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6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73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Access</w:t>
            </w:r>
          </w:p>
        </w:tc>
        <w:tc>
          <w:tcPr>
            <w:tcW w:type="dxa" w:w="73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Source code + Git access — the biggest variable: whether the empty modules hide a backend, and whether it is a single ENV-configured mono-repo or two drifting forks.</w:t>
            </w:r>
          </w:p>
        </w:tc>
      </w:tr>
      <w:tr>
        <w:tc>
          <w:tcPr>
            <w:tcW w:type="dxa" w:w="5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Scope</w:t>
            </w:r>
          </w:p>
        </w:tc>
        <w:tc>
          <w:tcPr>
            <w:tcW w:type="dxa" w:w="73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Candidate employment model (PAYE / umbrella / self-employed) — drives payslip and tax logic.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Scope</w:t>
            </w:r>
          </w:p>
        </w:tc>
        <w:tc>
          <w:tcPr>
            <w:tcW w:type="dxa" w:w="73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Adverts single-hire vs multi-slot — affects the booking/billing schema.</w:t>
            </w:r>
          </w:p>
        </w:tc>
      </w:tr>
      <w:tr>
        <w:tc>
          <w:tcPr>
            <w:tcW w:type="dxa" w:w="5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Scope</w:t>
            </w:r>
          </w:p>
        </w:tc>
        <w:tc>
          <w:tcPr>
            <w:tcW w:type="dxa" w:w="73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Whether a mobile app has already been released (marketing mentions an “OnDemand App”) — affects front-end scope.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Third-Party</w:t>
            </w:r>
          </w:p>
        </w:tc>
        <w:tc>
          <w:tcPr>
            <w:tcW w:type="dxa" w:w="73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Payment, SMS, ID-verification and e-sign services (e.g. GoCardless / Twilio / Yoti / DocuSign) — licence fees are client-borne.</w:t>
            </w:r>
          </w:p>
        </w:tc>
      </w:tr>
      <w:tr>
        <w:tc>
          <w:tcPr>
            <w:tcW w:type="dxa" w:w="5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Third-Party</w:t>
            </w:r>
          </w:p>
        </w:tc>
        <w:tc>
          <w:tcPr>
            <w:tcW w:type="dxa" w:w="73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Cloud infrastructure (AWS/GCP) costs are paid directly by the client.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Commercial</w:t>
            </w:r>
          </w:p>
        </w:tc>
        <w:tc>
          <w:tcPr>
            <w:tcW w:type="dxa" w:w="73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Fixed price for Tranche 1 is issued at the end of the Phase 0 audit, within (or below) the indicative ranges.</w:t>
            </w:r>
          </w:p>
        </w:tc>
      </w:tr>
      <w:tr>
        <w:tc>
          <w:tcPr>
            <w:tcW w:type="dxa" w:w="5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Q&amp;A</w:t>
            </w:r>
          </w:p>
        </w:tc>
        <w:tc>
          <w:tcPr>
            <w:tcW w:type="dxa" w:w="73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Questions and clarifications are answered within 2 working days.</w:t>
            </w:r>
          </w:p>
        </w:tc>
      </w:tr>
    </w:tbl>
    <w:p>
      <w:pPr>
        <w:pStyle w:val="Heading1"/>
      </w:pPr>
      <w:r>
        <w:t>3. Solution Approach</w:t>
      </w:r>
    </w:p>
    <w:p>
      <w:pPr>
        <w:pStyle w:val="Heading2"/>
      </w:pPr>
      <w:r>
        <w:t>3.1 Delivery Methodology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We employ an Agile Scrum methodology with 2-week sprints, following a “keep &amp; extend” approach (no rebuild). A ~2-week Phase 0 audit precedes development: we review the repository, confirm reusability and validate the estimate, then issue a fixed price for Tranche 1.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Key ceremonies: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Sprint Planning — define the sprint backlog from prioritised user stories.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Daily Standups — 15-minute sync on progress, blockers and next steps.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Sprint Demo — bi-weekly client demonstration of working software.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Sprint Retrospective — team reflection to improve the process.</w:t>
      </w:r>
    </w:p>
    <w:p>
      <w:pPr>
        <w:pStyle w:val="Heading2"/>
      </w:pPr>
      <w:r>
        <w:t>3.2 Communication &amp; Collaboration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26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Tool / Activity</w:t>
            </w:r>
          </w:p>
        </w:tc>
        <w:tc>
          <w:tcPr>
            <w:tcW w:type="dxa" w:w="68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Slack / Google Chat</w:t>
            </w:r>
          </w:p>
        </w:tc>
        <w:tc>
          <w:tcPr>
            <w:tcW w:type="dxa" w:w="68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Daily communication, real-time questions and updates</w:t>
            </w:r>
          </w:p>
        </w:tc>
      </w:tr>
      <w:tr>
        <w:tc>
          <w:tcPr>
            <w:tcW w:type="dxa" w:w="2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Jira</w:t>
            </w:r>
          </w:p>
        </w:tc>
        <w:tc>
          <w:tcPr>
            <w:tcW w:type="dxa" w:w="68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Project tracking, backlog, sprint progress, burn-down charts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GitHub / GitLab</w:t>
            </w:r>
          </w:p>
        </w:tc>
        <w:tc>
          <w:tcPr>
            <w:tcW w:type="dxa" w:w="68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Version control, pull-request reviews, automated CI/CD</w:t>
            </w:r>
          </w:p>
        </w:tc>
      </w:tr>
      <w:tr>
        <w:tc>
          <w:tcPr>
            <w:tcW w:type="dxa" w:w="2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Confluence / Google Docs</w:t>
            </w:r>
          </w:p>
        </w:tc>
        <w:tc>
          <w:tcPr>
            <w:tcW w:type="dxa" w:w="68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SRS, technical documentation, API specs, user guides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Figma</w:t>
            </w:r>
          </w:p>
        </w:tc>
        <w:tc>
          <w:tcPr>
            <w:tcW w:type="dxa" w:w="68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UI/UX design, interactive prototypes, design system</w:t>
            </w:r>
          </w:p>
        </w:tc>
      </w:tr>
      <w:tr>
        <w:tc>
          <w:tcPr>
            <w:tcW w:type="dxa" w:w="2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Zoom / Teams</w:t>
            </w:r>
          </w:p>
        </w:tc>
        <w:tc>
          <w:tcPr>
            <w:tcW w:type="dxa" w:w="68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Bi-weekly demos and reviews</w:t>
            </w:r>
          </w:p>
        </w:tc>
      </w:tr>
    </w:tbl>
    <w:p>
      <w:pPr>
        <w:pStyle w:val="Heading2"/>
      </w:pPr>
      <w:r>
        <w:t>3.3 Quality Assurance Strategy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Testing Type</w:t>
            </w:r>
          </w:p>
        </w:tc>
        <w:tc>
          <w:tcPr>
            <w:tcW w:type="dxa" w:w="22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Tools</w:t>
            </w:r>
          </w:p>
        </w:tc>
        <w:tc>
          <w:tcPr>
            <w:tcW w:type="dxa" w:w="50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Target / Approach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Automated Testing</w:t>
            </w:r>
          </w:p>
        </w:tc>
        <w:tc>
          <w:tcPr>
            <w:tcW w:type="dxa" w:w="2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PHPUnit / Pest</w:t>
            </w:r>
          </w:p>
        </w:tc>
        <w:tc>
          <w:tcPr>
            <w:tcW w:type="dxa" w:w="50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Unit + feature tests on booking, billing and compliance logic</w:t>
            </w:r>
          </w:p>
        </w:tc>
      </w:tr>
      <w:tr>
        <w:tc>
          <w:tcPr>
            <w:tcW w:type="dxa" w:w="2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Integration Testing</w:t>
            </w:r>
          </w:p>
        </w:tc>
        <w:tc>
          <w:tcPr>
            <w:tcW w:type="dxa" w:w="2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QA Engineer</w:t>
            </w:r>
          </w:p>
        </w:tc>
        <w:tc>
          <w:tcPr>
            <w:tcW w:type="dxa" w:w="50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End-to-end portal flows (post → match → book → timesheet → invoice)</w:t>
            </w:r>
          </w:p>
        </w:tc>
      </w:tr>
      <w:tr>
        <w:tc>
          <w:tcPr>
            <w:tcW w:type="dxa" w:w="2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Manual / Exploratory</w:t>
            </w:r>
          </w:p>
        </w:tc>
        <w:tc>
          <w:tcPr>
            <w:tcW w:type="dxa" w:w="2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QA Engineer</w:t>
            </w:r>
          </w:p>
        </w:tc>
        <w:tc>
          <w:tcPr>
            <w:tcW w:type="dxa" w:w="50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Edge cases, RBAC, multi-tenant isolation, UX validation</w:t>
            </w:r>
          </w:p>
        </w:tc>
      </w:tr>
      <w:tr>
        <w:tc>
          <w:tcPr>
            <w:tcW w:type="dxa" w:w="2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User Acceptance</w:t>
            </w:r>
          </w:p>
        </w:tc>
        <w:tc>
          <w:tcPr>
            <w:tcW w:type="dxa" w:w="2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Staging environment</w:t>
            </w:r>
          </w:p>
        </w:tc>
        <w:tc>
          <w:tcPr>
            <w:tcW w:type="dxa" w:w="50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Client-led acceptance before go-live</w:t>
            </w:r>
          </w:p>
        </w:tc>
      </w:tr>
    </w:tbl>
    <w:p>
      <w:pPr>
        <w:pStyle w:val="Heading1"/>
      </w:pPr>
      <w:r>
        <w:t>4. Technical Requirements</w:t>
      </w:r>
    </w:p>
    <w:p>
      <w:pPr>
        <w:pStyle w:val="Heading2"/>
      </w:pPr>
      <w:r>
        <w:t>4.1 Core Architectural Principles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Keep &amp; extend the existing Laravel + Filament core — no rebuild.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Shared multi-tenant backend; the industry layer is switched on/off via configuration.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Per-tenant compliance isolation — Yedi safeguarding stays separate from Tidal.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API-first services powering the Brand and Candidate self-service portals.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Security and GDPR by design; automated tests and CI/CD from day one.</w:t>
      </w:r>
    </w:p>
    <w:p>
      <w:pPr>
        <w:pStyle w:val="Heading2"/>
      </w:pPr>
      <w:r>
        <w:t>4.2 System Architecture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system extends the existing admin into a layered, service-oriented platform: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Client layer: </w:t>
      </w:r>
      <w:r>
        <w:rPr>
          <w:rFonts w:ascii="Arial" w:hAnsi="Arial"/>
          <w:sz w:val="22"/>
        </w:rPr>
        <w:t>Admin (Filament), Brand/School portal, Candidate/Teacher portal.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API layer: </w:t>
      </w:r>
      <w:r>
        <w:rPr>
          <w:rFonts w:ascii="Arial" w:hAnsi="Arial"/>
          <w:sz w:val="22"/>
        </w:rPr>
        <w:t>REST services with multi-party JWT/session auth and RBAC.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Service layer: </w:t>
      </w:r>
      <w:r>
        <w:rPr>
          <w:rFonts w:ascii="Arial" w:hAnsi="Arial"/>
          <w:sz w:val="22"/>
        </w:rPr>
        <w:t>Identity, Adverts, Applications/Matching/Booking, Compliance, Timesheets, Billing, Notifications, Multi-Tenancy.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Data layer: </w:t>
      </w:r>
      <w:r>
        <w:rPr>
          <w:rFonts w:ascii="Arial" w:hAnsi="Arial"/>
          <w:sz w:val="22"/>
        </w:rPr>
        <w:t>MySQL/PostgreSQL (multi-tenant schema), Redis (cache/queue), S3-compatible document storage.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External services: </w:t>
      </w:r>
      <w:r>
        <w:rPr>
          <w:rFonts w:ascii="Arial" w:hAnsi="Arial"/>
          <w:sz w:val="22"/>
        </w:rPr>
        <w:t>Email/SMS, payments, ID verification and e-signature (Tranche 2).</w:t>
      </w:r>
    </w:p>
    <w:p>
      <w:pPr>
        <w:pStyle w:val="Heading2"/>
      </w:pPr>
      <w:r>
        <w:t>4.3 Architecture Options — Shared vs Separate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Because every missing engine is identical for both platforms, we recommend building it once on a multi-tenant foundation: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49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6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9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9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A. Shared multi-tenant; industry-specific FE / branding / compliance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Lowest</w:t>
            </w:r>
          </w:p>
        </w:tc>
        <w:tc>
          <w:tcPr>
            <w:tcW w:type="dxa" w:w="29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RECOMMENDED — matches your instinct</w:t>
            </w:r>
          </w:p>
        </w:tc>
      </w:tr>
      <w:tr>
        <w:tc>
          <w:tcPr>
            <w:tcW w:type="dxa" w:w="49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B. Shared core library + two separate deployments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Medium</w:t>
            </w:r>
          </w:p>
        </w:tc>
        <w:tc>
          <w:tcPr>
            <w:tcW w:type="dxa" w:w="29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Versioning overhead; drift risk</w:t>
            </w:r>
          </w:p>
        </w:tc>
      </w:tr>
      <w:tr>
        <w:tc>
          <w:tcPr>
            <w:tcW w:type="dxa" w:w="49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C. Two fully separate products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Highest (+70–90%)</w:t>
            </w:r>
          </w:p>
        </w:tc>
        <w:tc>
          <w:tcPr>
            <w:tcW w:type="dxa" w:w="29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Not recommended — 2× maintenance</w:t>
            </w:r>
          </w:p>
        </w:tc>
      </w:tr>
    </w:tbl>
    <w:p>
      <w:pPr>
        <w:pStyle w:val="Heading2"/>
      </w:pPr>
      <w:r>
        <w:t>4.4 Technical Configuration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2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7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Backend Framework</w:t>
            </w:r>
          </w:p>
        </w:tc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Laravel (PHP)</w:t>
            </w:r>
          </w:p>
        </w:tc>
        <w:tc>
          <w:tcPr>
            <w:tcW w:type="dxa" w:w="37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Existing core — keep &amp; extend</w:t>
            </w:r>
          </w:p>
        </w:tc>
      </w:tr>
      <w:tr>
        <w:tc>
          <w:tcPr>
            <w:tcW w:type="dxa" w:w="2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Admin Panel</w:t>
            </w:r>
          </w:p>
        </w:tc>
        <w:tc>
          <w:tcPr>
            <w:tcW w:type="dxa" w:w="3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Filament 3.x</w:t>
            </w:r>
          </w:p>
        </w:tc>
        <w:tc>
          <w:tcPr>
            <w:tcW w:type="dxa" w:w="37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Existing admin — reuse &amp; extend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Frontend (portals)</w:t>
            </w:r>
          </w:p>
        </w:tc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Livewire + Blade / Inertia</w:t>
            </w:r>
          </w:p>
        </w:tc>
        <w:tc>
          <w:tcPr>
            <w:tcW w:type="dxa" w:w="37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Brand &amp; Candidate self-service portals</w:t>
            </w:r>
          </w:p>
        </w:tc>
      </w:tr>
      <w:tr>
        <w:tc>
          <w:tcPr>
            <w:tcW w:type="dxa" w:w="2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Database</w:t>
            </w:r>
          </w:p>
        </w:tc>
        <w:tc>
          <w:tcPr>
            <w:tcW w:type="dxa" w:w="3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MySQL 8 / PostgreSQL 14+</w:t>
            </w:r>
          </w:p>
        </w:tc>
        <w:tc>
          <w:tcPr>
            <w:tcW w:type="dxa" w:w="37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Multi-tenant schema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Cache / Queue</w:t>
            </w:r>
          </w:p>
        </w:tc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Redis + Laravel Queue</w:t>
            </w:r>
          </w:p>
        </w:tc>
        <w:tc>
          <w:tcPr>
            <w:tcW w:type="dxa" w:w="37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Async billing, PDF, notifications</w:t>
            </w:r>
          </w:p>
        </w:tc>
      </w:tr>
      <w:tr>
        <w:tc>
          <w:tcPr>
            <w:tcW w:type="dxa" w:w="2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File Storage</w:t>
            </w:r>
          </w:p>
        </w:tc>
        <w:tc>
          <w:tcPr>
            <w:tcW w:type="dxa" w:w="3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S3-compatible</w:t>
            </w:r>
          </w:p>
        </w:tc>
        <w:tc>
          <w:tcPr>
            <w:tcW w:type="dxa" w:w="37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Documents, evidence, contracts, PDFs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Auth</w:t>
            </w:r>
          </w:p>
        </w:tc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Laravel + RBAC (2FA)</w:t>
            </w:r>
          </w:p>
        </w:tc>
        <w:tc>
          <w:tcPr>
            <w:tcW w:type="dxa" w:w="37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Multi-party auth; per-tenant roles</w:t>
            </w:r>
          </w:p>
        </w:tc>
      </w:tr>
      <w:tr>
        <w:tc>
          <w:tcPr>
            <w:tcW w:type="dxa" w:w="2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Notifications</w:t>
            </w:r>
          </w:p>
        </w:tc>
        <w:tc>
          <w:tcPr>
            <w:tcW w:type="dxa" w:w="3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Email (SES/SMTP) + SMS (Twilio)</w:t>
            </w:r>
          </w:p>
        </w:tc>
        <w:tc>
          <w:tcPr>
            <w:tcW w:type="dxa" w:w="37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Email-first + key SMS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Payments (Tranche 2)</w:t>
            </w:r>
          </w:p>
        </w:tc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GoCardless / Stripe</w:t>
            </w:r>
          </w:p>
        </w:tc>
        <w:tc>
          <w:tcPr>
            <w:tcW w:type="dxa" w:w="37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Collection + payout</w:t>
            </w:r>
          </w:p>
        </w:tc>
      </w:tr>
      <w:tr>
        <w:tc>
          <w:tcPr>
            <w:tcW w:type="dxa" w:w="2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ID / Right-to-Work (T2)</w:t>
            </w:r>
          </w:p>
        </w:tc>
        <w:tc>
          <w:tcPr>
            <w:tcW w:type="dxa" w:w="3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Yoti / similar</w:t>
            </w:r>
          </w:p>
        </w:tc>
        <w:tc>
          <w:tcPr>
            <w:tcW w:type="dxa" w:w="37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Automated verification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E-signature (T2)</w:t>
            </w:r>
          </w:p>
        </w:tc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DocuSign / similar</w:t>
            </w:r>
          </w:p>
        </w:tc>
        <w:tc>
          <w:tcPr>
            <w:tcW w:type="dxa" w:w="37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Contracts</w:t>
            </w:r>
          </w:p>
        </w:tc>
      </w:tr>
      <w:tr>
        <w:tc>
          <w:tcPr>
            <w:tcW w:type="dxa" w:w="2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CI/CD</w:t>
            </w:r>
          </w:p>
        </w:tc>
        <w:tc>
          <w:tcPr>
            <w:tcW w:type="dxa" w:w="3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GitHub Actions / GitLab CI</w:t>
            </w:r>
          </w:p>
        </w:tc>
        <w:tc>
          <w:tcPr>
            <w:tcW w:type="dxa" w:w="37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Automated tests, build, deploy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Multi-Tenancy</w:t>
            </w:r>
          </w:p>
        </w:tc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Config-driven tenant + industry layer</w:t>
            </w:r>
          </w:p>
        </w:tc>
        <w:tc>
          <w:tcPr>
            <w:tcW w:type="dxa" w:w="37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White-label Yedi / Tidal</w:t>
            </w:r>
          </w:p>
        </w:tc>
      </w:tr>
    </w:tbl>
    <w:p>
      <w:pPr>
        <w:pStyle w:val="Heading1"/>
      </w:pPr>
      <w:r>
        <w:t>5. Master Schedule</w:t>
      </w:r>
    </w:p>
    <w:p>
      <w:pPr>
        <w:pStyle w:val="Heading2"/>
      </w:pPr>
      <w:r>
        <w:t>5.1 Master Schedule Overview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Phase 0 (Discovery &amp; code audit): </w:t>
      </w:r>
      <w:r>
        <w:rPr>
          <w:rFonts w:ascii="Arial" w:hAnsi="Arial"/>
          <w:sz w:val="22"/>
        </w:rPr>
        <w:t>~2 weeks — review repository, confirm reusability, issue fixed price.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Tranche 1 (MVP): </w:t>
      </w:r>
      <w:r>
        <w:rPr>
          <w:rFonts w:ascii="Arial" w:hAnsi="Arial"/>
          <w:sz w:val="22"/>
        </w:rPr>
        <w:t>~4 months (8 × 2-week sprints) — Tidal go-live, enlarged parallel team (peak ~9–10).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Yedi enablement: </w:t>
      </w:r>
      <w:r>
        <w:rPr>
          <w:rFonts w:ascii="Arial" w:hAnsi="Arial"/>
          <w:sz w:val="22"/>
        </w:rPr>
        <w:t>+2–3 weeks — configuration + education compliance layer (DBS/safeguarding).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b/>
          <w:sz w:val="22"/>
        </w:rPr>
        <w:t xml:space="preserve">Tranche 2 (Enhancement): </w:t>
      </w:r>
      <w:r>
        <w:rPr>
          <w:rFonts w:ascii="Arial" w:hAnsi="Arial"/>
          <w:sz w:val="22"/>
        </w:rPr>
        <w:t>~2 months (4 × 2-week sprints).</w:t>
      </w:r>
    </w:p>
    <w:p>
      <w:pPr>
        <w:spacing w:after="120"/>
      </w:pPr>
      <w:r>
        <w:rPr>
          <w:rFonts w:ascii="Arial" w:hAnsi="Arial"/>
          <w:b w:val="0"/>
          <w:i/>
          <w:sz w:val="22"/>
        </w:rPr>
        <w:t>The MVP timeline is compressed from ~7 months to ~4 months by parallelising the same ~660 md of scope across a larger team — total effort is unchanged.</w:t>
      </w:r>
    </w:p>
    <w:p>
      <w:pPr>
        <w:pStyle w:val="Heading2"/>
      </w:pPr>
      <w:r>
        <w:t>5.2 Tranche 1 (MVP) Sprint Breakdown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10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3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71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Activities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1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1–2</w:t>
            </w:r>
          </w:p>
        </w:tc>
        <w:tc>
          <w:tcPr>
            <w:tcW w:type="dxa" w:w="71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Phase 0 hand-off &amp; foundation: multi-tenant core, DB/domain model extension, CI/CD, auth + RBAC scaffolding</w:t>
            </w:r>
          </w:p>
        </w:tc>
      </w:tr>
      <w:tr>
        <w:tc>
          <w:tcPr>
            <w:tcW w:type="dxa" w:w="1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2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3–4</w:t>
            </w:r>
          </w:p>
        </w:tc>
        <w:tc>
          <w:tcPr>
            <w:tcW w:type="dxa" w:w="71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Identity/Auth/Access complete (2FA, reset, RBAC); Brand/School &amp; Candidate/Teacher portal skeletons (onboarding, profile)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3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5–6</w:t>
            </w:r>
          </w:p>
        </w:tc>
        <w:tc>
          <w:tcPr>
            <w:tcW w:type="dxa" w:w="71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Adverts &amp; job lifecycle; candidate evidence upload + availability model; application persistence</w:t>
            </w:r>
          </w:p>
        </w:tc>
      </w:tr>
      <w:tr>
        <w:tc>
          <w:tcPr>
            <w:tcW w:type="dxa" w:w="1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4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7–8</w:t>
            </w:r>
          </w:p>
        </w:tc>
        <w:tc>
          <w:tcPr>
            <w:tcW w:type="dxa" w:w="71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Core booking loop (Application → Matching → Offer/Accept → Booking); basic clash detection; portal booking + applicant review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5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9–10</w:t>
            </w:r>
          </w:p>
        </w:tc>
        <w:tc>
          <w:tcPr>
            <w:tcW w:type="dxa" w:w="71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Compliance engine + right-to-work enforcement; Timesheets (shift → hours → pay basis)</w:t>
            </w:r>
          </w:p>
        </w:tc>
      </w:tr>
      <w:tr>
        <w:tc>
          <w:tcPr>
            <w:tcW w:type="dxa" w:w="1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6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11–12</w:t>
            </w:r>
          </w:p>
        </w:tc>
        <w:tc>
          <w:tcPr>
            <w:tcW w:type="dxa" w:w="71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Billing (Invoice/Payslip) generation + PDF + lifecycle; basic notifications (email-first + key SMS)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7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13–14</w:t>
            </w:r>
          </w:p>
        </w:tc>
        <w:tc>
          <w:tcPr>
            <w:tcW w:type="dxa" w:w="71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Multi-tenant white-label finalisation; security + GDPR baseline; automated tests + CI/CD; Tidal UAT</w:t>
            </w:r>
          </w:p>
        </w:tc>
      </w:tr>
      <w:tr>
        <w:tc>
          <w:tcPr>
            <w:tcW w:type="dxa" w:w="1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8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15–16</w:t>
            </w:r>
          </w:p>
        </w:tc>
        <w:tc>
          <w:tcPr>
            <w:tcW w:type="dxa" w:w="71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Bug-fix &amp; performance; Tidal go-live; Yedi enablement via configuration + education compliance (DBS/safeguarding)</w:t>
            </w:r>
          </w:p>
        </w:tc>
      </w:tr>
    </w:tbl>
    <w:p>
      <w:pPr>
        <w:pStyle w:val="Heading2"/>
      </w:pPr>
      <w:r>
        <w:t>5.3 Tranche 2 (Enhancement) Sprint Breakdown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10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3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71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Activities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1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1–2</w:t>
            </w:r>
          </w:p>
        </w:tc>
        <w:tc>
          <w:tcPr>
            <w:tcW w:type="dxa" w:w="71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Payment automation (collection + payout); accounting export + credit notes</w:t>
            </w:r>
          </w:p>
        </w:tc>
      </w:tr>
      <w:tr>
        <w:tc>
          <w:tcPr>
            <w:tcW w:type="dxa" w:w="1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2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3–4</w:t>
            </w:r>
          </w:p>
        </w:tc>
        <w:tc>
          <w:tcPr>
            <w:tcW w:type="dxa" w:w="71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Automated ID / right-to-work verification; e-signature; in-app notification centre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3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5–6</w:t>
            </w:r>
          </w:p>
        </w:tc>
        <w:tc>
          <w:tcPr>
            <w:tcW w:type="dxa" w:w="71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Two-way ratings &amp; feedback + reliability tracking → matching; referral programme; training/onboarding records</w:t>
            </w:r>
          </w:p>
        </w:tc>
      </w:tr>
      <w:tr>
        <w:tc>
          <w:tcPr>
            <w:tcW w:type="dxa" w:w="1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Sprint 4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7–8</w:t>
            </w:r>
          </w:p>
        </w:tc>
        <w:tc>
          <w:tcPr>
            <w:tcW w:type="dxa" w:w="71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Geo / multi-slot adverts; reporting depth; full Yedi education matching; Tidal OS dashboard; UAT + deployment</w:t>
            </w:r>
          </w:p>
        </w:tc>
      </w:tr>
    </w:tbl>
    <w:p>
      <w:pPr>
        <w:pStyle w:val="Heading1"/>
      </w:pPr>
      <w:r>
        <w:t>6. Work Breakdown Structure &amp; Quotation</w:t>
      </w:r>
    </w:p>
    <w:p>
      <w:pPr>
        <w:pStyle w:val="Heading2"/>
      </w:pPr>
      <w:r>
        <w:t>6.1 Quotation Summary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We propose a fixed-price model per tranche, issued at the end of Phase 0 and falling within (or below) the indicative ranges below. Figures exclude hosting, third-party licences (e.g. Twilio / GoCardless / DocuSign / Yoti) and post-launch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0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8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0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Indicative (USD)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Tranche 1 — MVP launch (Tidal, shared)</w:t>
            </w:r>
          </w:p>
        </w:tc>
        <w:tc>
          <w:tcPr>
            <w:tcW w:type="dxa" w:w="2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~660 md (~34 M/M)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~4 months</w:t>
            </w:r>
          </w:p>
        </w:tc>
        <w:tc>
          <w:tcPr>
            <w:tcW w:type="dxa" w:w="2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~$158k–198k</w:t>
            </w:r>
          </w:p>
        </w:tc>
      </w:tr>
      <w:tr>
        <w:tc>
          <w:tcPr>
            <w:tcW w:type="dxa" w:w="3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+ Yedi education delta</w:t>
            </w:r>
          </w:p>
        </w:tc>
        <w:tc>
          <w:tcPr>
            <w:tcW w:type="dxa" w:w="2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+40–70 md</w:t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+2–3 weeks</w:t>
            </w:r>
          </w:p>
        </w:tc>
        <w:tc>
          <w:tcPr>
            <w:tcW w:type="dxa" w:w="2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~$10k–21k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Enhancement (Tranche 2)</w:t>
            </w:r>
          </w:p>
        </w:tc>
        <w:tc>
          <w:tcPr>
            <w:tcW w:type="dxa" w:w="2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~210 md (~11.5 M/M)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~+2 months</w:t>
            </w:r>
          </w:p>
        </w:tc>
        <w:tc>
          <w:tcPr>
            <w:tcW w:type="dxa" w:w="20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~$50k–63k</w:t>
            </w:r>
          </w:p>
        </w:tc>
      </w:tr>
      <w:tr>
        <w:tc>
          <w:tcPr>
            <w:tcW w:type="dxa" w:w="3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Full production-grade (both platforms)</w:t>
            </w:r>
          </w:p>
        </w:tc>
        <w:tc>
          <w:tcPr>
            <w:tcW w:type="dxa" w:w="2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~870 md</w:t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~6–6.5 months</w:t>
            </w:r>
          </w:p>
        </w:tc>
        <w:tc>
          <w:tcPr>
            <w:tcW w:type="dxa" w:w="20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~$209k–261k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sz w:val="18"/>
        </w:rPr>
        <w:t>Indicative ranges (GBP equivalent ~£125k–156k for Tranche 1). A fixed price is issued after Phase 0. Cloud infrastructure and third-party service fees are paid directly by the client.</w:t>
      </w:r>
    </w:p>
    <w:p>
      <w:pPr>
        <w:pStyle w:val="Heading2"/>
      </w:pPr>
      <w:r>
        <w:t>6.2 Work Breakdown Structure (Effort by Domain)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Bottom-up, per-feature effort across 14 domains (man-days). PM and contingency are included in the totals.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62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6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Full (md)</w:t>
            </w:r>
          </w:p>
        </w:tc>
        <w:tc>
          <w:tcPr>
            <w:tcW w:type="dxa" w:w="16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MVP (md)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P1  Identity / Auth / Access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36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27</w:t>
            </w:r>
          </w:p>
        </w:tc>
      </w:tr>
      <w:tr>
        <w:tc>
          <w:tcPr>
            <w:tcW w:type="dxa" w:w="6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P2  Brand/School Portal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56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48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P3  Candidate/Teacher Portal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67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59</w:t>
            </w:r>
          </w:p>
        </w:tc>
      </w:tr>
      <w:tr>
        <w:tc>
          <w:tcPr>
            <w:tcW w:type="dxa" w:w="6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P4  Adverts / Job Lifecycle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41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26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P5  Applications / Matching / Booking (core)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59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52</w:t>
            </w:r>
          </w:p>
        </w:tc>
      </w:tr>
      <w:tr>
        <w:tc>
          <w:tcPr>
            <w:tcW w:type="dxa" w:w="6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P6  Compliance &amp; Right-to-Work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48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41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P7  Timesheets &amp; Attendance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35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27</w:t>
            </w:r>
          </w:p>
        </w:tc>
      </w:tr>
      <w:tr>
        <w:tc>
          <w:tcPr>
            <w:tcW w:type="dxa" w:w="6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P8  Billing (Invoice / Payslip)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55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46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P9  Payments &amp; Settlement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32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8</w:t>
            </w:r>
          </w:p>
        </w:tc>
      </w:tr>
      <w:tr>
        <w:tc>
          <w:tcPr>
            <w:tcW w:type="dxa" w:w="6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P10 Notifications &amp; Comms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27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14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P11 Documents / Contracts / E-sign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19</w:t>
            </w:r>
          </w:p>
        </w:tc>
      </w:tr>
      <w:tr>
        <w:tc>
          <w:tcPr>
            <w:tcW w:type="dxa" w:w="6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P12 Multi-Tenancy / White-Label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29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P13 Reporting &amp; Analytics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7</w:t>
            </w:r>
          </w:p>
        </w:tc>
      </w:tr>
      <w:tr>
        <w:tc>
          <w:tcPr>
            <w:tcW w:type="dxa" w:w="6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P14 Non-Functional (security / GDPR / QA / CI-CD)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68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59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Development subtotal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618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462</w:t>
            </w:r>
          </w:p>
        </w:tc>
      </w:tr>
      <w:tr>
        <w:tc>
          <w:tcPr>
            <w:tcW w:type="dxa" w:w="6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+ Overlay (discovery/audit, UI-UX, foundation)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50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50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+ PM + contingency (included)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16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—</w:t>
            </w:r>
          </w:p>
        </w:tc>
      </w:tr>
      <w:tr>
        <w:tc>
          <w:tcPr>
            <w:tcW w:type="dxa" w:w="62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TOTAL (rounded)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~870</w:t>
            </w:r>
          </w:p>
        </w:tc>
        <w:tc>
          <w:tcPr>
            <w:tcW w:type="dxa" w:w="16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~660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sz w:val="18"/>
        </w:rPr>
        <w:t>Yedi education delta: +40–70 md beyond the baseline.</w:t>
      </w:r>
    </w:p>
    <w:p>
      <w:pPr>
        <w:pStyle w:val="Heading2"/>
      </w:pPr>
      <w:r>
        <w:t>6.3 Team Structure &amp; Cost Breakdown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>6.3.1 Tranche 1 (MVP) — ~4 months, team peaking at ~9–10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6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65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M1</w:t>
            </w:r>
          </w:p>
        </w:tc>
        <w:tc>
          <w:tcPr>
            <w:tcW w:type="dxa" w:w="65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M2</w:t>
            </w:r>
          </w:p>
        </w:tc>
        <w:tc>
          <w:tcPr>
            <w:tcW w:type="dxa" w:w="65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M3</w:t>
            </w:r>
          </w:p>
        </w:tc>
        <w:tc>
          <w:tcPr>
            <w:tcW w:type="dxa" w:w="65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M4</w:t>
            </w:r>
          </w:p>
        </w:tc>
        <w:tc>
          <w:tcPr>
            <w:tcW w:type="dxa" w:w="115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(M/M)</w:t>
            </w:r>
          </w:p>
        </w:tc>
        <w:tc>
          <w:tcPr>
            <w:tcW w:type="dxa" w:w="145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 Price (USD)</w:t>
            </w:r>
          </w:p>
        </w:tc>
        <w:tc>
          <w:tcPr>
            <w:tcW w:type="dxa" w:w="145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Cost (USD)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PM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11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3.5</w:t>
            </w:r>
          </w:p>
        </w:tc>
        <w:tc>
          <w:tcPr>
            <w:tcW w:type="dxa" w:w="14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$5,000</w:t>
            </w:r>
          </w:p>
        </w:tc>
        <w:tc>
          <w:tcPr>
            <w:tcW w:type="dxa" w:w="14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$17,500</w:t>
            </w:r>
          </w:p>
        </w:tc>
      </w:tr>
      <w:tr>
        <w:tc>
          <w:tcPr>
            <w:tcW w:type="dxa" w:w="2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BA &amp; UI/UX Designer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11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3.0</w:t>
            </w:r>
          </w:p>
        </w:tc>
        <w:tc>
          <w:tcPr>
            <w:tcW w:type="dxa" w:w="14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$4,500</w:t>
            </w:r>
          </w:p>
        </w:tc>
        <w:tc>
          <w:tcPr>
            <w:tcW w:type="dxa" w:w="14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$13,500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Tech Lead / Solution Architect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1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4.0</w:t>
            </w:r>
          </w:p>
        </w:tc>
        <w:tc>
          <w:tcPr>
            <w:tcW w:type="dxa" w:w="14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$6,500</w:t>
            </w:r>
          </w:p>
        </w:tc>
        <w:tc>
          <w:tcPr>
            <w:tcW w:type="dxa" w:w="14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$26,000</w:t>
            </w:r>
          </w:p>
        </w:tc>
      </w:tr>
      <w:tr>
        <w:tc>
          <w:tcPr>
            <w:tcW w:type="dxa" w:w="2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Senior Backend Engineer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1.5</w:t>
            </w:r>
          </w:p>
        </w:tc>
        <w:tc>
          <w:tcPr>
            <w:tcW w:type="dxa" w:w="11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7.5</w:t>
            </w:r>
          </w:p>
        </w:tc>
        <w:tc>
          <w:tcPr>
            <w:tcW w:type="dxa" w:w="14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$5,200</w:t>
            </w:r>
          </w:p>
        </w:tc>
        <w:tc>
          <w:tcPr>
            <w:tcW w:type="dxa" w:w="14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$39,000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Senior Frontend Engineer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1.5</w:t>
            </w:r>
          </w:p>
        </w:tc>
        <w:tc>
          <w:tcPr>
            <w:tcW w:type="dxa" w:w="11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7.5</w:t>
            </w:r>
          </w:p>
        </w:tc>
        <w:tc>
          <w:tcPr>
            <w:tcW w:type="dxa" w:w="14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$5,200</w:t>
            </w:r>
          </w:p>
        </w:tc>
        <w:tc>
          <w:tcPr>
            <w:tcW w:type="dxa" w:w="14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$39,000</w:t>
            </w:r>
          </w:p>
        </w:tc>
      </w:tr>
      <w:tr>
        <w:tc>
          <w:tcPr>
            <w:tcW w:type="dxa" w:w="2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DevOps Engineer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11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2.0</w:t>
            </w:r>
          </w:p>
        </w:tc>
        <w:tc>
          <w:tcPr>
            <w:tcW w:type="dxa" w:w="14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$5,500</w:t>
            </w:r>
          </w:p>
        </w:tc>
        <w:tc>
          <w:tcPr>
            <w:tcW w:type="dxa" w:w="14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$11,000</w:t>
            </w:r>
          </w:p>
        </w:tc>
      </w:tr>
      <w:tr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QC Engineer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6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1.5</w:t>
            </w:r>
          </w:p>
        </w:tc>
        <w:tc>
          <w:tcPr>
            <w:tcW w:type="dxa" w:w="11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6.5</w:t>
            </w:r>
          </w:p>
        </w:tc>
        <w:tc>
          <w:tcPr>
            <w:tcW w:type="dxa" w:w="14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$4,200</w:t>
            </w:r>
          </w:p>
        </w:tc>
        <w:tc>
          <w:tcPr>
            <w:tcW w:type="dxa" w:w="145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$27,300</w:t>
            </w:r>
          </w:p>
        </w:tc>
      </w:tr>
      <w:tr>
        <w:tc>
          <w:tcPr>
            <w:tcW w:type="dxa" w:w="26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TOTAL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8.5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9.5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9.0</w:t>
            </w:r>
          </w:p>
        </w:tc>
        <w:tc>
          <w:tcPr>
            <w:tcW w:type="dxa" w:w="6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7.0</w:t>
            </w:r>
          </w:p>
        </w:tc>
        <w:tc>
          <w:tcPr>
            <w:tcW w:type="dxa" w:w="11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34.0</w:t>
            </w:r>
          </w:p>
        </w:tc>
        <w:tc>
          <w:tcPr>
            <w:tcW w:type="dxa" w:w="14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</w:r>
          </w:p>
        </w:tc>
        <w:tc>
          <w:tcPr>
            <w:tcW w:type="dxa" w:w="145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$173,300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sz w:val="18"/>
        </w:rPr>
        <w:t>Indicative; fixed price issued after Phase 0, within the Tranche 1 range (~$158k–198k). Yedi education delta adds +2–3 weeks and +$10k–21k.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>6.3.2 Tranche 2 (Enhancement) — ~2 months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8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M1</w:t>
            </w:r>
          </w:p>
        </w:tc>
        <w:tc>
          <w:tcPr>
            <w:tcW w:type="dxa" w:w="8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M2</w:t>
            </w:r>
          </w:p>
        </w:tc>
        <w:tc>
          <w:tcPr>
            <w:tcW w:type="dxa" w:w="14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(M/M)</w:t>
            </w:r>
          </w:p>
        </w:tc>
        <w:tc>
          <w:tcPr>
            <w:tcW w:type="dxa" w:w="18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 Price (USD)</w:t>
            </w:r>
          </w:p>
        </w:tc>
        <w:tc>
          <w:tcPr>
            <w:tcW w:type="dxa" w:w="18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Cost (USD)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PM</w:t>
            </w:r>
          </w:p>
        </w:tc>
        <w:tc>
          <w:tcPr>
            <w:tcW w:type="dxa" w:w="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14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1.0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$5,000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$5,000</w:t>
            </w:r>
          </w:p>
        </w:tc>
      </w:tr>
      <w:tr>
        <w:tc>
          <w:tcPr>
            <w:tcW w:type="dxa" w:w="28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BA &amp; UI/UX Designer</w:t>
            </w:r>
          </w:p>
        </w:tc>
        <w:tc>
          <w:tcPr>
            <w:tcW w:type="dxa" w:w="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14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1.0</w:t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$4,500</w:t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$4,500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Senior BE/FE Engineer</w:t>
            </w:r>
          </w:p>
        </w:tc>
        <w:tc>
          <w:tcPr>
            <w:tcW w:type="dxa" w:w="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4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6.0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$5,200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$31,200</w:t>
            </w:r>
          </w:p>
        </w:tc>
      </w:tr>
      <w:tr>
        <w:tc>
          <w:tcPr>
            <w:tcW w:type="dxa" w:w="28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DevOps Engineer</w:t>
            </w:r>
          </w:p>
        </w:tc>
        <w:tc>
          <w:tcPr>
            <w:tcW w:type="dxa" w:w="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0.5</w:t>
            </w:r>
          </w:p>
        </w:tc>
        <w:tc>
          <w:tcPr>
            <w:tcW w:type="dxa" w:w="14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1.0</w:t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$5,500</w:t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$5,500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QC Engineer</w:t>
            </w:r>
          </w:p>
        </w:tc>
        <w:tc>
          <w:tcPr>
            <w:tcW w:type="dxa" w:w="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1.5</w:t>
            </w:r>
          </w:p>
        </w:tc>
        <w:tc>
          <w:tcPr>
            <w:tcW w:type="dxa" w:w="14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2.5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$4,200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$10,500</w:t>
            </w:r>
          </w:p>
        </w:tc>
      </w:tr>
      <w:tr>
        <w:tc>
          <w:tcPr>
            <w:tcW w:type="dxa" w:w="28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TOTAL</w:t>
            </w:r>
          </w:p>
        </w:tc>
        <w:tc>
          <w:tcPr>
            <w:tcW w:type="dxa" w:w="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5.5</w:t>
            </w:r>
          </w:p>
        </w:tc>
        <w:tc>
          <w:tcPr>
            <w:tcW w:type="dxa" w:w="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6.0</w:t>
            </w:r>
          </w:p>
        </w:tc>
        <w:tc>
          <w:tcPr>
            <w:tcW w:type="dxa" w:w="14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11.5</w:t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</w:r>
          </w:p>
        </w:tc>
        <w:tc>
          <w:tcPr>
            <w:tcW w:type="dxa" w:w="18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$56,700</w:t>
            </w:r>
          </w:p>
        </w:tc>
      </w:tr>
    </w:tbl>
    <w:p>
      <w:pPr>
        <w:pStyle w:val="Heading2"/>
      </w:pPr>
      <w:r>
        <w:t>6.4 Payment Milestones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>6.4.1 Tranche 1 (MVP)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5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Deliverables</w:t>
            </w:r>
          </w:p>
        </w:tc>
        <w:tc>
          <w:tcPr>
            <w:tcW w:type="dxa" w:w="13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13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3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M1: Contract &amp; Phase 0</w:t>
            </w:r>
          </w:p>
        </w:tc>
        <w:tc>
          <w:tcPr>
            <w:tcW w:type="dxa" w:w="4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Signed SOW, fixed price issued, environment provisioned, foundation started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40%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Upon execution</w:t>
            </w:r>
          </w:p>
        </w:tc>
      </w:tr>
      <w:tr>
        <w:tc>
          <w:tcPr>
            <w:tcW w:type="dxa" w:w="23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M2: Core Booking Demo</w:t>
            </w:r>
          </w:p>
        </w:tc>
        <w:tc>
          <w:tcPr>
            <w:tcW w:type="dxa" w:w="4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Auth + RBAC, portals, adverts, and core booking loop working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25%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8</w:t>
            </w:r>
          </w:p>
        </w:tc>
      </w:tr>
      <w:tr>
        <w:tc>
          <w:tcPr>
            <w:tcW w:type="dxa" w:w="23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M3: UAT (Compliance &amp; Billing)</w:t>
            </w:r>
          </w:p>
        </w:tc>
        <w:tc>
          <w:tcPr>
            <w:tcW w:type="dxa" w:w="4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Compliance, timesheets, billing and notifications complete; Tidal UAT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25%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14</w:t>
            </w:r>
          </w:p>
        </w:tc>
      </w:tr>
      <w:tr>
        <w:tc>
          <w:tcPr>
            <w:tcW w:type="dxa" w:w="23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M4: Go-Live</w:t>
            </w:r>
          </w:p>
        </w:tc>
        <w:tc>
          <w:tcPr>
            <w:tcW w:type="dxa" w:w="4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Tidal production launch, Yedi enabled, documentation + source transfer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10%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16</w:t>
            </w:r>
          </w:p>
        </w:tc>
      </w:tr>
    </w:tbl>
    <w:p>
      <w:pPr>
        <w:spacing w:after="60"/>
      </w:pPr>
      <w:r>
        <w:rPr>
          <w:rFonts w:ascii="Arial" w:hAnsi="Arial"/>
          <w:b/>
          <w:i w:val="0"/>
          <w:sz w:val="22"/>
        </w:rPr>
        <w:t>6.4.2 Tranche 2 (Enhancement)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5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Deliverables</w:t>
            </w:r>
          </w:p>
        </w:tc>
        <w:tc>
          <w:tcPr>
            <w:tcW w:type="dxa" w:w="13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13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3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M1: Kickoff</w:t>
            </w:r>
          </w:p>
        </w:tc>
        <w:tc>
          <w:tcPr>
            <w:tcW w:type="dxa" w:w="4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Scope confirmation, sprint planning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50%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Upon execution</w:t>
            </w:r>
          </w:p>
        </w:tc>
      </w:tr>
      <w:tr>
        <w:tc>
          <w:tcPr>
            <w:tcW w:type="dxa" w:w="23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M2: Automation Demo</w:t>
            </w:r>
          </w:p>
        </w:tc>
        <w:tc>
          <w:tcPr>
            <w:tcW w:type="dxa" w:w="4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Payments, ID verification, e-sign, notification centre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25%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4</w:t>
            </w:r>
          </w:p>
        </w:tc>
      </w:tr>
      <w:tr>
        <w:tc>
          <w:tcPr>
            <w:tcW w:type="dxa" w:w="23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M3: Full Feature &amp; UAT</w:t>
            </w:r>
          </w:p>
        </w:tc>
        <w:tc>
          <w:tcPr>
            <w:tcW w:type="dxa" w:w="45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Ratings, referral, training, reporting, full Yedi, Tidal OS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15%</w:t>
            </w:r>
          </w:p>
        </w:tc>
        <w:tc>
          <w:tcPr>
            <w:tcW w:type="dxa" w:w="13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7</w:t>
            </w:r>
          </w:p>
        </w:tc>
      </w:tr>
      <w:tr>
        <w:tc>
          <w:tcPr>
            <w:tcW w:type="dxa" w:w="23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M4: Launch</w:t>
            </w:r>
          </w:p>
        </w:tc>
        <w:tc>
          <w:tcPr>
            <w:tcW w:type="dxa" w:w="45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Production deployment, docs, source transfer, 2-week post-launch support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10%</w:t>
            </w:r>
          </w:p>
        </w:tc>
        <w:tc>
          <w:tcPr>
            <w:tcW w:type="dxa" w:w="13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Week 8</w:t>
            </w:r>
          </w:p>
        </w:tc>
      </w:tr>
    </w:tbl>
    <w:p>
      <w:pPr>
        <w:pStyle w:val="Heading1"/>
      </w:pPr>
      <w:r>
        <w:t>7. Future Enhancements Roadmap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following are planned for future phases, subject to Tranche 1–2 feedback and client priorities.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Native mobile apps (candidate / brand) — separate track.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Advanced matching (AI/ML ranking on reliability, distance and ratings).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Analytics / BI depth — expansion of the “Tidal OS” coverage / fill / spend / ratings dashboards.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Integrations marketplace (accounting, HR, background-check providers).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Data migration tooling for historical records.</w:t>
      </w:r>
    </w:p>
    <w:p>
      <w:pPr>
        <w:numPr>
          <w:ilvl w:val="0"/>
          <w:numId w:val="5"/>
        </w:numPr>
        <w:spacing w:after="60"/>
        <w:ind w:left="720" w:hanging="360"/>
      </w:pPr>
      <w:r>
        <w:rPr>
          <w:rFonts w:ascii="Arial" w:hAnsi="Arial"/>
          <w:sz w:val="22"/>
        </w:rPr>
        <w:t>Additional industry verticals on the same multi-tenant core.</w:t>
      </w:r>
    </w:p>
    <w:p>
      <w:pPr>
        <w:pStyle w:val="Heading1"/>
      </w:pPr>
      <w:r>
        <w:t>8. Q&amp;A, Commercial Model &amp; Next Steps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Q1 — Is the estimate firm?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No — the figures are indicative (black-box assessment). A ~2-week Phase 0 audit reviews the repository and converts the estimate into a fixed price within (or below) the ranges, so there are no mid-project surprises for either side.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Q2 — Why a shared multi-tenant build?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Every missing engine is identical for both platforms. Building once and switching the industry layer via configuration is ~40–45% cheaper than two separate builds, while per-tenant compliance isolation keeps Yedi safeguarding separate from Tidal.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Q3 — What makes the MVP launchable in ~4 months?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 larger, parallelised team (peaking at ~9–10) delivers the same ~660 md of scope in ~4 months instead of ~7. Foundation, portals, booking, compliance, timesheets and billing are built in parallel streams rather than sequentially. Total effort — and therefore cost — is unchanged.</w:t>
      </w:r>
    </w:p>
    <w:p>
      <w:pPr>
        <w:spacing w:after="40"/>
      </w:pPr>
      <w:r>
        <w:rPr>
          <w:rFonts w:ascii="Arial" w:hAnsi="Arial"/>
          <w:b/>
          <w:i w:val="0"/>
          <w:sz w:val="22"/>
        </w:rPr>
        <w:t>Q4 — What is the biggest risk?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Source-code / Git access and the candidate employment model. Both are resolved during Phase 0 before any fixed price is committed.</w:t>
      </w:r>
    </w:p>
    <w:p>
      <w:pPr>
        <w:spacing w:after="120"/>
      </w:pPr>
      <w:r>
        <w:rPr>
          <w:rFonts w:ascii="Arial" w:hAnsi="Arial"/>
          <w:b w:val="0"/>
          <w:i/>
          <w:sz w:val="22"/>
        </w:rPr>
        <w:t>Goodwill note: during the assessment we identified a production bug — Declaration creation fails on upload (Livewire) — present on both platforms (shared code). We are happy to share the details at no charge.</w:t>
      </w:r>
    </w:p>
    <w:p>
      <w:pPr>
        <w:pStyle w:val="Heading2"/>
      </w:pPr>
      <w:r>
        <w:t>Next Steps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500"/>
            <w:shd w:val="clear" w:color="auto" w:fill="1A2B4A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8900"/>
            <w:shd w:val="clear" w:color="auto" w:fill="1A2B4A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89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Approve Phase 0 (audit).</w:t>
            </w:r>
          </w:p>
        </w:tc>
      </w:tr>
      <w:tr>
        <w:tc>
          <w:tcPr>
            <w:tcW w:type="dxa" w:w="500"/>
            <w:shd w:val="clear" w:color="auto" w:fill="F2F5F9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8900"/>
            <w:shd w:val="clear" w:color="auto" w:fill="F2F5F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Provide source code + Yedi/Tidal access; confirm the assumptions in Section 2.3.</w:t>
            </w:r>
          </w:p>
        </w:tc>
      </w:tr>
      <w:tr>
        <w:tc>
          <w:tcPr>
            <w:tcW w:type="dxa" w:w="50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8900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Sotatek issues a fixed price for Tranche 1 within ~2 weeks.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sz w:val="18"/>
        </w:rPr>
        <w:t>Appendices available on request: 14-domain gap analysis (EN + VI), black-box test pack (47 screenshots), per-feature effort WBS, requirements traceability matrix, and the Yedi↔Tidal cross-comparison.</w:t>
      </w:r>
    </w:p>
    <w:sectPr>
      <w:footerReference r:id="rId9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B2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B3">
    <w:pPr>
      <w:rPr/>
    </w:pPr>
    <w:r w:rsidDel="00000000" w:rsidR="00000000" w:rsidRPr="00000000">
      <w:rPr/>
      <w:pict>
        <v:shape id="WordPictureWatermark1" style="position:absolute;width:614.25pt;height:792.4170616113747pt;rotation:0;z-index:-503316481;mso-position-horizontal-relative:margin;mso-position-horizontal:absolute;margin-left:-72.75pt;mso-position-vertical-relative:margin;mso-position-vertical:absolute;margin-top:-71.625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b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d4740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mailto:thanh.du@sotatek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