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PROPOSAL &amp; INDICATIVE QUOTE</w:t>
      </w:r>
    </w:p>
    <w:p>
      <w:r>
        <w:rPr>
          <w:b/>
          <w:color w:val="2E6DA4"/>
          <w:sz w:val="25"/>
        </w:rPr>
        <w:t>Yedi + Tidal Staffing Platform — From Admin Panel to Production Product</w:t>
      </w:r>
    </w:p>
    <w:p>
      <w:r>
        <w:rPr>
          <w:i/>
          <w:color w:val="555555"/>
          <w:sz w:val="18"/>
        </w:rPr>
        <w:t>Prepared by: Sotatek   ·   Date: 2026-07-06   ·   Client proposal</w:t>
      </w:r>
    </w:p>
    <w:p>
      <w:r>
        <w:rPr>
          <w:i/>
          <w:color w:val="555555"/>
          <w:sz w:val="19"/>
        </w:rPr>
        <w:t>Figures below are indicative estimates based on a direct, hands-on assessment of your live admin systems (black-box — without source-code access). They will be converted to a fixed price following a ~2-week Phase 0 audit.</w:t>
      </w:r>
    </w:p>
    <w:p>
      <w:pPr>
        <w:pBdr>
          <w:bottom w:val="single" w:sz="6" w:space="2" w:color="2E6DA4"/>
        </w:pBdr>
      </w:pPr>
      <w:r>
        <w:rPr>
          <w:b/>
          <w:color w:val="1F3A5F"/>
          <w:sz w:val="28"/>
        </w:rPr>
        <w:t>1. Executive Summary</w:t>
      </w:r>
    </w:p>
    <w:p>
      <w:r>
        <w:rPr>
          <w:sz w:val="21"/>
        </w:rPr>
        <w:t>You have built a solid internal admin panel (Laravel + Filament) for a two-sided staffing platform. The data backbone — data model, admin CRUD, dashboard and system configuration — is real and reusable, representing roughly a quarter of a full platform. What remains is the transaction engine and the self-service surfaces that turn it into a sellable product.</w:t>
      </w:r>
    </w:p>
    <w:p>
      <w:pPr>
        <w:pStyle w:val="ListBullet"/>
      </w:pPr>
      <w:r>
        <w:rPr>
          <w:b/>
          <w:color w:val="1F3A5F"/>
        </w:rPr>
        <w:t>Key finding:</w:t>
      </w:r>
      <w:r>
        <w:rPr>
          <w:sz w:val="21"/>
        </w:rPr>
        <w:t xml:space="preserve"> Yedi and Tidal are currently the SAME codebase — separately deployed, re-labelled (School/Teacher/Job vs Brand/Candidate/Advert) and configured per tenant.</w:t>
      </w:r>
    </w:p>
    <w:p>
      <w:pPr>
        <w:pStyle w:val="ListBullet"/>
      </w:pPr>
      <w:r>
        <w:rPr>
          <w:b/>
          <w:color w:val="1F3A5F"/>
        </w:rPr>
        <w:t>Greenfield areas:</w:t>
      </w:r>
      <w:r>
        <w:rPr>
          <w:sz w:val="21"/>
        </w:rPr>
        <w:t xml:space="preserve"> candidate/client portals, the Booking entity, billing engine, timesheets, matching, compliance enforcement, RBAC and notifications are all still to be built.</w:t>
      </w:r>
    </w:p>
    <w:p>
      <w:pPr>
        <w:pStyle w:val="ListBullet"/>
      </w:pPr>
      <w:r>
        <w:rPr>
          <w:b/>
          <w:color w:val="1F3A5F"/>
        </w:rPr>
        <w:t>Architecture recommendation:</w:t>
      </w:r>
      <w:r>
        <w:rPr>
          <w:sz w:val="21"/>
        </w:rPr>
        <w:t xml:space="preserve"> a shared multi-tenant backend with industry-specific front-end, branding and compliance layers — matching your own instinct, and ~40–45% cheaper than two separate builds.</w:t>
      </w:r>
    </w:p>
    <w:p>
      <w:r>
        <w:rPr>
          <w:sz w:val="21"/>
        </w:rPr>
        <w:t>We propose a “Keep &amp; extend” approach (no rebuild), delivered in two tranches.</w:t>
      </w:r>
    </w:p>
    <w:p>
      <w:pPr>
        <w:pBdr>
          <w:bottom w:val="single" w:sz="6" w:space="2" w:color="2E6DA4"/>
        </w:pBdr>
      </w:pPr>
      <w:r>
        <w:rPr>
          <w:b/>
          <w:color w:val="1F3A5F"/>
          <w:sz w:val="28"/>
        </w:rPr>
        <w:t>2. Current State — Directly Verified</w:t>
      </w:r>
    </w:p>
    <w:p>
      <w:r>
        <w:rPr>
          <w:sz w:val="21"/>
        </w:rPr>
        <w:t>We logged in and tested the live admin of both platforms directly (Tidal on 2026-06-29; Yedi + Tidal re-verification on 2026-07-03). The backbone is real and reusable:</w:t>
      </w:r>
    </w:p>
    <w:p>
      <w:pPr>
        <w:pStyle w:val="ListBullet"/>
      </w:pPr>
      <w:r>
        <w:rPr>
          <w:b/>
          <w:color w:val="1F3A5F"/>
        </w:rPr>
        <w:t>Rich data model:</w:t>
      </w:r>
      <w:r>
        <w:rPr>
          <w:sz w:val="21"/>
        </w:rPr>
        <w:t xml:space="preserve"> Adverts (rate, charge %, shift, address, docs), Candidates (4-tab profile, references, compliance status, ID/video/contract storage), Brands/Schools, and System settings (charge, references, invoice bank/terms, contract template).</w:t>
      </w:r>
    </w:p>
    <w:p>
      <w:pPr>
        <w:pStyle w:val="ListBullet"/>
      </w:pPr>
      <w:r>
        <w:rPr>
          <w:b/>
          <w:color w:val="1F3A5F"/>
        </w:rPr>
        <w:t>Working admin CRUD:</w:t>
      </w:r>
      <w:r>
        <w:rPr>
          <w:sz w:val="21"/>
        </w:rPr>
        <w:t xml:space="preserve"> full resource coverage, status filters, bulk actions and financial dashboard widgets.</w:t>
      </w:r>
    </w:p>
    <w:p>
      <w:pPr>
        <w:pStyle w:val="ListBullet"/>
      </w:pPr>
      <w:r>
        <w:rPr>
          <w:b/>
          <w:color w:val="1F3A5F"/>
        </w:rPr>
        <w:t>Partial application logic:</w:t>
      </w:r>
      <w:r>
        <w:rPr>
          <w:sz w:val="21"/>
        </w:rPr>
        <w:t xml:space="preserve"> creating an Application correctly updates the related records (accepted-application, counters).</w:t>
      </w:r>
    </w:p>
    <w:p>
      <w:pPr>
        <w:pStyle w:val="ListBullet"/>
      </w:pPr>
      <w:r>
        <w:rPr>
          <w:b/>
          <w:color w:val="1F3A5F"/>
        </w:rPr>
        <w:t>Per-tenant configuration:</w:t>
      </w:r>
      <w:r>
        <w:rPr>
          <w:sz w:val="21"/>
        </w:rPr>
        <w:t xml:space="preserve"> Yedi carries 5 education job-roles (QTS) plus a “DBS Evidence” catalogue; Tidal carries its charge defaults.</w:t>
      </w:r>
    </w:p>
    <w:p>
      <w:pPr>
        <w:pBdr>
          <w:bottom w:val="single" w:sz="6" w:space="2" w:color="2E6DA4"/>
        </w:pBdr>
      </w:pPr>
      <w:r>
        <w:rPr>
          <w:b/>
          <w:color w:val="1F3A5F"/>
          <w:sz w:val="28"/>
        </w:rPr>
        <w:t>3. Gap to Production</w:t>
      </w:r>
    </w:p>
    <w:p>
      <w:r>
        <w:rPr>
          <w:sz w:val="21"/>
        </w:rPr>
        <w:t>Today's product is admin-only. The pieces that make it a transacting two-sided platform are not yet in place: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38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Current state (verified)</w:t>
            </w:r>
          </w:p>
        </w:tc>
        <w:tc>
          <w:tcPr>
            <w:tcW w:type="dxa" w:w="316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Gap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Brand/School &amp; Candidate/Teacher portals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No live front-end (app. = 403 placeholder)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Build two self-service portals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Core booking loop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Applications persist; no Booking entity / allocation / auto-status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Build matching → offer/accept → booking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Billing (invoice / payslip)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Template + bank config present; no generation engine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Build generation + PDF + lifecycle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Compliance / right-to-work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Evidence storage present; no rules / enforcement / capture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Build compliance engine + enforcement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Timesheets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None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Build shift → hours → pay basis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Auth &amp; access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Admin login OK; no portal auth, no RBAC, no reset/2FA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Build multi-party auth + RBAC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Multi-tenancy (Tidal + Yedi)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Currently two forked deployments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Formalise multi-tenant white-label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Payments / Notifications / E-sign / Reporting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Minimal or none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Build per tranche</w:t>
            </w:r>
          </w:p>
        </w:tc>
      </w:tr>
    </w:tbl>
    <w:p/>
    <w:p>
      <w:r>
        <w:rPr>
          <w:sz w:val="21"/>
        </w:rPr>
        <w:t>Across ~110 features assessed: ~23 done, ~41 partial, ~46 missing.</w:t>
      </w:r>
    </w:p>
    <w:p>
      <w:r>
        <w:rPr>
          <w:b/>
          <w:color w:val="B05A00"/>
        </w:rPr>
        <w:t xml:space="preserve">Goodwill note: </w:t>
      </w:r>
      <w:r>
        <w:rPr>
          <w:sz w:val="21"/>
        </w:rPr>
        <w:t>during the assessment we identified a production bug — Declaration creation fails on upload (Livewire) — present on both platforms (shared code). We are happy to share the details at no charge.</w:t>
      </w:r>
    </w:p>
    <w:p>
      <w:pPr>
        <w:pBdr>
          <w:bottom w:val="single" w:sz="6" w:space="2" w:color="2E6DA4"/>
        </w:pBdr>
      </w:pPr>
      <w:r>
        <w:rPr>
          <w:b/>
          <w:color w:val="1F3A5F"/>
          <w:sz w:val="28"/>
        </w:rPr>
        <w:t>4. Architecture Recommendation — Shared vs Separate</w:t>
      </w:r>
    </w:p>
    <w:p>
      <w:r>
        <w:rPr>
          <w:sz w:val="21"/>
        </w:rPr>
        <w:t>Because every missing engine is identical for both platforms, we recommend building it once on a multi-tenant foundation, switching the industry layer on/off via configuration. Industry compliance is separated through per-tenant rules (Yedi safeguarding stays isolated from Tidal beauty).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9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87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Cost</w:t>
            </w:r>
          </w:p>
        </w:tc>
        <w:tc>
          <w:tcPr>
            <w:tcW w:type="dxa" w:w="331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Assessment</w:t>
            </w:r>
          </w:p>
        </w:tc>
      </w:tr>
      <w:tr>
        <w:tc>
          <w:tcPr>
            <w:tcW w:type="dxa" w:w="4896"/>
            <w:shd w:val="clear" w:fill="EAF1F8"/>
          </w:tcPr>
          <w:p>
            <w:r/>
            <w:r>
              <w:rPr>
                <w:b/>
                <w:sz w:val="19"/>
              </w:rPr>
              <w:t>A. Shared multi-tenant; industry-specific FE / branding / compliance</w:t>
            </w:r>
          </w:p>
        </w:tc>
        <w:tc>
          <w:tcPr>
            <w:tcW w:type="dxa" w:w="1872"/>
            <w:shd w:val="clear" w:fill="EAF1F8"/>
          </w:tcPr>
          <w:p>
            <w:r/>
            <w:r>
              <w:rPr>
                <w:b/>
                <w:sz w:val="19"/>
              </w:rPr>
              <w:t>Lowest</w:t>
            </w:r>
          </w:p>
        </w:tc>
        <w:tc>
          <w:tcPr>
            <w:tcW w:type="dxa" w:w="3312"/>
            <w:shd w:val="clear" w:fill="EAF1F8"/>
          </w:tcPr>
          <w:p>
            <w:r/>
            <w:r>
              <w:rPr>
                <w:b/>
                <w:sz w:val="19"/>
              </w:rPr>
              <w:t>RECOMMENDED — matches your instinct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B. Shared core library + two separate deployments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Versioning overhead; drift risk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C. Two fully separate products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Highest (+70–90%)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Not recommended — 2× maintenance</w:t>
            </w:r>
          </w:p>
        </w:tc>
      </w:tr>
    </w:tbl>
    <w:p/>
    <w:p>
      <w:pPr>
        <w:pBdr>
          <w:bottom w:val="single" w:sz="6" w:space="2" w:color="2E6DA4"/>
        </w:pBdr>
      </w:pPr>
      <w:r>
        <w:rPr>
          <w:b/>
          <w:color w:val="1F3A5F"/>
          <w:sz w:val="28"/>
        </w:rPr>
        <w:t>5. Scope</w:t>
      </w:r>
    </w:p>
    <w:p>
      <w:r>
        <w:rPr>
          <w:b/>
          <w:color w:val="2E6DA4"/>
          <w:sz w:val="23"/>
        </w:rPr>
        <w:t>Tranche 1 — MVP launch (Tidal)</w:t>
      </w:r>
    </w:p>
    <w:p>
      <w:r>
        <w:rPr>
          <w:sz w:val="21"/>
        </w:rPr>
        <w:t>Auth + RBAC · Brand/School portal (post/manage requests, review applicants, booking, invoice view) · Candidate/Teacher portal (onboarding, upload evidence, set availability, search, apply, accept, timesheet, payslip) · Core booking loop (Application → Matching → Offer/Accept → Booking) · Availability model + basic clash detection · Compliance engine + enforcement · Timesheets · Invoice/Payslip generation (PDF) · Basic notifications (email-first + key SMS: booking/timesheet/compliance) · Multi-tenant foundation · Security + GDPR baseline + automated tests + CI/CD · Tidal go-live. Yedi is enabled immediately after via configuration plus the education compliance layer (DBS/safeguarding — a mandatory gate).</w:t>
      </w:r>
    </w:p>
    <w:p>
      <w:r>
        <w:rPr>
          <w:b/>
          <w:color w:val="2E6DA4"/>
          <w:sz w:val="23"/>
        </w:rPr>
        <w:t>Tranche 2 — Automation + full Yedi + polish</w:t>
      </w:r>
    </w:p>
    <w:p>
      <w:r>
        <w:rPr>
          <w:sz w:val="21"/>
        </w:rPr>
        <w:t>Payment automation (collection + payout) · Automated ID / right-to-work verification · E-signature · In-app notification centre · Two-way ratings &amp; feedback (client ↔ candidate) + reliability tracking → feeding matching · Referral programme · Training/onboarding records (in-app) · Accounting export + credit notes · Geo / multi-slot adverts · Reporting depth · Full Yedi + education matching · Tidal client-visibility dashboard (“Tidal OS”: coverage / fill / spend / ratings).</w:t>
      </w:r>
    </w:p>
    <w:p>
      <w:r>
        <w:rPr>
          <w:b/>
          <w:color w:val="2E6DA4"/>
          <w:sz w:val="23"/>
        </w:rPr>
        <w:t>Out of scope (this engagement)</w:t>
      </w:r>
    </w:p>
    <w:p>
      <w:r>
        <w:rPr>
          <w:sz w:val="21"/>
        </w:rPr>
        <w:t>Native mobile app (separate track), data migration beyond existing records, third-party licence fees, and hosting/support after launch.</w:t>
      </w:r>
    </w:p>
    <w:p>
      <w:pPr>
        <w:pBdr>
          <w:bottom w:val="single" w:sz="6" w:space="2" w:color="2E6DA4"/>
        </w:pBdr>
      </w:pPr>
      <w:r>
        <w:rPr>
          <w:b/>
          <w:color w:val="1F3A5F"/>
          <w:sz w:val="28"/>
        </w:rPr>
        <w:t>6. Effort &amp; Timeline (bottom-up, per feature, 14 domains)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16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Full (md)</w:t>
            </w:r>
          </w:p>
        </w:tc>
        <w:tc>
          <w:tcPr>
            <w:tcW w:type="dxa" w:w="216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MVP (md)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P1  Identity / Auth / Access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P2  Brand/School Portal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48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P3  Candidate/Teacher Portal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59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P4  Adverts / Job Lifecycle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26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P5  Applications / Matching / Booking (core)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52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P6  Compliance &amp; Right-to-Work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41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P7  Timesheets &amp; Attendance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P8  Billing (Invoice / Payslip)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46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P9  Payments &amp; Settlement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P10 Notifications &amp; Comms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14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P11 Documents / Contracts / E-sign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P12 Multi-Tenancy / White-Label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29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P13 Reporting &amp; Analytics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P14 Non-Functional (security / GDPR / QA / CI-CD)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59</w:t>
            </w:r>
          </w:p>
        </w:tc>
      </w:tr>
      <w:tr>
        <w:tc>
          <w:tcPr>
            <w:tcW w:type="dxa" w:w="5760"/>
            <w:shd w:val="clear" w:fill="EAF1F8"/>
          </w:tcPr>
          <w:p>
            <w:r/>
            <w:r>
              <w:rPr>
                <w:b/>
                <w:sz w:val="19"/>
              </w:rPr>
              <w:t>Development subtotal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b/>
                <w:sz w:val="19"/>
              </w:rPr>
              <w:t>618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b/>
                <w:sz w:val="19"/>
              </w:rPr>
              <w:t>462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+ Overlay (discovery/audit, UI-UX, foundation)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50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+ PM + contingency (included)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760"/>
            <w:shd w:val="clear" w:fill="EAF1F8"/>
          </w:tcPr>
          <w:p>
            <w:r/>
            <w:r>
              <w:rPr>
                <w:b/>
                <w:sz w:val="19"/>
              </w:rPr>
              <w:t>TOTAL (rounded)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b/>
                <w:sz w:val="19"/>
              </w:rPr>
              <w:t>~870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b/>
                <w:sz w:val="19"/>
              </w:rPr>
              <w:t>~660</w:t>
            </w:r>
          </w:p>
        </w:tc>
      </w:tr>
    </w:tbl>
    <w:p/>
    <w:p>
      <w:r>
        <w:rPr>
          <w:sz w:val="21"/>
        </w:rPr>
        <w:t>PM and contingency are already included in the totals. Yedi education delta: +40–70 md beyond the baseline. Proposed team of ~6 (1 Tech Lead/BE, 2 BE, 2 FE, 1 QA, plus part-time PM and UI/UX).</w:t>
      </w:r>
    </w:p>
    <w:p>
      <w:pPr>
        <w:pBdr>
          <w:bottom w:val="single" w:sz="6" w:space="2" w:color="2E6DA4"/>
        </w:pBdr>
      </w:pPr>
      <w:r>
        <w:rPr>
          <w:b/>
          <w:color w:val="1F3A5F"/>
          <w:sz w:val="28"/>
        </w:rPr>
        <w:t>7. Indicative Quote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8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44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187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Timeline</w:t>
            </w:r>
          </w:p>
        </w:tc>
        <w:tc>
          <w:tcPr>
            <w:tcW w:type="dxa" w:w="165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GBP</w:t>
            </w:r>
          </w:p>
        </w:tc>
        <w:tc>
          <w:tcPr>
            <w:tcW w:type="dxa" w:w="165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USD</w:t>
            </w:r>
          </w:p>
        </w:tc>
      </w:tr>
      <w:tr>
        <w:tc>
          <w:tcPr>
            <w:tcW w:type="dxa" w:w="3888"/>
            <w:shd w:val="clear" w:fill="EAF1F8"/>
          </w:tcPr>
          <w:p>
            <w:r/>
            <w:r>
              <w:rPr>
                <w:b/>
                <w:sz w:val="19"/>
              </w:rPr>
              <w:t>Tranche 1 — MVP launch (Tidal, shared)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b/>
                <w:sz w:val="19"/>
              </w:rPr>
              <w:t>~660 md</w:t>
            </w:r>
          </w:p>
        </w:tc>
        <w:tc>
          <w:tcPr>
            <w:tcW w:type="dxa" w:w="1872"/>
            <w:shd w:val="clear" w:fill="EAF1F8"/>
          </w:tcPr>
          <w:p>
            <w:r/>
            <w:r>
              <w:rPr>
                <w:b/>
                <w:sz w:val="19"/>
              </w:rPr>
              <w:t>~6.5–7.5 months</w:t>
            </w:r>
          </w:p>
        </w:tc>
        <w:tc>
          <w:tcPr>
            <w:tcW w:type="dxa" w:w="1656"/>
            <w:shd w:val="clear" w:fill="EAF1F8"/>
          </w:tcPr>
          <w:p>
            <w:r/>
            <w:r>
              <w:rPr>
                <w:b/>
                <w:sz w:val="19"/>
              </w:rPr>
              <w:t>~£125k–156k</w:t>
            </w:r>
          </w:p>
        </w:tc>
        <w:tc>
          <w:tcPr>
            <w:tcW w:type="dxa" w:w="1656"/>
            <w:shd w:val="clear" w:fill="EAF1F8"/>
          </w:tcPr>
          <w:p>
            <w:r/>
            <w:r>
              <w:rPr>
                <w:b/>
                <w:sz w:val="19"/>
              </w:rPr>
              <w:t>~$158k–198k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+ Yedi education delta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+40–70 md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+0.5–1 month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~£8k–17k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~$10k–21k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Enhancement (Tranche 2)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~210 md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~+3 months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~£40k–50k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~$50k–63k</w:t>
            </w:r>
          </w:p>
        </w:tc>
      </w:tr>
      <w:tr>
        <w:tc>
          <w:tcPr>
            <w:tcW w:type="dxa" w:w="3888"/>
            <w:shd w:val="clear" w:fill="EAF1F8"/>
          </w:tcPr>
          <w:p>
            <w:r/>
            <w:r>
              <w:rPr>
                <w:b/>
                <w:sz w:val="19"/>
              </w:rPr>
              <w:t>Full production-grade (both platforms)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b/>
                <w:sz w:val="19"/>
              </w:rPr>
              <w:t>~870 md</w:t>
            </w:r>
          </w:p>
        </w:tc>
        <w:tc>
          <w:tcPr>
            <w:tcW w:type="dxa" w:w="1872"/>
            <w:shd w:val="clear" w:fill="EAF1F8"/>
          </w:tcPr>
          <w:p>
            <w:r/>
            <w:r>
              <w:rPr>
                <w:b/>
                <w:sz w:val="19"/>
              </w:rPr>
              <w:t>~8.5–10 months</w:t>
            </w:r>
          </w:p>
        </w:tc>
        <w:tc>
          <w:tcPr>
            <w:tcW w:type="dxa" w:w="1656"/>
            <w:shd w:val="clear" w:fill="EAF1F8"/>
          </w:tcPr>
          <w:p>
            <w:r/>
            <w:r>
              <w:rPr>
                <w:b/>
                <w:sz w:val="19"/>
              </w:rPr>
              <w:t>~£165k–206k</w:t>
            </w:r>
          </w:p>
        </w:tc>
        <w:tc>
          <w:tcPr>
            <w:tcW w:type="dxa" w:w="1656"/>
            <w:shd w:val="clear" w:fill="EAF1F8"/>
          </w:tcPr>
          <w:p>
            <w:r/>
            <w:r>
              <w:rPr>
                <w:b/>
                <w:sz w:val="19"/>
              </w:rPr>
              <w:t>~$209k–261k</w:t>
            </w:r>
          </w:p>
        </w:tc>
      </w:tr>
    </w:tbl>
    <w:p/>
    <w:p>
      <w:r>
        <w:rPr>
          <w:sz w:val="21"/>
        </w:rPr>
        <w:t>Indicative ranges; a fixed price will be issued after Phase 0 and will fall within (or below) these ranges. Excludes hosting, third-party licences (e.g. Twilio / GoCardless / DocuSign / Yoti) and post-launch support.</w:t>
      </w:r>
    </w:p>
    <w:p>
      <w:pPr>
        <w:pBdr>
          <w:bottom w:val="single" w:sz="6" w:space="2" w:color="2E6DA4"/>
        </w:pBdr>
      </w:pPr>
      <w:r>
        <w:rPr>
          <w:b/>
          <w:color w:val="1F3A5F"/>
          <w:sz w:val="28"/>
        </w:rPr>
        <w:t>8. Commercial Model — Audit-first (de-risks both sides)</w:t>
      </w:r>
    </w:p>
    <w:p>
      <w:r>
        <w:rPr>
          <w:sz w:val="21"/>
        </w:rPr>
        <w:t>We have assessed the running system but have not yet reviewed the source code. To protect both parties:</w:t>
      </w:r>
    </w:p>
    <w:p>
      <w:pPr>
        <w:pStyle w:val="ListBullet"/>
      </w:pPr>
      <w:r>
        <w:rPr>
          <w:b/>
          <w:color w:val="1F3A5F"/>
        </w:rPr>
        <w:t>Phase 0 — Discovery &amp; code audit (~2 weeks):</w:t>
      </w:r>
      <w:r>
        <w:rPr>
          <w:sz w:val="21"/>
        </w:rPr>
        <w:t xml:space="preserve"> review the repository, confirm reusability and validate the estimate (fixed price).</w:t>
      </w:r>
    </w:p>
    <w:p>
      <w:pPr>
        <w:pStyle w:val="ListBullet"/>
      </w:pPr>
      <w:r>
        <w:rPr>
          <w:b/>
          <w:color w:val="1F3A5F"/>
        </w:rPr>
        <w:t>Fixed price for Tranche 1:</w:t>
      </w:r>
      <w:r>
        <w:rPr>
          <w:sz w:val="21"/>
        </w:rPr>
        <w:t xml:space="preserve"> issued at the end of Phase 0, within (or below) the ranges above.</w:t>
      </w:r>
    </w:p>
    <w:p>
      <w:r>
        <w:rPr>
          <w:sz w:val="21"/>
        </w:rPr>
        <w:t>This gives you a fair, accurate price up front, with no mid-project surprises for either side.</w:t>
      </w:r>
    </w:p>
    <w:p>
      <w:pPr>
        <w:pBdr>
          <w:bottom w:val="single" w:sz="6" w:space="2" w:color="2E6DA4"/>
        </w:pBdr>
      </w:pPr>
      <w:r>
        <w:rPr>
          <w:b/>
          <w:color w:val="1F3A5F"/>
          <w:sz w:val="28"/>
        </w:rPr>
        <w:t>9. Assumptions &amp; Dependencies to Confirm</w:t>
      </w:r>
    </w:p>
    <w:p>
      <w:pPr>
        <w:pStyle w:val="ListNumber"/>
      </w:pPr>
      <w:r>
        <w:rPr>
          <w:sz w:val="21"/>
        </w:rPr>
        <w:t>Source code + Git access — the biggest variable: whether the empty modules hide a backend, and whether it is a single ENV-configured mono-repo or two drifting forks.</w:t>
      </w:r>
    </w:p>
    <w:p>
      <w:pPr>
        <w:pStyle w:val="ListNumber"/>
      </w:pPr>
      <w:r>
        <w:rPr>
          <w:sz w:val="21"/>
        </w:rPr>
        <w:t>Candidate employment model (PAYE / umbrella / self-employed) — drives payslip and tax logic.</w:t>
      </w:r>
    </w:p>
    <w:p>
      <w:pPr>
        <w:pStyle w:val="ListNumber"/>
      </w:pPr>
      <w:r>
        <w:rPr>
          <w:sz w:val="21"/>
        </w:rPr>
        <w:t>Adverts single-hire vs multi-slot — affects the booking/billing schema.</w:t>
      </w:r>
    </w:p>
    <w:p>
      <w:pPr>
        <w:pStyle w:val="ListNumber"/>
      </w:pPr>
      <w:r>
        <w:rPr>
          <w:sz w:val="21"/>
        </w:rPr>
        <w:t>Whether a mobile app has already been released (your marketing mentions an “OnDemand App”) — affects front-end scope.</w:t>
      </w:r>
    </w:p>
    <w:p>
      <w:pPr>
        <w:pBdr>
          <w:bottom w:val="single" w:sz="6" w:space="2" w:color="2E6DA4"/>
        </w:pBdr>
      </w:pPr>
      <w:r>
        <w:rPr>
          <w:b/>
          <w:color w:val="1F3A5F"/>
          <w:sz w:val="28"/>
        </w:rPr>
        <w:t>10. Next Steps</w:t>
      </w:r>
    </w:p>
    <w:p>
      <w:pPr>
        <w:pStyle w:val="ListNumber"/>
      </w:pPr>
      <w:r>
        <w:rPr>
          <w:sz w:val="21"/>
        </w:rPr>
        <w:t>Approve Phase 0 (audit).</w:t>
      </w:r>
    </w:p>
    <w:p>
      <w:pPr>
        <w:pStyle w:val="ListNumber"/>
      </w:pPr>
      <w:r>
        <w:rPr>
          <w:sz w:val="21"/>
        </w:rPr>
        <w:t>Provide source code + Yedi/Tidal access; confirm the points in Section 9.</w:t>
      </w:r>
    </w:p>
    <w:p>
      <w:pPr>
        <w:pStyle w:val="ListNumber"/>
      </w:pPr>
      <w:r>
        <w:rPr>
          <w:sz w:val="21"/>
        </w:rPr>
        <w:t>Sotatek issues a fixed price for Tranche 1 within ~2 weeks.</w:t>
      </w:r>
    </w:p>
    <w:p>
      <w:r>
        <w:rPr>
          <w:i/>
          <w:color w:val="555555"/>
          <w:sz w:val="19"/>
        </w:rPr>
        <w:t>Appendices available on request: 14-domain gap analysis (EN + VI), black-box test pack (47 screenshots), per-feature effort WBS, requirements traceability matrix, and the Yedi↔Tidal cross-comparison.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