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Cardo-bold.ttf" ContentType="application/x-font-ttf"/>
  <Override PartName="/word/fonts/Cardo-italic.ttf" ContentType="application/x-font-ttf"/>
  <Override PartName="/word/fonts/Cardo-regular.ttf" ContentType="application/x-font-ttf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80" w:line="276" w:lineRule="auto"/>
        <w:jc w:val="center"/>
        <w:rPr>
          <w:rFonts w:ascii="Times New Roman" w:cs="Times New Roman" w:eastAsia="Times New Roman" w:hAnsi="Times New Roman"/>
          <w:sz w:val="30"/>
          <w:szCs w:val="3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666666"/>
          <w:sz w:val="38"/>
          <w:szCs w:val="38"/>
          <w:rtl w:val="0"/>
        </w:rPr>
        <w:t xml:space="preserve">Project Proposal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spacing w:after="200" w:line="276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spacing w:after="100" w:line="276" w:lineRule="auto"/>
        <w:jc w:val="center"/>
        <w:rPr>
          <w:rFonts w:ascii="Times New Roman" w:cs="Times New Roman" w:eastAsia="Times New Roman" w:hAnsi="Times New Roman"/>
          <w:color w:val="2e74b5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2e74b5"/>
          <w:sz w:val="66"/>
          <w:szCs w:val="66"/>
          <w:rtl w:val="0"/>
        </w:rPr>
        <w:t xml:space="preserve">YEDI + TIDAL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spacing w:after="60" w:line="276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spacing w:after="60" w:line="276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2e75b6"/>
          <w:sz w:val="32"/>
          <w:szCs w:val="32"/>
          <w:rtl w:val="0"/>
        </w:rPr>
        <w:t xml:space="preserve">Two-Sided Staffing Platform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pBdr>
          <w:bottom w:color="2e75b6" w:space="12" w:sz="4" w:val="single"/>
        </w:pBdr>
        <w:spacing w:after="200" w:line="276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666666"/>
          <w:sz w:val="26"/>
          <w:szCs w:val="26"/>
          <w:rtl w:val="0"/>
        </w:rPr>
        <w:t xml:space="preserve">From Admin Panel to Production Product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spacing w:after="1200" w:line="276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spacing w:line="276" w:lineRule="auto"/>
        <w:jc w:val="right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Version: v1.0</w:t>
      </w:r>
    </w:p>
    <w:p w:rsidR="00000000" w:rsidDel="00000000" w:rsidP="00000000" w:rsidRDefault="00000000" w:rsidRPr="00000000" w14:paraId="00000009">
      <w:pPr>
        <w:spacing w:line="276" w:lineRule="auto"/>
        <w:jc w:val="right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Authored by: Sotatek</w:t>
      </w:r>
    </w:p>
    <w:p w:rsidR="00000000" w:rsidDel="00000000" w:rsidP="00000000" w:rsidRDefault="00000000" w:rsidRPr="00000000" w14:paraId="0000000A">
      <w:pPr>
        <w:spacing w:line="276" w:lineRule="auto"/>
        <w:jc w:val="right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Approved by: </w:t>
      </w:r>
    </w:p>
    <w:p w:rsidR="00000000" w:rsidDel="00000000" w:rsidP="00000000" w:rsidRDefault="00000000" w:rsidRPr="00000000" w14:paraId="0000000B">
      <w:pPr>
        <w:spacing w:before="400" w:line="276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spacing w:line="276" w:lineRule="auto"/>
        <w:jc w:val="right"/>
        <w:rPr>
          <w:rFonts w:ascii="Times New Roman" w:cs="Times New Roman" w:eastAsia="Times New Roman" w:hAnsi="Times New Roman"/>
          <w:sz w:val="24"/>
          <w:szCs w:val="24"/>
        </w:rPr>
        <w:sectPr>
          <w:headerReference r:id="rId6" w:type="default"/>
          <w:pgSz w:h="15840" w:w="12240" w:orient="portrait"/>
          <w:pgMar w:bottom="1440" w:top="1440" w:left="1440" w:right="1440" w:header="708" w:footer="708"/>
          <w:pgNumType w:start="1"/>
        </w:sect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2b579a"/>
          <w:sz w:val="24"/>
          <w:szCs w:val="24"/>
          <w:rtl w:val="0"/>
        </w:rPr>
        <w:t xml:space="preserve">Hanoi, July 6th 2026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spacing w:after="40" w:before="40" w:line="276" w:lineRule="auto"/>
        <w:jc w:val="both"/>
        <w:rPr>
          <w:rFonts w:ascii="Times New Roman" w:cs="Times New Roman" w:eastAsia="Times New Roman" w:hAnsi="Times New Roman"/>
          <w:b w:val="1"/>
          <w:bCs w:val="1"/>
          <w:color w:val="000000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sz w:val="28"/>
          <w:szCs w:val="28"/>
          <w:rtl w:val="0"/>
        </w:rPr>
        <w:t xml:space="preserve">Presenter</w:t>
      </w:r>
    </w:p>
    <w:tbl>
      <w:tblPr>
        <w:tblStyle w:val="Table1"/>
        <w:tblW w:w="9026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3008.666666666667"/>
        <w:gridCol w:w="3008.666666666667"/>
        <w:gridCol w:w="3008.666666666667"/>
        <w:tblGridChange w:id="0">
          <w:tblGrid>
            <w:gridCol w:w="3008.666666666667"/>
            <w:gridCol w:w="3008.666666666667"/>
            <w:gridCol w:w="3008.666666666667"/>
          </w:tblGrid>
        </w:tblGridChange>
      </w:tblGrid>
      <w:tr>
        <w:trPr>
          <w:cantSplit w:val="0"/>
          <w:tblHeader w:val="0"/>
        </w:trPr>
        <w:tc>
          <w:tcPr>
            <w:shd w:fill="c9daf8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E">
            <w:pPr>
              <w:widowControl w:val="0"/>
              <w:spacing w:after="40" w:before="40" w:line="276" w:lineRule="auto"/>
              <w:ind w:left="360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000000"/>
                <w:sz w:val="26"/>
                <w:szCs w:val="26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000000"/>
                <w:sz w:val="26"/>
                <w:szCs w:val="26"/>
                <w:rtl w:val="0"/>
              </w:rPr>
              <w:t xml:space="preserve">Presenter</w:t>
            </w:r>
          </w:p>
        </w:tc>
        <w:tc>
          <w:tcPr>
            <w:shd w:fill="c9daf8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F">
            <w:pPr>
              <w:widowControl w:val="0"/>
              <w:spacing w:after="40" w:before="40" w:line="276" w:lineRule="auto"/>
              <w:ind w:left="360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000000"/>
                <w:sz w:val="26"/>
                <w:szCs w:val="26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000000"/>
                <w:sz w:val="26"/>
                <w:szCs w:val="26"/>
                <w:rtl w:val="0"/>
              </w:rPr>
              <w:t xml:space="preserve">Position</w:t>
            </w:r>
          </w:p>
        </w:tc>
        <w:tc>
          <w:tcPr>
            <w:shd w:fill="c9daf8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0">
            <w:pPr>
              <w:widowControl w:val="0"/>
              <w:spacing w:after="40" w:before="40" w:line="276" w:lineRule="auto"/>
              <w:ind w:left="360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000000"/>
                <w:sz w:val="26"/>
                <w:szCs w:val="26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000000"/>
                <w:sz w:val="26"/>
                <w:szCs w:val="26"/>
                <w:rtl w:val="0"/>
              </w:rPr>
              <w:t xml:space="preserve">Division</w:t>
            </w:r>
          </w:p>
        </w:tc>
      </w:tr>
      <w:tr>
        <w:trPr>
          <w:cantSplit w:val="0"/>
          <w:trHeight w:val="447.978515625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1">
            <w:pPr>
              <w:widowControl w:val="0"/>
              <w:spacing w:after="40" w:before="40" w:line="276" w:lineRule="auto"/>
              <w:ind w:left="90" w:firstLine="0"/>
              <w:jc w:val="center"/>
              <w:rPr>
                <w:rFonts w:ascii="Times New Roman" w:cs="Times New Roman" w:eastAsia="Times New Roman" w:hAnsi="Times New Roman"/>
                <w:color w:val="000000"/>
                <w:sz w:val="26"/>
                <w:szCs w:val="26"/>
              </w:rPr>
            </w:pPr>
            <w:r>
              <w:rPr>
                <w:rFonts w:ascii="Arial" w:hAnsi="Arial"/>
                <w:b w:val="0"/>
                <w:color w:val="222222"/>
                <w:sz w:val="20"/>
              </w:rPr>
              <w:t>Sotatek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2">
            <w:pPr>
              <w:widowControl w:val="0"/>
              <w:spacing w:after="40" w:before="40" w:line="276" w:lineRule="auto"/>
              <w:ind w:left="90" w:firstLine="0"/>
              <w:jc w:val="center"/>
              <w:rPr>
                <w:rFonts w:ascii="Times New Roman" w:cs="Times New Roman" w:eastAsia="Times New Roman" w:hAnsi="Times New Roman"/>
                <w:color w:val="000000"/>
                <w:sz w:val="26"/>
                <w:szCs w:val="26"/>
              </w:rPr>
            </w:pPr>
            <w:r>
              <w:rPr>
                <w:rFonts w:ascii="Arial" w:hAnsi="Arial"/>
                <w:b w:val="0"/>
                <w:color w:val="222222"/>
                <w:sz w:val="20"/>
              </w:rPr>
              <w:t>Solutions / Delivery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3">
            <w:pPr>
              <w:widowControl w:val="0"/>
              <w:spacing w:after="40" w:before="40" w:line="276" w:lineRule="auto"/>
              <w:ind w:left="90" w:firstLine="0"/>
              <w:jc w:val="center"/>
              <w:rPr>
                <w:rFonts w:ascii="Times New Roman" w:cs="Times New Roman" w:eastAsia="Times New Roman" w:hAnsi="Times New Roman"/>
                <w:color w:val="000000"/>
                <w:sz w:val="26"/>
                <w:szCs w:val="26"/>
              </w:rPr>
            </w:pPr>
            <w:r>
              <w:rPr>
                <w:rFonts w:ascii="Arial" w:hAnsi="Arial"/>
                <w:b w:val="0"/>
                <w:color w:val="222222"/>
                <w:sz w:val="20"/>
              </w:rPr>
              <w:t>Global Delivery</w:t>
            </w:r>
          </w:p>
        </w:tc>
      </w:tr>
    </w:tbl>
    <w:p w:rsidR="00000000" w:rsidDel="00000000" w:rsidP="00000000" w:rsidRDefault="00000000" w:rsidRPr="00000000" w14:paraId="00000014">
      <w:pPr>
        <w:spacing w:after="40" w:before="40" w:line="276" w:lineRule="auto"/>
        <w:ind w:left="720" w:hanging="360"/>
        <w:jc w:val="both"/>
        <w:rPr>
          <w:rFonts w:ascii="Times New Roman" w:cs="Times New Roman" w:eastAsia="Times New Roman" w:hAnsi="Times New Roman"/>
          <w:color w:val="000000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spacing w:after="40" w:before="40" w:line="276" w:lineRule="auto"/>
        <w:jc w:val="both"/>
        <w:rPr>
          <w:rFonts w:ascii="Times New Roman" w:cs="Times New Roman" w:eastAsia="Times New Roman" w:hAnsi="Times New Roman"/>
          <w:b w:val="1"/>
          <w:bCs w:val="1"/>
          <w:color w:val="000000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sz w:val="28"/>
          <w:szCs w:val="28"/>
          <w:rtl w:val="0"/>
        </w:rPr>
        <w:t xml:space="preserve">Edit History</w:t>
      </w:r>
    </w:p>
    <w:tbl>
      <w:tblPr>
        <w:tblStyle w:val="Table2"/>
        <w:tblW w:w="894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1785"/>
        <w:gridCol w:w="1095"/>
        <w:gridCol w:w="3060"/>
        <w:gridCol w:w="3000"/>
        <w:tblGridChange w:id="0">
          <w:tblGrid>
            <w:gridCol w:w="1785"/>
            <w:gridCol w:w="1095"/>
            <w:gridCol w:w="3060"/>
            <w:gridCol w:w="3000"/>
          </w:tblGrid>
        </w:tblGridChange>
      </w:tblGrid>
      <w:tr>
        <w:trPr>
          <w:cantSplit w:val="0"/>
          <w:tblHeader w:val="0"/>
        </w:trPr>
        <w:tc>
          <w:tcPr>
            <w:shd w:fill="c9daf8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6">
            <w:pPr>
              <w:widowControl w:val="0"/>
              <w:spacing w:after="40" w:before="40" w:line="276" w:lineRule="auto"/>
              <w:ind w:left="270" w:hanging="360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000000"/>
                <w:sz w:val="26"/>
                <w:szCs w:val="26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000000"/>
                <w:sz w:val="26"/>
                <w:szCs w:val="26"/>
                <w:rtl w:val="0"/>
              </w:rPr>
              <w:t xml:space="preserve">Date</w:t>
            </w:r>
          </w:p>
        </w:tc>
        <w:tc>
          <w:tcPr>
            <w:shd w:fill="c9daf8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7">
            <w:pPr>
              <w:widowControl w:val="0"/>
              <w:spacing w:after="40" w:before="40" w:line="276" w:lineRule="auto"/>
              <w:ind w:left="270" w:hanging="360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000000"/>
                <w:sz w:val="26"/>
                <w:szCs w:val="26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000000"/>
                <w:sz w:val="26"/>
                <w:szCs w:val="26"/>
                <w:rtl w:val="0"/>
              </w:rPr>
              <w:t xml:space="preserve">Version</w:t>
            </w:r>
          </w:p>
        </w:tc>
        <w:tc>
          <w:tcPr>
            <w:shd w:fill="c9daf8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8">
            <w:pPr>
              <w:widowControl w:val="0"/>
              <w:spacing w:after="40" w:before="40" w:line="276" w:lineRule="auto"/>
              <w:ind w:left="270" w:hanging="360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000000"/>
                <w:sz w:val="26"/>
                <w:szCs w:val="26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000000"/>
                <w:sz w:val="26"/>
                <w:szCs w:val="26"/>
                <w:rtl w:val="0"/>
              </w:rPr>
              <w:t xml:space="preserve">Description</w:t>
            </w:r>
          </w:p>
        </w:tc>
        <w:tc>
          <w:tcPr>
            <w:shd w:fill="c9daf8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9">
            <w:pPr>
              <w:widowControl w:val="0"/>
              <w:spacing w:after="40" w:before="40" w:line="276" w:lineRule="auto"/>
              <w:ind w:left="270" w:hanging="360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000000"/>
                <w:sz w:val="26"/>
                <w:szCs w:val="26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000000"/>
                <w:sz w:val="26"/>
                <w:szCs w:val="26"/>
                <w:rtl w:val="0"/>
              </w:rPr>
              <w:t xml:space="preserve">Editor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A">
            <w:pPr>
              <w:widowControl w:val="0"/>
              <w:spacing w:after="40" w:before="40" w:line="276" w:lineRule="auto"/>
              <w:ind w:left="90" w:firstLine="0"/>
              <w:jc w:val="center"/>
              <w:rPr>
                <w:rFonts w:ascii="Times New Roman" w:cs="Times New Roman" w:eastAsia="Times New Roman" w:hAnsi="Times New Roman"/>
                <w:color w:val="000000"/>
                <w:sz w:val="26"/>
                <w:szCs w:val="26"/>
              </w:rPr>
            </w:pPr>
            <w:r>
              <w:rPr>
                <w:rFonts w:ascii="Arial" w:hAnsi="Arial"/>
                <w:b w:val="0"/>
                <w:color w:val="222222"/>
                <w:sz w:val="20"/>
              </w:rPr>
              <w:t>Jul 6, 2026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B">
            <w:pPr>
              <w:widowControl w:val="0"/>
              <w:spacing w:after="40" w:before="40" w:line="276" w:lineRule="auto"/>
              <w:ind w:left="90" w:firstLine="0"/>
              <w:jc w:val="center"/>
              <w:rPr>
                <w:rFonts w:ascii="Times New Roman" w:cs="Times New Roman" w:eastAsia="Times New Roman" w:hAnsi="Times New Roman"/>
                <w:color w:val="000000"/>
                <w:sz w:val="26"/>
                <w:szCs w:val="26"/>
              </w:rPr>
            </w:pPr>
            <w:r>
              <w:rPr>
                <w:rFonts w:ascii="Arial" w:hAnsi="Arial"/>
                <w:b w:val="0"/>
                <w:color w:val="222222"/>
                <w:sz w:val="20"/>
              </w:rPr>
              <w:t>1.0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C">
            <w:pPr>
              <w:widowControl w:val="0"/>
              <w:spacing w:after="40" w:before="40" w:line="276" w:lineRule="auto"/>
              <w:ind w:left="90" w:firstLine="0"/>
              <w:jc w:val="center"/>
              <w:rPr>
                <w:rFonts w:ascii="Times New Roman" w:cs="Times New Roman" w:eastAsia="Times New Roman" w:hAnsi="Times New Roman"/>
                <w:color w:val="000000"/>
                <w:sz w:val="26"/>
                <w:szCs w:val="26"/>
              </w:rPr>
            </w:pPr>
            <w:r>
              <w:rPr>
                <w:rFonts w:ascii="Arial" w:hAnsi="Arial"/>
                <w:b w:val="0"/>
                <w:color w:val="222222"/>
                <w:sz w:val="20"/>
              </w:rPr>
              <w:t>Create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D">
            <w:pPr>
              <w:widowControl w:val="0"/>
              <w:spacing w:after="40" w:before="40" w:line="276" w:lineRule="auto"/>
              <w:ind w:left="90" w:firstLine="0"/>
              <w:jc w:val="center"/>
              <w:rPr>
                <w:rFonts w:ascii="Times New Roman" w:cs="Times New Roman" w:eastAsia="Times New Roman" w:hAnsi="Times New Roman"/>
                <w:color w:val="000000"/>
                <w:sz w:val="26"/>
                <w:szCs w:val="26"/>
              </w:rPr>
            </w:pPr>
            <w:r>
              <w:rPr>
                <w:rFonts w:ascii="Arial" w:hAnsi="Arial"/>
                <w:b w:val="0"/>
                <w:color w:val="222222"/>
                <w:sz w:val="20"/>
              </w:rPr>
              <w:t>Sotatek</w:t>
            </w:r>
          </w:p>
        </w:tc>
      </w:tr>
    </w:tbl>
    <w:p w:rsidR="00000000" w:rsidDel="00000000" w:rsidP="00000000" w:rsidRDefault="00000000" w:rsidRPr="00000000" w14:paraId="0000001E">
      <w:pPr>
        <w:spacing w:after="40" w:before="40" w:line="276" w:lineRule="auto"/>
        <w:ind w:left="720" w:hanging="360"/>
        <w:jc w:val="both"/>
        <w:rPr>
          <w:rFonts w:ascii="Times New Roman" w:cs="Times New Roman" w:eastAsia="Times New Roman" w:hAnsi="Times New Roman"/>
          <w:color w:val="000000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spacing w:after="40" w:before="40" w:line="276" w:lineRule="auto"/>
        <w:jc w:val="both"/>
        <w:rPr>
          <w:rFonts w:ascii="Times New Roman" w:cs="Times New Roman" w:eastAsia="Times New Roman" w:hAnsi="Times New Roman"/>
          <w:b w:val="1"/>
          <w:bCs w:val="1"/>
          <w:color w:val="000000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sz w:val="28"/>
          <w:szCs w:val="28"/>
          <w:rtl w:val="0"/>
        </w:rPr>
        <w:t xml:space="preserve">Approval</w:t>
      </w:r>
    </w:p>
    <w:tbl>
      <w:tblPr>
        <w:tblStyle w:val="Table3"/>
        <w:tblW w:w="9026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2256.5"/>
        <w:gridCol w:w="2256.5"/>
        <w:gridCol w:w="2256.5"/>
        <w:gridCol w:w="2256.5"/>
        <w:tblGridChange w:id="0">
          <w:tblGrid>
            <w:gridCol w:w="2256.5"/>
            <w:gridCol w:w="2256.5"/>
            <w:gridCol w:w="2256.5"/>
            <w:gridCol w:w="2256.5"/>
          </w:tblGrid>
        </w:tblGridChange>
      </w:tblGrid>
      <w:tr>
        <w:trPr>
          <w:cantSplit w:val="0"/>
          <w:tblHeader w:val="0"/>
        </w:trPr>
        <w:tc>
          <w:tcPr>
            <w:shd w:fill="c9daf8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0">
            <w:pPr>
              <w:widowControl w:val="0"/>
              <w:spacing w:after="40" w:before="40" w:line="276" w:lineRule="auto"/>
              <w:ind w:left="270" w:hanging="360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000000"/>
                <w:sz w:val="26"/>
                <w:szCs w:val="26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000000"/>
                <w:sz w:val="26"/>
                <w:szCs w:val="26"/>
                <w:rtl w:val="0"/>
              </w:rPr>
              <w:t xml:space="preserve">Approved date</w:t>
            </w:r>
          </w:p>
        </w:tc>
        <w:tc>
          <w:tcPr>
            <w:shd w:fill="c9daf8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1">
            <w:pPr>
              <w:widowControl w:val="0"/>
              <w:spacing w:after="40" w:before="40" w:line="276" w:lineRule="auto"/>
              <w:ind w:left="270" w:hanging="360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000000"/>
                <w:sz w:val="26"/>
                <w:szCs w:val="26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000000"/>
                <w:sz w:val="26"/>
                <w:szCs w:val="26"/>
                <w:rtl w:val="0"/>
              </w:rPr>
              <w:t xml:space="preserve">Version</w:t>
            </w:r>
          </w:p>
        </w:tc>
        <w:tc>
          <w:tcPr>
            <w:shd w:fill="c9daf8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2">
            <w:pPr>
              <w:widowControl w:val="0"/>
              <w:spacing w:after="40" w:before="40" w:line="276" w:lineRule="auto"/>
              <w:ind w:left="270" w:hanging="360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000000"/>
                <w:sz w:val="26"/>
                <w:szCs w:val="26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000000"/>
                <w:sz w:val="26"/>
                <w:szCs w:val="26"/>
                <w:rtl w:val="0"/>
              </w:rPr>
              <w:t xml:space="preserve">Approved by</w:t>
            </w:r>
          </w:p>
        </w:tc>
        <w:tc>
          <w:tcPr>
            <w:shd w:fill="c9daf8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3">
            <w:pPr>
              <w:widowControl w:val="0"/>
              <w:spacing w:after="40" w:before="40" w:line="276" w:lineRule="auto"/>
              <w:ind w:left="270" w:hanging="360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000000"/>
                <w:sz w:val="26"/>
                <w:szCs w:val="26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000000"/>
                <w:sz w:val="26"/>
                <w:szCs w:val="26"/>
                <w:rtl w:val="0"/>
              </w:rPr>
              <w:t xml:space="preserve">Position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4">
            <w:pPr>
              <w:widowControl w:val="0"/>
              <w:spacing w:after="40" w:before="40" w:line="276" w:lineRule="auto"/>
              <w:ind w:left="90" w:firstLine="0"/>
              <w:jc w:val="center"/>
              <w:rPr>
                <w:rFonts w:ascii="Times New Roman" w:cs="Times New Roman" w:eastAsia="Times New Roman" w:hAnsi="Times New Roman"/>
                <w:color w:val="000000"/>
                <w:sz w:val="26"/>
                <w:szCs w:val="26"/>
              </w:rPr>
            </w:pPr>
            <w:r>
              <w:rPr>
                <w:rFonts w:ascii="Arial" w:hAnsi="Arial"/>
                <w:b w:val="0"/>
                <w:color w:val="222222"/>
                <w:sz w:val="2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5">
            <w:pPr>
              <w:widowControl w:val="0"/>
              <w:spacing w:after="40" w:before="40" w:line="276" w:lineRule="auto"/>
              <w:ind w:left="360"/>
              <w:jc w:val="center"/>
              <w:rPr>
                <w:rFonts w:ascii="Times New Roman" w:cs="Times New Roman" w:eastAsia="Times New Roman" w:hAnsi="Times New Roman"/>
                <w:color w:val="000000"/>
                <w:sz w:val="26"/>
                <w:szCs w:val="26"/>
              </w:rPr>
            </w:pPr>
            <w:r>
              <w:rPr>
                <w:rFonts w:ascii="Arial" w:hAnsi="Arial"/>
                <w:b w:val="0"/>
                <w:color w:val="222222"/>
                <w:sz w:val="20"/>
              </w:rPr>
              <w:t>1.0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6">
            <w:pPr>
              <w:widowControl w:val="0"/>
              <w:spacing w:after="40" w:before="40" w:line="276" w:lineRule="auto"/>
              <w:ind w:left="360"/>
              <w:jc w:val="center"/>
              <w:rPr>
                <w:rFonts w:ascii="Times New Roman" w:cs="Times New Roman" w:eastAsia="Times New Roman" w:hAnsi="Times New Roman"/>
                <w:color w:val="000000"/>
                <w:sz w:val="26"/>
                <w:szCs w:val="26"/>
              </w:rPr>
            </w:pPr>
            <w:r>
              <w:rPr>
                <w:rFonts w:ascii="Arial" w:hAnsi="Arial"/>
                <w:b w:val="0"/>
                <w:color w:val="222222"/>
                <w:sz w:val="2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7">
            <w:pPr>
              <w:widowControl w:val="0"/>
              <w:spacing w:after="40" w:before="40" w:line="276" w:lineRule="auto"/>
              <w:ind w:left="360"/>
              <w:jc w:val="center"/>
              <w:rPr>
                <w:rFonts w:ascii="Times New Roman" w:cs="Times New Roman" w:eastAsia="Times New Roman" w:hAnsi="Times New Roman"/>
                <w:color w:val="000000"/>
                <w:sz w:val="26"/>
                <w:szCs w:val="26"/>
              </w:rPr>
            </w:pPr>
            <w:r>
              <w:rPr>
                <w:rFonts w:ascii="Arial" w:hAnsi="Arial"/>
                <w:b w:val="0"/>
                <w:color w:val="222222"/>
                <w:sz w:val="20"/>
              </w:rPr>
            </w:r>
          </w:p>
        </w:tc>
      </w:tr>
    </w:tbl>
    <w:p w:rsidR="00000000" w:rsidDel="00000000" w:rsidP="00000000" w:rsidRDefault="00000000" w:rsidRPr="00000000" w14:paraId="00000028">
      <w:pPr>
        <w:spacing w:line="276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spacing w:after="300" w:line="276" w:lineRule="auto"/>
        <w:rPr>
          <w:rFonts w:ascii="Times New Roman" w:cs="Times New Roman" w:eastAsia="Times New Roman" w:hAnsi="Times New Roman"/>
          <w:b w:val="1"/>
          <w:bCs w:val="1"/>
          <w:color w:val="1a2b4a"/>
          <w:sz w:val="34"/>
          <w:szCs w:val="3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a2b4a"/>
          <w:sz w:val="34"/>
          <w:szCs w:val="34"/>
          <w:rtl w:val="0"/>
        </w:rPr>
        <w:t xml:space="preserve">Table of Contents</w:t>
      </w:r>
    </w:p>
    <w:p>
      <w:pPr>
        <w:tabs>
          <w:tab w:pos="9180" w:val="right" w:leader="dot"/>
        </w:tabs>
        <w:spacing w:after="40" w:before="0"/>
        <w:ind w:left="0"/>
      </w:pPr>
      <w:r>
        <w:rPr>
          <w:rFonts w:ascii="Arial" w:hAnsi="Arial"/>
          <w:b/>
          <w:color w:val="1A2B4A"/>
          <w:sz w:val="22"/>
        </w:rPr>
        <w:t>1. Project Overview</w:t>
      </w:r>
      <w:r>
        <w:rPr>
          <w:rFonts w:ascii="Arial" w:hAnsi="Arial"/>
          <w:b/>
          <w:color w:val="333333"/>
          <w:sz w:val="22"/>
        </w:rPr>
        <w:tab/>
        <w:t>4</w:t>
      </w:r>
    </w:p>
    <w:p>
      <w:pPr>
        <w:tabs>
          <w:tab w:pos="9180" w:val="right" w:leader="dot"/>
        </w:tabs>
        <w:spacing w:after="40" w:before="0"/>
        <w:ind w:left="300"/>
      </w:pPr>
      <w:r>
        <w:rPr>
          <w:rFonts w:ascii="Arial" w:hAnsi="Arial"/>
          <w:b w:val="0"/>
          <w:color w:val="333333"/>
          <w:sz w:val="20"/>
        </w:rPr>
        <w:t>Current State — Directly Verified</w:t>
      </w:r>
      <w:r>
        <w:rPr>
          <w:rFonts w:ascii="Arial" w:hAnsi="Arial"/>
          <w:b w:val="0"/>
          <w:color w:val="333333"/>
          <w:sz w:val="20"/>
        </w:rPr>
        <w:tab/>
        <w:t>4</w:t>
      </w:r>
    </w:p>
    <w:p>
      <w:pPr>
        <w:tabs>
          <w:tab w:pos="9180" w:val="right" w:leader="dot"/>
        </w:tabs>
        <w:spacing w:after="40" w:before="0"/>
        <w:ind w:left="300"/>
      </w:pPr>
      <w:r>
        <w:rPr>
          <w:rFonts w:ascii="Arial" w:hAnsi="Arial"/>
          <w:b w:val="0"/>
          <w:color w:val="333333"/>
          <w:sz w:val="20"/>
        </w:rPr>
        <w:t>Solution Value Proposition</w:t>
      </w:r>
      <w:r>
        <w:rPr>
          <w:rFonts w:ascii="Arial" w:hAnsi="Arial"/>
          <w:b w:val="0"/>
          <w:color w:val="333333"/>
          <w:sz w:val="20"/>
        </w:rPr>
        <w:tab/>
        <w:t>4</w:t>
      </w:r>
    </w:p>
    <w:p>
      <w:pPr>
        <w:tabs>
          <w:tab w:pos="9180" w:val="right" w:leader="dot"/>
        </w:tabs>
        <w:spacing w:after="40" w:before="0"/>
        <w:ind w:left="300"/>
      </w:pPr>
      <w:r>
        <w:rPr>
          <w:rFonts w:ascii="Arial" w:hAnsi="Arial"/>
          <w:b w:val="0"/>
          <w:color w:val="333333"/>
          <w:sz w:val="20"/>
        </w:rPr>
        <w:t>Project Objectives</w:t>
      </w:r>
      <w:r>
        <w:rPr>
          <w:rFonts w:ascii="Arial" w:hAnsi="Arial"/>
          <w:b w:val="0"/>
          <w:color w:val="333333"/>
          <w:sz w:val="20"/>
        </w:rPr>
        <w:tab/>
        <w:t>4</w:t>
      </w:r>
    </w:p>
    <w:p>
      <w:pPr>
        <w:tabs>
          <w:tab w:pos="9180" w:val="right" w:leader="dot"/>
        </w:tabs>
        <w:spacing w:after="40" w:before="0"/>
        <w:ind w:left="0"/>
      </w:pPr>
      <w:r>
        <w:rPr>
          <w:rFonts w:ascii="Arial" w:hAnsi="Arial"/>
          <w:b/>
          <w:color w:val="1A2B4A"/>
          <w:sz w:val="22"/>
        </w:rPr>
        <w:t>2. Project Scope</w:t>
      </w:r>
      <w:r>
        <w:rPr>
          <w:rFonts w:ascii="Arial" w:hAnsi="Arial"/>
          <w:b/>
          <w:color w:val="333333"/>
          <w:sz w:val="22"/>
        </w:rPr>
        <w:tab/>
        <w:t>5</w:t>
      </w:r>
    </w:p>
    <w:p>
      <w:pPr>
        <w:tabs>
          <w:tab w:pos="9180" w:val="right" w:leader="dot"/>
        </w:tabs>
        <w:spacing w:after="40" w:before="0"/>
        <w:ind w:left="300"/>
      </w:pPr>
      <w:r>
        <w:rPr>
          <w:rFonts w:ascii="Arial" w:hAnsi="Arial"/>
          <w:b w:val="0"/>
          <w:color w:val="333333"/>
          <w:sz w:val="20"/>
        </w:rPr>
        <w:t>2.1 In-Scope Items</w:t>
      </w:r>
      <w:r>
        <w:rPr>
          <w:rFonts w:ascii="Arial" w:hAnsi="Arial"/>
          <w:b w:val="0"/>
          <w:color w:val="333333"/>
          <w:sz w:val="20"/>
        </w:rPr>
        <w:tab/>
        <w:t>5</w:t>
      </w:r>
    </w:p>
    <w:p>
      <w:pPr>
        <w:tabs>
          <w:tab w:pos="9180" w:val="right" w:leader="dot"/>
        </w:tabs>
        <w:spacing w:after="40" w:before="0"/>
        <w:ind w:left="620"/>
      </w:pPr>
      <w:r>
        <w:rPr>
          <w:rFonts w:ascii="Arial" w:hAnsi="Arial"/>
          <w:b w:val="0"/>
          <w:color w:val="333333"/>
          <w:sz w:val="20"/>
        </w:rPr>
        <w:t>2.1.1 Identity, Authentication &amp; Access</w:t>
      </w:r>
      <w:r>
        <w:rPr>
          <w:rFonts w:ascii="Arial" w:hAnsi="Arial"/>
          <w:b w:val="0"/>
          <w:color w:val="333333"/>
          <w:sz w:val="20"/>
        </w:rPr>
        <w:tab/>
        <w:t>5</w:t>
      </w:r>
    </w:p>
    <w:p>
      <w:pPr>
        <w:tabs>
          <w:tab w:pos="9180" w:val="right" w:leader="dot"/>
        </w:tabs>
        <w:spacing w:after="40" w:before="0"/>
        <w:ind w:left="620"/>
      </w:pPr>
      <w:r>
        <w:rPr>
          <w:rFonts w:ascii="Arial" w:hAnsi="Arial"/>
          <w:b w:val="0"/>
          <w:color w:val="333333"/>
          <w:sz w:val="20"/>
        </w:rPr>
        <w:t>2.1.2 Brand/School Portal</w:t>
      </w:r>
      <w:r>
        <w:rPr>
          <w:rFonts w:ascii="Arial" w:hAnsi="Arial"/>
          <w:b w:val="0"/>
          <w:color w:val="333333"/>
          <w:sz w:val="20"/>
        </w:rPr>
        <w:tab/>
        <w:t>5</w:t>
      </w:r>
    </w:p>
    <w:p>
      <w:pPr>
        <w:tabs>
          <w:tab w:pos="9180" w:val="right" w:leader="dot"/>
        </w:tabs>
        <w:spacing w:after="40" w:before="0"/>
        <w:ind w:left="620"/>
      </w:pPr>
      <w:r>
        <w:rPr>
          <w:rFonts w:ascii="Arial" w:hAnsi="Arial"/>
          <w:b w:val="0"/>
          <w:color w:val="333333"/>
          <w:sz w:val="20"/>
        </w:rPr>
        <w:t>2.1.3 Candidate/Teacher Portal</w:t>
      </w:r>
      <w:r>
        <w:rPr>
          <w:rFonts w:ascii="Arial" w:hAnsi="Arial"/>
          <w:b w:val="0"/>
          <w:color w:val="333333"/>
          <w:sz w:val="20"/>
        </w:rPr>
        <w:tab/>
        <w:t>5</w:t>
      </w:r>
    </w:p>
    <w:p>
      <w:pPr>
        <w:tabs>
          <w:tab w:pos="9180" w:val="right" w:leader="dot"/>
        </w:tabs>
        <w:spacing w:after="40" w:before="0"/>
        <w:ind w:left="620"/>
      </w:pPr>
      <w:r>
        <w:rPr>
          <w:rFonts w:ascii="Arial" w:hAnsi="Arial"/>
          <w:b w:val="0"/>
          <w:color w:val="333333"/>
          <w:sz w:val="20"/>
        </w:rPr>
        <w:t>2.1.4 Adverts &amp; Job Lifecycle</w:t>
      </w:r>
      <w:r>
        <w:rPr>
          <w:rFonts w:ascii="Arial" w:hAnsi="Arial"/>
          <w:b w:val="0"/>
          <w:color w:val="333333"/>
          <w:sz w:val="20"/>
        </w:rPr>
        <w:tab/>
        <w:t>5</w:t>
      </w:r>
    </w:p>
    <w:p>
      <w:pPr>
        <w:tabs>
          <w:tab w:pos="9180" w:val="right" w:leader="dot"/>
        </w:tabs>
        <w:spacing w:after="40" w:before="0"/>
        <w:ind w:left="620"/>
      </w:pPr>
      <w:r>
        <w:rPr>
          <w:rFonts w:ascii="Arial" w:hAnsi="Arial"/>
          <w:b w:val="0"/>
          <w:color w:val="333333"/>
          <w:sz w:val="20"/>
        </w:rPr>
        <w:t>2.1.5 Applications, Matching &amp; Booking (Core Loop)</w:t>
      </w:r>
      <w:r>
        <w:rPr>
          <w:rFonts w:ascii="Arial" w:hAnsi="Arial"/>
          <w:b w:val="0"/>
          <w:color w:val="333333"/>
          <w:sz w:val="20"/>
        </w:rPr>
        <w:tab/>
        <w:t>5</w:t>
      </w:r>
    </w:p>
    <w:p>
      <w:pPr>
        <w:tabs>
          <w:tab w:pos="9180" w:val="right" w:leader="dot"/>
        </w:tabs>
        <w:spacing w:after="40" w:before="0"/>
        <w:ind w:left="620"/>
      </w:pPr>
      <w:r>
        <w:rPr>
          <w:rFonts w:ascii="Arial" w:hAnsi="Arial"/>
          <w:b w:val="0"/>
          <w:color w:val="333333"/>
          <w:sz w:val="20"/>
        </w:rPr>
        <w:t>2.1.6 Compliance &amp; Right-to-Work</w:t>
      </w:r>
      <w:r>
        <w:rPr>
          <w:rFonts w:ascii="Arial" w:hAnsi="Arial"/>
          <w:b w:val="0"/>
          <w:color w:val="333333"/>
          <w:sz w:val="20"/>
        </w:rPr>
        <w:tab/>
        <w:t>5</w:t>
      </w:r>
    </w:p>
    <w:p>
      <w:pPr>
        <w:tabs>
          <w:tab w:pos="9180" w:val="right" w:leader="dot"/>
        </w:tabs>
        <w:spacing w:after="40" w:before="0"/>
        <w:ind w:left="620"/>
      </w:pPr>
      <w:r>
        <w:rPr>
          <w:rFonts w:ascii="Arial" w:hAnsi="Arial"/>
          <w:b w:val="0"/>
          <w:color w:val="333333"/>
          <w:sz w:val="20"/>
        </w:rPr>
        <w:t>2.1.7 Timesheets &amp; Attendance</w:t>
      </w:r>
      <w:r>
        <w:rPr>
          <w:rFonts w:ascii="Arial" w:hAnsi="Arial"/>
          <w:b w:val="0"/>
          <w:color w:val="333333"/>
          <w:sz w:val="20"/>
        </w:rPr>
        <w:tab/>
        <w:t>5</w:t>
      </w:r>
    </w:p>
    <w:p>
      <w:pPr>
        <w:tabs>
          <w:tab w:pos="9180" w:val="right" w:leader="dot"/>
        </w:tabs>
        <w:spacing w:after="40" w:before="0"/>
        <w:ind w:left="620"/>
      </w:pPr>
      <w:r>
        <w:rPr>
          <w:rFonts w:ascii="Arial" w:hAnsi="Arial"/>
          <w:b w:val="0"/>
          <w:color w:val="333333"/>
          <w:sz w:val="20"/>
        </w:rPr>
        <w:t>2.1.8 Billing (Invoice / Payslip)</w:t>
      </w:r>
      <w:r>
        <w:rPr>
          <w:rFonts w:ascii="Arial" w:hAnsi="Arial"/>
          <w:b w:val="0"/>
          <w:color w:val="333333"/>
          <w:sz w:val="20"/>
        </w:rPr>
        <w:tab/>
        <w:t>5</w:t>
      </w:r>
    </w:p>
    <w:p>
      <w:pPr>
        <w:tabs>
          <w:tab w:pos="9180" w:val="right" w:leader="dot"/>
        </w:tabs>
        <w:spacing w:after="40" w:before="0"/>
        <w:ind w:left="620"/>
      </w:pPr>
      <w:r>
        <w:rPr>
          <w:rFonts w:ascii="Arial" w:hAnsi="Arial"/>
          <w:b w:val="0"/>
          <w:color w:val="333333"/>
          <w:sz w:val="20"/>
        </w:rPr>
        <w:t>2.1.9 Notifications &amp; Communications</w:t>
      </w:r>
      <w:r>
        <w:rPr>
          <w:rFonts w:ascii="Arial" w:hAnsi="Arial"/>
          <w:b w:val="0"/>
          <w:color w:val="333333"/>
          <w:sz w:val="20"/>
        </w:rPr>
        <w:tab/>
        <w:t>5</w:t>
      </w:r>
    </w:p>
    <w:p>
      <w:pPr>
        <w:tabs>
          <w:tab w:pos="9180" w:val="right" w:leader="dot"/>
        </w:tabs>
        <w:spacing w:after="40" w:before="0"/>
        <w:ind w:left="620"/>
      </w:pPr>
      <w:r>
        <w:rPr>
          <w:rFonts w:ascii="Arial" w:hAnsi="Arial"/>
          <w:b w:val="0"/>
          <w:color w:val="333333"/>
          <w:sz w:val="20"/>
        </w:rPr>
        <w:t>2.1.10 Multi-Tenancy &amp; Non-Functional</w:t>
      </w:r>
      <w:r>
        <w:rPr>
          <w:rFonts w:ascii="Arial" w:hAnsi="Arial"/>
          <w:b w:val="0"/>
          <w:color w:val="333333"/>
          <w:sz w:val="20"/>
        </w:rPr>
        <w:tab/>
        <w:t>6</w:t>
      </w:r>
    </w:p>
    <w:p>
      <w:pPr>
        <w:tabs>
          <w:tab w:pos="9180" w:val="right" w:leader="dot"/>
        </w:tabs>
        <w:spacing w:after="40" w:before="0"/>
        <w:ind w:left="620"/>
      </w:pPr>
      <w:r>
        <w:rPr>
          <w:rFonts w:ascii="Arial" w:hAnsi="Arial"/>
          <w:b w:val="0"/>
          <w:color w:val="333333"/>
          <w:sz w:val="20"/>
        </w:rPr>
        <w:t>2.1.11 Tranche 2 — Automation, Full Yedi &amp; Polish</w:t>
      </w:r>
      <w:r>
        <w:rPr>
          <w:rFonts w:ascii="Arial" w:hAnsi="Arial"/>
          <w:b w:val="0"/>
          <w:color w:val="333333"/>
          <w:sz w:val="20"/>
        </w:rPr>
        <w:tab/>
        <w:t>6</w:t>
      </w:r>
    </w:p>
    <w:p>
      <w:pPr>
        <w:tabs>
          <w:tab w:pos="9180" w:val="right" w:leader="dot"/>
        </w:tabs>
        <w:spacing w:after="40" w:before="0"/>
        <w:ind w:left="300"/>
      </w:pPr>
      <w:r>
        <w:rPr>
          <w:rFonts w:ascii="Arial" w:hAnsi="Arial"/>
          <w:b w:val="0"/>
          <w:color w:val="333333"/>
          <w:sz w:val="20"/>
        </w:rPr>
        <w:t>2.2 Out-of-Scope Items</w:t>
      </w:r>
      <w:r>
        <w:rPr>
          <w:rFonts w:ascii="Arial" w:hAnsi="Arial"/>
          <w:b w:val="0"/>
          <w:color w:val="333333"/>
          <w:sz w:val="20"/>
        </w:rPr>
        <w:tab/>
        <w:t>6</w:t>
      </w:r>
    </w:p>
    <w:p>
      <w:pPr>
        <w:tabs>
          <w:tab w:pos="9180" w:val="right" w:leader="dot"/>
        </w:tabs>
        <w:spacing w:after="40" w:before="0"/>
        <w:ind w:left="300"/>
      </w:pPr>
      <w:r>
        <w:rPr>
          <w:rFonts w:ascii="Arial" w:hAnsi="Arial"/>
          <w:b w:val="0"/>
          <w:color w:val="333333"/>
          <w:sz w:val="20"/>
        </w:rPr>
        <w:t>2.3 Dependencies and Assumptions</w:t>
      </w:r>
      <w:r>
        <w:rPr>
          <w:rFonts w:ascii="Arial" w:hAnsi="Arial"/>
          <w:b w:val="0"/>
          <w:color w:val="333333"/>
          <w:sz w:val="20"/>
        </w:rPr>
        <w:tab/>
        <w:t>6</w:t>
      </w:r>
    </w:p>
    <w:p>
      <w:pPr>
        <w:tabs>
          <w:tab w:pos="9180" w:val="right" w:leader="dot"/>
        </w:tabs>
        <w:spacing w:after="40" w:before="0"/>
        <w:ind w:left="0"/>
      </w:pPr>
      <w:r>
        <w:rPr>
          <w:rFonts w:ascii="Arial" w:hAnsi="Arial"/>
          <w:b/>
          <w:color w:val="1A2B4A"/>
          <w:sz w:val="22"/>
        </w:rPr>
        <w:t>3. Solution Approach</w:t>
      </w:r>
      <w:r>
        <w:rPr>
          <w:rFonts w:ascii="Arial" w:hAnsi="Arial"/>
          <w:b/>
          <w:color w:val="333333"/>
          <w:sz w:val="22"/>
        </w:rPr>
        <w:tab/>
        <w:t>7</w:t>
      </w:r>
    </w:p>
    <w:p>
      <w:pPr>
        <w:tabs>
          <w:tab w:pos="9180" w:val="right" w:leader="dot"/>
        </w:tabs>
        <w:spacing w:after="40" w:before="0"/>
        <w:ind w:left="300"/>
      </w:pPr>
      <w:r>
        <w:rPr>
          <w:rFonts w:ascii="Arial" w:hAnsi="Arial"/>
          <w:b w:val="0"/>
          <w:color w:val="333333"/>
          <w:sz w:val="20"/>
        </w:rPr>
        <w:t>3.1 Delivery Methodology</w:t>
      </w:r>
      <w:r>
        <w:rPr>
          <w:rFonts w:ascii="Arial" w:hAnsi="Arial"/>
          <w:b w:val="0"/>
          <w:color w:val="333333"/>
          <w:sz w:val="20"/>
        </w:rPr>
        <w:tab/>
        <w:t>7</w:t>
      </w:r>
    </w:p>
    <w:p>
      <w:pPr>
        <w:tabs>
          <w:tab w:pos="9180" w:val="right" w:leader="dot"/>
        </w:tabs>
        <w:spacing w:after="40" w:before="0"/>
        <w:ind w:left="300"/>
      </w:pPr>
      <w:r>
        <w:rPr>
          <w:rFonts w:ascii="Arial" w:hAnsi="Arial"/>
          <w:b w:val="0"/>
          <w:color w:val="333333"/>
          <w:sz w:val="20"/>
        </w:rPr>
        <w:t>3.2 Communication &amp; Collaboration</w:t>
      </w:r>
      <w:r>
        <w:rPr>
          <w:rFonts w:ascii="Arial" w:hAnsi="Arial"/>
          <w:b w:val="0"/>
          <w:color w:val="333333"/>
          <w:sz w:val="20"/>
        </w:rPr>
        <w:tab/>
        <w:t>7</w:t>
      </w:r>
    </w:p>
    <w:p>
      <w:pPr>
        <w:tabs>
          <w:tab w:pos="9180" w:val="right" w:leader="dot"/>
        </w:tabs>
        <w:spacing w:after="40" w:before="0"/>
        <w:ind w:left="300"/>
      </w:pPr>
      <w:r>
        <w:rPr>
          <w:rFonts w:ascii="Arial" w:hAnsi="Arial"/>
          <w:b w:val="0"/>
          <w:color w:val="333333"/>
          <w:sz w:val="20"/>
        </w:rPr>
        <w:t>3.3 Quality Assurance Strategy</w:t>
      </w:r>
      <w:r>
        <w:rPr>
          <w:rFonts w:ascii="Arial" w:hAnsi="Arial"/>
          <w:b w:val="0"/>
          <w:color w:val="333333"/>
          <w:sz w:val="20"/>
        </w:rPr>
        <w:tab/>
        <w:t>7</w:t>
      </w:r>
    </w:p>
    <w:p>
      <w:pPr>
        <w:tabs>
          <w:tab w:pos="9180" w:val="right" w:leader="dot"/>
        </w:tabs>
        <w:spacing w:after="40" w:before="0"/>
        <w:ind w:left="0"/>
      </w:pPr>
      <w:r>
        <w:rPr>
          <w:rFonts w:ascii="Arial" w:hAnsi="Arial"/>
          <w:b/>
          <w:color w:val="1A2B4A"/>
          <w:sz w:val="22"/>
        </w:rPr>
        <w:t>4. Technical Requirements</w:t>
      </w:r>
      <w:r>
        <w:rPr>
          <w:rFonts w:ascii="Arial" w:hAnsi="Arial"/>
          <w:b/>
          <w:color w:val="333333"/>
          <w:sz w:val="22"/>
        </w:rPr>
        <w:tab/>
        <w:t>8</w:t>
      </w:r>
    </w:p>
    <w:p>
      <w:pPr>
        <w:tabs>
          <w:tab w:pos="9180" w:val="right" w:leader="dot"/>
        </w:tabs>
        <w:spacing w:after="40" w:before="0"/>
        <w:ind w:left="300"/>
      </w:pPr>
      <w:r>
        <w:rPr>
          <w:rFonts w:ascii="Arial" w:hAnsi="Arial"/>
          <w:b w:val="0"/>
          <w:color w:val="333333"/>
          <w:sz w:val="20"/>
        </w:rPr>
        <w:t>4.1 Core Architectural Principles</w:t>
      </w:r>
      <w:r>
        <w:rPr>
          <w:rFonts w:ascii="Arial" w:hAnsi="Arial"/>
          <w:b w:val="0"/>
          <w:color w:val="333333"/>
          <w:sz w:val="20"/>
        </w:rPr>
        <w:tab/>
        <w:t>8</w:t>
      </w:r>
    </w:p>
    <w:p>
      <w:pPr>
        <w:tabs>
          <w:tab w:pos="9180" w:val="right" w:leader="dot"/>
        </w:tabs>
        <w:spacing w:after="40" w:before="0"/>
        <w:ind w:left="300"/>
      </w:pPr>
      <w:r>
        <w:rPr>
          <w:rFonts w:ascii="Arial" w:hAnsi="Arial"/>
          <w:b w:val="0"/>
          <w:color w:val="333333"/>
          <w:sz w:val="20"/>
        </w:rPr>
        <w:t>4.2 System Architecture</w:t>
      </w:r>
      <w:r>
        <w:rPr>
          <w:rFonts w:ascii="Arial" w:hAnsi="Arial"/>
          <w:b w:val="0"/>
          <w:color w:val="333333"/>
          <w:sz w:val="20"/>
        </w:rPr>
        <w:tab/>
        <w:t>8</w:t>
      </w:r>
    </w:p>
    <w:p>
      <w:pPr>
        <w:tabs>
          <w:tab w:pos="9180" w:val="right" w:leader="dot"/>
        </w:tabs>
        <w:spacing w:after="40" w:before="0"/>
        <w:ind w:left="300"/>
      </w:pPr>
      <w:r>
        <w:rPr>
          <w:rFonts w:ascii="Arial" w:hAnsi="Arial"/>
          <w:b w:val="0"/>
          <w:color w:val="333333"/>
          <w:sz w:val="20"/>
        </w:rPr>
        <w:t>4.3 Architecture Options — Shared vs Separate</w:t>
      </w:r>
      <w:r>
        <w:rPr>
          <w:rFonts w:ascii="Arial" w:hAnsi="Arial"/>
          <w:b w:val="0"/>
          <w:color w:val="333333"/>
          <w:sz w:val="20"/>
        </w:rPr>
        <w:tab/>
        <w:t>8</w:t>
      </w:r>
    </w:p>
    <w:p>
      <w:pPr>
        <w:tabs>
          <w:tab w:pos="9180" w:val="right" w:leader="dot"/>
        </w:tabs>
        <w:spacing w:after="40" w:before="0"/>
        <w:ind w:left="300"/>
      </w:pPr>
      <w:r>
        <w:rPr>
          <w:rFonts w:ascii="Arial" w:hAnsi="Arial"/>
          <w:b w:val="0"/>
          <w:color w:val="333333"/>
          <w:sz w:val="20"/>
        </w:rPr>
        <w:t>4.4 Technical Configuration</w:t>
      </w:r>
      <w:r>
        <w:rPr>
          <w:rFonts w:ascii="Arial" w:hAnsi="Arial"/>
          <w:b w:val="0"/>
          <w:color w:val="333333"/>
          <w:sz w:val="20"/>
        </w:rPr>
        <w:tab/>
        <w:t>8</w:t>
      </w:r>
    </w:p>
    <w:p>
      <w:pPr>
        <w:tabs>
          <w:tab w:pos="9180" w:val="right" w:leader="dot"/>
        </w:tabs>
        <w:spacing w:after="40" w:before="0"/>
        <w:ind w:left="0"/>
      </w:pPr>
      <w:r>
        <w:rPr>
          <w:rFonts w:ascii="Arial" w:hAnsi="Arial"/>
          <w:b/>
          <w:color w:val="1A2B4A"/>
          <w:sz w:val="22"/>
        </w:rPr>
        <w:t>5. Master Schedule</w:t>
      </w:r>
      <w:r>
        <w:rPr>
          <w:rFonts w:ascii="Arial" w:hAnsi="Arial"/>
          <w:b/>
          <w:color w:val="333333"/>
          <w:sz w:val="22"/>
        </w:rPr>
        <w:tab/>
        <w:t>9</w:t>
      </w:r>
    </w:p>
    <w:p>
      <w:pPr>
        <w:tabs>
          <w:tab w:pos="9180" w:val="right" w:leader="dot"/>
        </w:tabs>
        <w:spacing w:after="40" w:before="0"/>
        <w:ind w:left="300"/>
      </w:pPr>
      <w:r>
        <w:rPr>
          <w:rFonts w:ascii="Arial" w:hAnsi="Arial"/>
          <w:b w:val="0"/>
          <w:color w:val="333333"/>
          <w:sz w:val="20"/>
        </w:rPr>
        <w:t>5.1 Master Schedule Overview</w:t>
      </w:r>
      <w:r>
        <w:rPr>
          <w:rFonts w:ascii="Arial" w:hAnsi="Arial"/>
          <w:b w:val="0"/>
          <w:color w:val="333333"/>
          <w:sz w:val="20"/>
        </w:rPr>
        <w:tab/>
        <w:t>9</w:t>
      </w:r>
    </w:p>
    <w:p>
      <w:pPr>
        <w:tabs>
          <w:tab w:pos="9180" w:val="right" w:leader="dot"/>
        </w:tabs>
        <w:spacing w:after="40" w:before="0"/>
        <w:ind w:left="300"/>
      </w:pPr>
      <w:r>
        <w:rPr>
          <w:rFonts w:ascii="Arial" w:hAnsi="Arial"/>
          <w:b w:val="0"/>
          <w:color w:val="333333"/>
          <w:sz w:val="20"/>
        </w:rPr>
        <w:t>5.2 Tranche 1 (MVP) Sprint Breakdown</w:t>
      </w:r>
      <w:r>
        <w:rPr>
          <w:rFonts w:ascii="Arial" w:hAnsi="Arial"/>
          <w:b w:val="0"/>
          <w:color w:val="333333"/>
          <w:sz w:val="20"/>
        </w:rPr>
        <w:tab/>
        <w:t>9</w:t>
      </w:r>
    </w:p>
    <w:p>
      <w:pPr>
        <w:tabs>
          <w:tab w:pos="9180" w:val="right" w:leader="dot"/>
        </w:tabs>
        <w:spacing w:after="40" w:before="0"/>
        <w:ind w:left="300"/>
      </w:pPr>
      <w:r>
        <w:rPr>
          <w:rFonts w:ascii="Arial" w:hAnsi="Arial"/>
          <w:b w:val="0"/>
          <w:color w:val="333333"/>
          <w:sz w:val="20"/>
        </w:rPr>
        <w:t>5.3 Tranche 2 (Enhancement) Sprint Breakdown</w:t>
      </w:r>
      <w:r>
        <w:rPr>
          <w:rFonts w:ascii="Arial" w:hAnsi="Arial"/>
          <w:b w:val="0"/>
          <w:color w:val="333333"/>
          <w:sz w:val="20"/>
        </w:rPr>
        <w:tab/>
        <w:t>10</w:t>
      </w:r>
    </w:p>
    <w:p>
      <w:pPr>
        <w:tabs>
          <w:tab w:pos="9180" w:val="right" w:leader="dot"/>
        </w:tabs>
        <w:spacing w:after="40" w:before="0"/>
        <w:ind w:left="0"/>
      </w:pPr>
      <w:r>
        <w:rPr>
          <w:rFonts w:ascii="Arial" w:hAnsi="Arial"/>
          <w:b/>
          <w:color w:val="1A2B4A"/>
          <w:sz w:val="22"/>
        </w:rPr>
        <w:t>6. Work Breakdown Structure &amp; Quotation</w:t>
      </w:r>
      <w:r>
        <w:rPr>
          <w:rFonts w:ascii="Arial" w:hAnsi="Arial"/>
          <w:b/>
          <w:color w:val="333333"/>
          <w:sz w:val="22"/>
        </w:rPr>
        <w:tab/>
        <w:t>10</w:t>
      </w:r>
    </w:p>
    <w:p>
      <w:pPr>
        <w:tabs>
          <w:tab w:pos="9180" w:val="right" w:leader="dot"/>
        </w:tabs>
        <w:spacing w:after="40" w:before="0"/>
        <w:ind w:left="300"/>
      </w:pPr>
      <w:r>
        <w:rPr>
          <w:rFonts w:ascii="Arial" w:hAnsi="Arial"/>
          <w:b w:val="0"/>
          <w:color w:val="333333"/>
          <w:sz w:val="20"/>
        </w:rPr>
        <w:t>6.1 Quotation Summary</w:t>
      </w:r>
      <w:r>
        <w:rPr>
          <w:rFonts w:ascii="Arial" w:hAnsi="Arial"/>
          <w:b w:val="0"/>
          <w:color w:val="333333"/>
          <w:sz w:val="20"/>
        </w:rPr>
        <w:tab/>
        <w:t>10</w:t>
      </w:r>
    </w:p>
    <w:p>
      <w:pPr>
        <w:tabs>
          <w:tab w:pos="9180" w:val="right" w:leader="dot"/>
        </w:tabs>
        <w:spacing w:after="40" w:before="0"/>
        <w:ind w:left="300"/>
      </w:pPr>
      <w:r>
        <w:rPr>
          <w:rFonts w:ascii="Arial" w:hAnsi="Arial"/>
          <w:b w:val="0"/>
          <w:color w:val="333333"/>
          <w:sz w:val="20"/>
        </w:rPr>
        <w:t>6.2 Work Breakdown Structure (Effort by Domain)</w:t>
      </w:r>
      <w:r>
        <w:rPr>
          <w:rFonts w:ascii="Arial" w:hAnsi="Arial"/>
          <w:b w:val="0"/>
          <w:color w:val="333333"/>
          <w:sz w:val="20"/>
        </w:rPr>
        <w:tab/>
        <w:t>11</w:t>
      </w:r>
    </w:p>
    <w:p>
      <w:pPr>
        <w:tabs>
          <w:tab w:pos="9180" w:val="right" w:leader="dot"/>
        </w:tabs>
        <w:spacing w:after="40" w:before="0"/>
        <w:ind w:left="300"/>
      </w:pPr>
      <w:r>
        <w:rPr>
          <w:rFonts w:ascii="Arial" w:hAnsi="Arial"/>
          <w:b w:val="0"/>
          <w:color w:val="333333"/>
          <w:sz w:val="20"/>
        </w:rPr>
        <w:t>6.3 Team Structure &amp; Cost Breakdown</w:t>
      </w:r>
      <w:r>
        <w:rPr>
          <w:rFonts w:ascii="Arial" w:hAnsi="Arial"/>
          <w:b w:val="0"/>
          <w:color w:val="333333"/>
          <w:sz w:val="20"/>
        </w:rPr>
        <w:tab/>
        <w:t>11</w:t>
      </w:r>
    </w:p>
    <w:p>
      <w:pPr>
        <w:tabs>
          <w:tab w:pos="9180" w:val="right" w:leader="dot"/>
        </w:tabs>
        <w:spacing w:after="40" w:before="0"/>
        <w:ind w:left="300"/>
      </w:pPr>
      <w:r>
        <w:rPr>
          <w:rFonts w:ascii="Arial" w:hAnsi="Arial"/>
          <w:b w:val="0"/>
          <w:color w:val="333333"/>
          <w:sz w:val="20"/>
        </w:rPr>
        <w:t>6.4 Payment Milestones</w:t>
      </w:r>
      <w:r>
        <w:rPr>
          <w:rFonts w:ascii="Arial" w:hAnsi="Arial"/>
          <w:b w:val="0"/>
          <w:color w:val="333333"/>
          <w:sz w:val="20"/>
        </w:rPr>
        <w:tab/>
        <w:t>12</w:t>
      </w:r>
    </w:p>
    <w:p>
      <w:pPr>
        <w:tabs>
          <w:tab w:pos="9180" w:val="right" w:leader="dot"/>
        </w:tabs>
        <w:spacing w:after="40" w:before="0"/>
        <w:ind w:left="0"/>
      </w:pPr>
      <w:r>
        <w:rPr>
          <w:rFonts w:ascii="Arial" w:hAnsi="Arial"/>
          <w:b/>
          <w:color w:val="1A2B4A"/>
          <w:sz w:val="22"/>
        </w:rPr>
        <w:t>7. Future Enhancements Roadmap</w:t>
      </w:r>
      <w:r>
        <w:rPr>
          <w:rFonts w:ascii="Arial" w:hAnsi="Arial"/>
          <w:b/>
          <w:color w:val="333333"/>
          <w:sz w:val="22"/>
        </w:rPr>
        <w:tab/>
        <w:t>13</w:t>
      </w:r>
    </w:p>
    <w:p>
      <w:pPr>
        <w:tabs>
          <w:tab w:pos="9180" w:val="right" w:leader="dot"/>
        </w:tabs>
        <w:spacing w:after="40" w:before="0"/>
        <w:ind w:left="0"/>
      </w:pPr>
      <w:r>
        <w:rPr>
          <w:rFonts w:ascii="Arial" w:hAnsi="Arial"/>
          <w:b/>
          <w:color w:val="1A2B4A"/>
          <w:sz w:val="22"/>
        </w:rPr>
        <w:t>8. Q&amp;A, Commercial Model &amp; Next Steps</w:t>
      </w:r>
      <w:r>
        <w:rPr>
          <w:rFonts w:ascii="Arial" w:hAnsi="Arial"/>
          <w:b/>
          <w:color w:val="333333"/>
          <w:sz w:val="22"/>
        </w:rPr>
        <w:tab/>
        <w:t>13</w:t>
      </w:r>
    </w:p>
    <w:p>
      <w:pPr>
        <w:tabs>
          <w:tab w:pos="9180" w:val="right" w:leader="dot"/>
        </w:tabs>
        <w:spacing w:after="40" w:before="0"/>
        <w:ind w:left="300"/>
      </w:pPr>
      <w:r>
        <w:rPr>
          <w:rFonts w:ascii="Arial" w:hAnsi="Arial"/>
          <w:b w:val="0"/>
          <w:color w:val="333333"/>
          <w:sz w:val="20"/>
        </w:rPr>
        <w:t>Next Steps</w:t>
      </w:r>
      <w:r>
        <w:rPr>
          <w:rFonts w:ascii="Arial" w:hAnsi="Arial"/>
          <w:b w:val="0"/>
          <w:color w:val="333333"/>
          <w:sz w:val="20"/>
        </w:rPr>
        <w:tab/>
        <w:t>14</w:t>
      </w:r>
    </w:p>
    <w:p>
      <w:pPr>
        <w:pStyle w:val="Heading1"/>
        <w:pageBreakBefore/>
      </w:pPr>
      <w:r>
        <w:t>1. Project Overview</w:t>
      </w:r>
    </w:p>
    <w:p>
      <w:pPr>
        <w:spacing w:after="120"/>
      </w:pPr>
      <w:r>
        <w:rPr>
          <w:rFonts w:ascii="Arial" w:hAnsi="Arial"/>
          <w:b w:val="0"/>
          <w:i w:val="0"/>
          <w:color w:val="222222"/>
          <w:sz w:val="22"/>
        </w:rPr>
        <w:t>Yedi and Tidal are a two-sided staffing platform — Yedi connects schools with teachers; Tidal connects brands with candidates — built on a Laravel + Filament admin panel. Sotatek proposes a "keep &amp; extend" programme (no rebuild) that turns the internal admin panel into a production, self-service, transacting product, delivered on a single shared multi-tenant foundation.</w:t>
      </w:r>
    </w:p>
    <w:p>
      <w:pPr>
        <w:spacing w:after="120"/>
      </w:pPr>
      <w:r>
        <w:rPr>
          <w:rFonts w:ascii="Arial" w:hAnsi="Arial"/>
          <w:b w:val="0"/>
          <w:i/>
          <w:color w:val="222222"/>
          <w:sz w:val="22"/>
        </w:rPr>
        <w:t>Figures in this proposal are indicative estimates based on a direct, hands-on assessment of the live admin systems (black-box — without source-code access). They will be converted to a fixed price following a ~2-week Phase 0 audit.</w:t>
      </w:r>
    </w:p>
    <w:p>
      <w:pPr>
        <w:pStyle w:val="Heading2"/>
      </w:pPr>
      <w:r>
        <w:t>Current State — Directly Verified</w:t>
      </w:r>
    </w:p>
    <w:p>
      <w:pPr>
        <w:spacing w:after="120"/>
      </w:pPr>
      <w:r>
        <w:rPr>
          <w:rFonts w:ascii="Arial" w:hAnsi="Arial"/>
          <w:b w:val="0"/>
          <w:i w:val="0"/>
          <w:color w:val="222222"/>
          <w:sz w:val="22"/>
        </w:rPr>
        <w:t>We logged in and tested the live admin of both platforms (Tidal on 2026-06-29; Yedi + Tidal re-verification on 2026-07-03). The backbone is real and reusable — roughly a quarter of a full platform already exists:</w:t>
      </w:r>
    </w:p>
    <w:p>
      <w:pPr>
        <w:numPr>
          <w:ilvl w:val="0"/>
          <w:numId w:val="5"/>
        </w:numPr>
        <w:spacing w:after="60"/>
        <w:ind w:left="720" w:hanging="360"/>
      </w:pPr>
      <w:r>
        <w:rPr>
          <w:rFonts w:ascii="Arial" w:hAnsi="Arial"/>
          <w:b/>
          <w:i w:val="0"/>
          <w:color w:val="222222"/>
          <w:sz w:val="22"/>
        </w:rPr>
        <w:t>Rich data model:</w:t>
      </w:r>
      <w:r>
        <w:rPr>
          <w:rFonts w:ascii="Arial" w:hAnsi="Arial"/>
          <w:b w:val="0"/>
          <w:i w:val="0"/>
          <w:color w:val="222222"/>
          <w:sz w:val="22"/>
        </w:rPr>
        <w:t xml:space="preserve"> Adverts (rate, charge %, shift, address, docs), Candidates (4-tab profile, references, compliance status, ID/video/contract storage), Brands/Schools, and System settings.</w:t>
      </w:r>
    </w:p>
    <w:p>
      <w:pPr>
        <w:numPr>
          <w:ilvl w:val="0"/>
          <w:numId w:val="5"/>
        </w:numPr>
        <w:spacing w:after="60"/>
        <w:ind w:left="720" w:hanging="360"/>
      </w:pPr>
      <w:r>
        <w:rPr>
          <w:rFonts w:ascii="Arial" w:hAnsi="Arial"/>
          <w:b/>
          <w:i w:val="0"/>
          <w:color w:val="222222"/>
          <w:sz w:val="22"/>
        </w:rPr>
        <w:t>Working admin CRUD:</w:t>
      </w:r>
      <w:r>
        <w:rPr>
          <w:rFonts w:ascii="Arial" w:hAnsi="Arial"/>
          <w:b w:val="0"/>
          <w:i w:val="0"/>
          <w:color w:val="222222"/>
          <w:sz w:val="22"/>
        </w:rPr>
        <w:t xml:space="preserve"> full resource coverage, status filters, bulk actions and financial dashboard widgets.</w:t>
      </w:r>
    </w:p>
    <w:p>
      <w:pPr>
        <w:numPr>
          <w:ilvl w:val="0"/>
          <w:numId w:val="5"/>
        </w:numPr>
        <w:spacing w:after="60"/>
        <w:ind w:left="720" w:hanging="360"/>
      </w:pPr>
      <w:r>
        <w:rPr>
          <w:rFonts w:ascii="Arial" w:hAnsi="Arial"/>
          <w:b/>
          <w:i w:val="0"/>
          <w:color w:val="222222"/>
          <w:sz w:val="22"/>
        </w:rPr>
        <w:t>Partial application logic:</w:t>
      </w:r>
      <w:r>
        <w:rPr>
          <w:rFonts w:ascii="Arial" w:hAnsi="Arial"/>
          <w:b w:val="0"/>
          <w:i w:val="0"/>
          <w:color w:val="222222"/>
          <w:sz w:val="22"/>
        </w:rPr>
        <w:t xml:space="preserve"> creating an Application correctly updates the related records.</w:t>
      </w:r>
    </w:p>
    <w:p>
      <w:pPr>
        <w:numPr>
          <w:ilvl w:val="0"/>
          <w:numId w:val="5"/>
        </w:numPr>
        <w:spacing w:after="60"/>
        <w:ind w:left="720" w:hanging="360"/>
      </w:pPr>
      <w:r>
        <w:rPr>
          <w:rFonts w:ascii="Arial" w:hAnsi="Arial"/>
          <w:b/>
          <w:i w:val="0"/>
          <w:color w:val="222222"/>
          <w:sz w:val="22"/>
        </w:rPr>
        <w:t>Per-tenant configuration:</w:t>
      </w:r>
      <w:r>
        <w:rPr>
          <w:rFonts w:ascii="Arial" w:hAnsi="Arial"/>
          <w:b w:val="0"/>
          <w:i w:val="0"/>
          <w:color w:val="222222"/>
          <w:sz w:val="22"/>
        </w:rPr>
        <w:t xml:space="preserve"> Yedi carries 5 education job-roles (QTS) plus a "DBS Evidence" catalogue; Tidal carries its charge defaults.</w:t>
      </w:r>
    </w:p>
    <w:p>
      <w:pPr>
        <w:numPr>
          <w:ilvl w:val="0"/>
          <w:numId w:val="5"/>
        </w:numPr>
        <w:spacing w:after="60"/>
        <w:ind w:left="720" w:hanging="360"/>
      </w:pPr>
      <w:r>
        <w:rPr>
          <w:rFonts w:ascii="Arial" w:hAnsi="Arial"/>
          <w:b/>
          <w:i w:val="0"/>
          <w:color w:val="222222"/>
          <w:sz w:val="22"/>
        </w:rPr>
        <w:t>Key finding:</w:t>
      </w:r>
      <w:r>
        <w:rPr>
          <w:rFonts w:ascii="Arial" w:hAnsi="Arial"/>
          <w:b w:val="0"/>
          <w:i w:val="0"/>
          <w:color w:val="222222"/>
          <w:sz w:val="22"/>
        </w:rPr>
        <w:t xml:space="preserve"> Yedi and Tidal are currently the SAME codebase — separately deployed, re-labelled and configured per tenant.</w:t>
      </w:r>
    </w:p>
    <w:p>
      <w:pPr>
        <w:numPr>
          <w:ilvl w:val="0"/>
          <w:numId w:val="5"/>
        </w:numPr>
        <w:spacing w:after="60"/>
        <w:ind w:left="720" w:hanging="360"/>
      </w:pPr>
      <w:r>
        <w:rPr>
          <w:rFonts w:ascii="Arial" w:hAnsi="Arial"/>
          <w:b/>
          <w:i w:val="0"/>
          <w:color w:val="222222"/>
          <w:sz w:val="22"/>
        </w:rPr>
        <w:t>Assessment:</w:t>
      </w:r>
      <w:r>
        <w:rPr>
          <w:rFonts w:ascii="Arial" w:hAnsi="Arial"/>
          <w:b w:val="0"/>
          <w:i w:val="0"/>
          <w:color w:val="222222"/>
          <w:sz w:val="22"/>
        </w:rPr>
        <w:t xml:space="preserve"> across ~110 features assessed: ~23 done, ~41 partial, ~46 missing.</w:t>
      </w:r>
    </w:p>
    <w:p>
      <w:pPr>
        <w:pStyle w:val="Heading2"/>
      </w:pPr>
      <w:r>
        <w:t>Solution Value Proposition</w:t>
      </w:r>
    </w:p>
    <w:p>
      <w:pPr>
        <w:spacing w:after="120"/>
      </w:pPr>
      <w:r>
        <w:rPr>
          <w:rFonts w:ascii="Arial" w:hAnsi="Arial"/>
          <w:b w:val="0"/>
          <w:i w:val="0"/>
          <w:color w:val="222222"/>
          <w:sz w:val="22"/>
        </w:rPr>
        <w:t>What remains is the transaction engine and the self-service surfaces that turn the admin panel into a sellable product. Because every missing engine is identical for both platforms, we build it once on a multi-tenant foundation:</w:t>
      </w:r>
    </w:p>
    <w:p>
      <w:pPr>
        <w:numPr>
          <w:ilvl w:val="0"/>
          <w:numId w:val="5"/>
        </w:numPr>
        <w:spacing w:after="60"/>
        <w:ind w:left="720" w:hanging="360"/>
      </w:pPr>
      <w:r>
        <w:rPr>
          <w:rFonts w:ascii="Arial" w:hAnsi="Arial"/>
          <w:b w:val="0"/>
          <w:i w:val="0"/>
          <w:color w:val="222222"/>
          <w:sz w:val="22"/>
        </w:rPr>
        <w:t>Two self-service portals (Brand/School + Candidate/Teacher).</w:t>
      </w:r>
    </w:p>
    <w:p>
      <w:pPr>
        <w:numPr>
          <w:ilvl w:val="0"/>
          <w:numId w:val="5"/>
        </w:numPr>
        <w:spacing w:after="60"/>
        <w:ind w:left="720" w:hanging="360"/>
      </w:pPr>
      <w:r>
        <w:rPr>
          <w:rFonts w:ascii="Arial" w:hAnsi="Arial"/>
          <w:b w:val="0"/>
          <w:i w:val="0"/>
          <w:color w:val="222222"/>
          <w:sz w:val="22"/>
        </w:rPr>
        <w:t>Core booking engine: Application → Matching → Offer/Accept → Booking.</w:t>
      </w:r>
    </w:p>
    <w:p>
      <w:pPr>
        <w:numPr>
          <w:ilvl w:val="0"/>
          <w:numId w:val="5"/>
        </w:numPr>
        <w:spacing w:after="60"/>
        <w:ind w:left="720" w:hanging="360"/>
      </w:pPr>
      <w:r>
        <w:rPr>
          <w:rFonts w:ascii="Arial" w:hAnsi="Arial"/>
          <w:b w:val="0"/>
          <w:i w:val="0"/>
          <w:color w:val="222222"/>
          <w:sz w:val="22"/>
        </w:rPr>
        <w:t>Billing engine: invoice/payslip generation + PDF + lifecycle.</w:t>
      </w:r>
    </w:p>
    <w:p>
      <w:pPr>
        <w:numPr>
          <w:ilvl w:val="0"/>
          <w:numId w:val="5"/>
        </w:numPr>
        <w:spacing w:after="60"/>
        <w:ind w:left="720" w:hanging="360"/>
      </w:pPr>
      <w:r>
        <w:rPr>
          <w:rFonts w:ascii="Arial" w:hAnsi="Arial"/>
          <w:b w:val="0"/>
          <w:i w:val="0"/>
          <w:color w:val="222222"/>
          <w:sz w:val="22"/>
        </w:rPr>
        <w:t>Compliance &amp; right-to-work engine with enforcement.</w:t>
      </w:r>
    </w:p>
    <w:p>
      <w:pPr>
        <w:numPr>
          <w:ilvl w:val="0"/>
          <w:numId w:val="5"/>
        </w:numPr>
        <w:spacing w:after="60"/>
        <w:ind w:left="720" w:hanging="360"/>
      </w:pPr>
      <w:r>
        <w:rPr>
          <w:rFonts w:ascii="Arial" w:hAnsi="Arial"/>
          <w:b w:val="0"/>
          <w:i w:val="0"/>
          <w:color w:val="222222"/>
          <w:sz w:val="22"/>
        </w:rPr>
        <w:t>Timesheets, multi-party authentication, RBAC and notifications.</w:t>
      </w:r>
    </w:p>
    <w:p>
      <w:pPr>
        <w:numPr>
          <w:ilvl w:val="0"/>
          <w:numId w:val="5"/>
        </w:numPr>
        <w:spacing w:after="60"/>
        <w:ind w:left="720" w:hanging="360"/>
      </w:pPr>
      <w:r>
        <w:rPr>
          <w:rFonts w:ascii="Arial" w:hAnsi="Arial"/>
          <w:b w:val="0"/>
          <w:i w:val="0"/>
          <w:color w:val="222222"/>
          <w:sz w:val="22"/>
        </w:rPr>
        <w:t>Shared multi-tenant white-label foundation — ~40–45% cheaper than two separate builds.</w:t>
      </w:r>
    </w:p>
    <w:p>
      <w:pPr>
        <w:pStyle w:val="Heading2"/>
      </w:pPr>
      <w:r>
        <w:t>Project Objectives</w:t>
      </w:r>
    </w:p>
    <w:p>
      <w:pPr>
        <w:numPr>
          <w:ilvl w:val="0"/>
          <w:numId w:val="5"/>
        </w:numPr>
        <w:spacing w:after="60"/>
        <w:ind w:left="720" w:hanging="360"/>
      </w:pPr>
      <w:r>
        <w:rPr>
          <w:rFonts w:ascii="Arial" w:hAnsi="Arial"/>
          <w:b w:val="0"/>
          <w:i w:val="0"/>
          <w:color w:val="222222"/>
          <w:sz w:val="22"/>
        </w:rPr>
        <w:t>Turn the internal admin panel into a production, self-service, transacting two-sided platform.</w:t>
      </w:r>
    </w:p>
    <w:p>
      <w:pPr>
        <w:numPr>
          <w:ilvl w:val="0"/>
          <w:numId w:val="5"/>
        </w:numPr>
        <w:spacing w:after="60"/>
        <w:ind w:left="720" w:hanging="360"/>
      </w:pPr>
      <w:r>
        <w:rPr>
          <w:rFonts w:ascii="Arial" w:hAnsi="Arial"/>
          <w:b w:val="0"/>
          <w:i w:val="0"/>
          <w:color w:val="222222"/>
          <w:sz w:val="22"/>
        </w:rPr>
        <w:t>Launch the Tidal MVP in ~4 months on a shared multi-tenant foundation.</w:t>
      </w:r>
    </w:p>
    <w:p>
      <w:pPr>
        <w:numPr>
          <w:ilvl w:val="0"/>
          <w:numId w:val="5"/>
        </w:numPr>
        <w:spacing w:after="60"/>
        <w:ind w:left="720" w:hanging="360"/>
      </w:pPr>
      <w:r>
        <w:rPr>
          <w:rFonts w:ascii="Arial" w:hAnsi="Arial"/>
          <w:b w:val="0"/>
          <w:i w:val="0"/>
          <w:color w:val="222222"/>
          <w:sz w:val="22"/>
        </w:rPr>
        <w:t>Enable Yedi immediately after via configuration plus the education compliance layer (DBS/safeguarding — a mandatory gate).</w:t>
      </w:r>
    </w:p>
    <w:p>
      <w:pPr>
        <w:numPr>
          <w:ilvl w:val="0"/>
          <w:numId w:val="5"/>
        </w:numPr>
        <w:spacing w:after="60"/>
        <w:ind w:left="720" w:hanging="360"/>
      </w:pPr>
      <w:r>
        <w:rPr>
          <w:rFonts w:ascii="Arial" w:hAnsi="Arial"/>
          <w:b w:val="0"/>
          <w:i w:val="0"/>
          <w:color w:val="222222"/>
          <w:sz w:val="22"/>
        </w:rPr>
        <w:t>Deliver production-grade security, a GDPR baseline, automated tests and CI/CD.</w:t>
      </w:r>
    </w:p>
    <w:p>
      <w:pPr>
        <w:pStyle w:val="Heading1"/>
      </w:pPr>
      <w:r>
        <w:t>2. Project Scope</w:t>
      </w:r>
    </w:p>
    <w:p>
      <w:pPr>
        <w:pStyle w:val="Heading2"/>
      </w:pPr>
      <w:r>
        <w:t>2.1 In-Scope Items</w:t>
      </w:r>
    </w:p>
    <w:p>
      <w:pPr>
        <w:spacing w:after="120"/>
      </w:pPr>
      <w:r>
        <w:rPr>
          <w:rFonts w:ascii="Arial" w:hAnsi="Arial"/>
          <w:b w:val="0"/>
          <w:i w:val="0"/>
          <w:color w:val="222222"/>
          <w:sz w:val="22"/>
        </w:rPr>
        <w:t>Delivery is organised into two tranches. Tranche 1 delivers a launchable Tidal MVP on a shared multi-tenant foundation; Yedi is enabled immediately after via configuration plus the education compliance layer. Tranche 2 adds automation, full Yedi education matching and reporting depth (see 2.1.11).</w:t>
      </w:r>
    </w:p>
    <w:p>
      <w:pPr>
        <w:pStyle w:val="Heading3"/>
      </w:pPr>
      <w:r>
        <w:t>2.1.1 Identity, Authentication &amp; Access</w:t>
      </w:r>
    </w:p>
    <w:p>
      <w:pPr>
        <w:numPr>
          <w:ilvl w:val="0"/>
          <w:numId w:val="5"/>
        </w:numPr>
        <w:spacing w:after="60"/>
        <w:ind w:left="720" w:hanging="360"/>
      </w:pPr>
      <w:r>
        <w:rPr>
          <w:rFonts w:ascii="Arial" w:hAnsi="Arial"/>
          <w:b w:val="0"/>
          <w:i w:val="0"/>
          <w:color w:val="222222"/>
          <w:sz w:val="22"/>
        </w:rPr>
        <w:t>Multi-party authentication (Brand/School, Candidate/Teacher, Admin) with password reset and 2FA.</w:t>
      </w:r>
    </w:p>
    <w:p>
      <w:pPr>
        <w:numPr>
          <w:ilvl w:val="0"/>
          <w:numId w:val="5"/>
        </w:numPr>
        <w:spacing w:after="60"/>
        <w:ind w:left="720" w:hanging="360"/>
      </w:pPr>
      <w:r>
        <w:rPr>
          <w:rFonts w:ascii="Arial" w:hAnsi="Arial"/>
          <w:b w:val="0"/>
          <w:i w:val="0"/>
          <w:color w:val="222222"/>
          <w:sz w:val="22"/>
        </w:rPr>
        <w:t>Role-based access control (RBAC) across portals and admin.</w:t>
      </w:r>
    </w:p>
    <w:p>
      <w:pPr>
        <w:pStyle w:val="Heading3"/>
      </w:pPr>
      <w:r>
        <w:t>2.1.2 Brand/School Portal</w:t>
      </w:r>
    </w:p>
    <w:p>
      <w:pPr>
        <w:numPr>
          <w:ilvl w:val="0"/>
          <w:numId w:val="5"/>
        </w:numPr>
        <w:spacing w:after="60"/>
        <w:ind w:left="720" w:hanging="360"/>
      </w:pPr>
      <w:r>
        <w:rPr>
          <w:rFonts w:ascii="Arial" w:hAnsi="Arial"/>
          <w:b w:val="0"/>
          <w:i w:val="0"/>
          <w:color w:val="222222"/>
          <w:sz w:val="22"/>
        </w:rPr>
        <w:t>Post and manage staffing requests / adverts; review applicants.</w:t>
      </w:r>
    </w:p>
    <w:p>
      <w:pPr>
        <w:numPr>
          <w:ilvl w:val="0"/>
          <w:numId w:val="5"/>
        </w:numPr>
        <w:spacing w:after="60"/>
        <w:ind w:left="720" w:hanging="360"/>
      </w:pPr>
      <w:r>
        <w:rPr>
          <w:rFonts w:ascii="Arial" w:hAnsi="Arial"/>
          <w:b w:val="0"/>
          <w:i w:val="0"/>
          <w:color w:val="222222"/>
          <w:sz w:val="22"/>
        </w:rPr>
        <w:t>Booking management and invoice view.</w:t>
      </w:r>
    </w:p>
    <w:p>
      <w:pPr>
        <w:pStyle w:val="Heading3"/>
      </w:pPr>
      <w:r>
        <w:t>2.1.3 Candidate/Teacher Portal</w:t>
      </w:r>
    </w:p>
    <w:p>
      <w:pPr>
        <w:numPr>
          <w:ilvl w:val="0"/>
          <w:numId w:val="5"/>
        </w:numPr>
        <w:spacing w:after="60"/>
        <w:ind w:left="720" w:hanging="360"/>
      </w:pPr>
      <w:r>
        <w:rPr>
          <w:rFonts w:ascii="Arial" w:hAnsi="Arial"/>
          <w:b w:val="0"/>
          <w:i w:val="0"/>
          <w:color w:val="222222"/>
          <w:sz w:val="22"/>
        </w:rPr>
        <w:t>Onboarding, profile, upload evidence, set availability.</w:t>
      </w:r>
    </w:p>
    <w:p>
      <w:pPr>
        <w:numPr>
          <w:ilvl w:val="0"/>
          <w:numId w:val="5"/>
        </w:numPr>
        <w:spacing w:after="60"/>
        <w:ind w:left="720" w:hanging="360"/>
      </w:pPr>
      <w:r>
        <w:rPr>
          <w:rFonts w:ascii="Arial" w:hAnsi="Arial"/>
          <w:b w:val="0"/>
          <w:i w:val="0"/>
          <w:color w:val="222222"/>
          <w:sz w:val="22"/>
        </w:rPr>
        <w:t>Search, apply, accept; timesheet submission and payslip view.</w:t>
      </w:r>
    </w:p>
    <w:p>
      <w:pPr>
        <w:pStyle w:val="Heading3"/>
      </w:pPr>
      <w:r>
        <w:t>2.1.4 Adverts &amp; Job Lifecycle</w:t>
      </w:r>
    </w:p>
    <w:p>
      <w:pPr>
        <w:numPr>
          <w:ilvl w:val="0"/>
          <w:numId w:val="5"/>
        </w:numPr>
        <w:spacing w:after="60"/>
        <w:ind w:left="720" w:hanging="360"/>
      </w:pPr>
      <w:r>
        <w:rPr>
          <w:rFonts w:ascii="Arial" w:hAnsi="Arial"/>
          <w:b w:val="0"/>
          <w:i w:val="0"/>
          <w:color w:val="222222"/>
          <w:sz w:val="22"/>
        </w:rPr>
        <w:t>Advert creation, status lifecycle, and publishing to the candidate portal.</w:t>
      </w:r>
    </w:p>
    <w:p>
      <w:pPr>
        <w:pStyle w:val="Heading3"/>
      </w:pPr>
      <w:r>
        <w:t>2.1.5 Applications, Matching &amp; Booking (Core Loop)</w:t>
      </w:r>
    </w:p>
    <w:p>
      <w:pPr>
        <w:numPr>
          <w:ilvl w:val="0"/>
          <w:numId w:val="5"/>
        </w:numPr>
        <w:spacing w:after="60"/>
        <w:ind w:left="720" w:hanging="360"/>
      </w:pPr>
      <w:r>
        <w:rPr>
          <w:rFonts w:ascii="Arial" w:hAnsi="Arial"/>
          <w:b w:val="0"/>
          <w:i w:val="0"/>
          <w:color w:val="222222"/>
          <w:sz w:val="22"/>
        </w:rPr>
        <w:t>Application → Matching → Offer/Accept → Booking, with allocation and auto-status.</w:t>
      </w:r>
    </w:p>
    <w:p>
      <w:pPr>
        <w:numPr>
          <w:ilvl w:val="0"/>
          <w:numId w:val="5"/>
        </w:numPr>
        <w:spacing w:after="60"/>
        <w:ind w:left="720" w:hanging="360"/>
      </w:pPr>
      <w:r>
        <w:rPr>
          <w:rFonts w:ascii="Arial" w:hAnsi="Arial"/>
          <w:b w:val="0"/>
          <w:i w:val="0"/>
          <w:color w:val="222222"/>
          <w:sz w:val="22"/>
        </w:rPr>
        <w:t>Availability model + basic clash detection.</w:t>
      </w:r>
    </w:p>
    <w:p>
      <w:pPr>
        <w:pStyle w:val="Heading3"/>
      </w:pPr>
      <w:r>
        <w:t>2.1.6 Compliance &amp; Right-to-Work</w:t>
      </w:r>
    </w:p>
    <w:p>
      <w:pPr>
        <w:numPr>
          <w:ilvl w:val="0"/>
          <w:numId w:val="5"/>
        </w:numPr>
        <w:spacing w:after="60"/>
        <w:ind w:left="720" w:hanging="360"/>
      </w:pPr>
      <w:r>
        <w:rPr>
          <w:rFonts w:ascii="Arial" w:hAnsi="Arial"/>
          <w:b w:val="0"/>
          <w:i w:val="0"/>
          <w:color w:val="222222"/>
          <w:sz w:val="22"/>
        </w:rPr>
        <w:t>Compliance engine with rules, enforcement and evidence capture (right-to-work gate).</w:t>
      </w:r>
    </w:p>
    <w:p>
      <w:pPr>
        <w:numPr>
          <w:ilvl w:val="0"/>
          <w:numId w:val="5"/>
        </w:numPr>
        <w:spacing w:after="60"/>
        <w:ind w:left="720" w:hanging="360"/>
      </w:pPr>
      <w:r>
        <w:rPr>
          <w:rFonts w:ascii="Arial" w:hAnsi="Arial"/>
          <w:b w:val="0"/>
          <w:i w:val="0"/>
          <w:color w:val="222222"/>
          <w:sz w:val="22"/>
        </w:rPr>
        <w:t>Yedi education layer: DBS / safeguarding (mandatory gate) enabled per tenant.</w:t>
      </w:r>
    </w:p>
    <w:p>
      <w:pPr>
        <w:pStyle w:val="Heading3"/>
      </w:pPr>
      <w:r>
        <w:t>2.1.7 Timesheets &amp; Attendance</w:t>
      </w:r>
    </w:p>
    <w:p>
      <w:pPr>
        <w:numPr>
          <w:ilvl w:val="0"/>
          <w:numId w:val="5"/>
        </w:numPr>
        <w:spacing w:after="60"/>
        <w:ind w:left="720" w:hanging="360"/>
      </w:pPr>
      <w:r>
        <w:rPr>
          <w:rFonts w:ascii="Arial" w:hAnsi="Arial"/>
          <w:b w:val="0"/>
          <w:i w:val="0"/>
          <w:color w:val="222222"/>
          <w:sz w:val="22"/>
        </w:rPr>
        <w:t>Shift → hours → pay-basis capture feeding billing and payslips.</w:t>
      </w:r>
    </w:p>
    <w:p>
      <w:pPr>
        <w:pStyle w:val="Heading3"/>
      </w:pPr>
      <w:r>
        <w:t>2.1.8 Billing (Invoice / Payslip)</w:t>
      </w:r>
    </w:p>
    <w:p>
      <w:pPr>
        <w:numPr>
          <w:ilvl w:val="0"/>
          <w:numId w:val="5"/>
        </w:numPr>
        <w:spacing w:after="60"/>
        <w:ind w:left="720" w:hanging="360"/>
      </w:pPr>
      <w:r>
        <w:rPr>
          <w:rFonts w:ascii="Arial" w:hAnsi="Arial"/>
          <w:b w:val="0"/>
          <w:i w:val="0"/>
          <w:color w:val="222222"/>
          <w:sz w:val="22"/>
        </w:rPr>
        <w:t>Invoice and payslip generation + PDF output + lifecycle (using existing bank/terms/template config).</w:t>
      </w:r>
    </w:p>
    <w:p>
      <w:pPr>
        <w:pStyle w:val="Heading3"/>
      </w:pPr>
      <w:r>
        <w:t>2.1.9 Notifications &amp; Communications</w:t>
      </w:r>
    </w:p>
    <w:p>
      <w:pPr>
        <w:numPr>
          <w:ilvl w:val="0"/>
          <w:numId w:val="5"/>
        </w:numPr>
        <w:spacing w:after="60"/>
        <w:ind w:left="720" w:hanging="360"/>
      </w:pPr>
      <w:r>
        <w:rPr>
          <w:rFonts w:ascii="Arial" w:hAnsi="Arial"/>
          <w:b w:val="0"/>
          <w:i w:val="0"/>
          <w:color w:val="222222"/>
          <w:sz w:val="22"/>
        </w:rPr>
        <w:t>Basic notifications: email-first plus key SMS (booking / timesheet / compliance).</w:t>
      </w:r>
    </w:p>
    <w:p>
      <w:pPr>
        <w:pStyle w:val="Heading3"/>
      </w:pPr>
      <w:r>
        <w:t>2.1.10 Multi-Tenancy &amp; Non-Functional</w:t>
      </w:r>
    </w:p>
    <w:p>
      <w:pPr>
        <w:numPr>
          <w:ilvl w:val="0"/>
          <w:numId w:val="5"/>
        </w:numPr>
        <w:spacing w:after="60"/>
        <w:ind w:left="720" w:hanging="360"/>
      </w:pPr>
      <w:r>
        <w:rPr>
          <w:rFonts w:ascii="Arial" w:hAnsi="Arial"/>
          <w:b w:val="0"/>
          <w:i w:val="0"/>
          <w:color w:val="222222"/>
          <w:sz w:val="22"/>
        </w:rPr>
        <w:t>Shared multi-tenant white-label foundation (Yedi + Tidal from one codebase).</w:t>
      </w:r>
    </w:p>
    <w:p>
      <w:pPr>
        <w:numPr>
          <w:ilvl w:val="0"/>
          <w:numId w:val="5"/>
        </w:numPr>
        <w:spacing w:after="60"/>
        <w:ind w:left="720" w:hanging="360"/>
      </w:pPr>
      <w:r>
        <w:rPr>
          <w:rFonts w:ascii="Arial" w:hAnsi="Arial"/>
          <w:b w:val="0"/>
          <w:i w:val="0"/>
          <w:color w:val="222222"/>
          <w:sz w:val="22"/>
        </w:rPr>
        <w:t>Security + GDPR baseline, automated tests and CI/CD; Tidal go-live.</w:t>
      </w:r>
    </w:p>
    <w:p>
      <w:pPr>
        <w:pStyle w:val="Heading3"/>
      </w:pPr>
      <w:r>
        <w:t>2.1.11 Tranche 2 — Automation, Full Yedi &amp; Polish</w:t>
      </w:r>
    </w:p>
    <w:p>
      <w:pPr>
        <w:numPr>
          <w:ilvl w:val="0"/>
          <w:numId w:val="5"/>
        </w:numPr>
        <w:spacing w:after="60"/>
        <w:ind w:left="720" w:hanging="360"/>
      </w:pPr>
      <w:r>
        <w:rPr>
          <w:rFonts w:ascii="Arial" w:hAnsi="Arial"/>
          <w:b w:val="0"/>
          <w:i w:val="0"/>
          <w:color w:val="222222"/>
          <w:sz w:val="22"/>
        </w:rPr>
        <w:t>Payment automation (collection + payout); accounting export + credit notes.</w:t>
      </w:r>
    </w:p>
    <w:p>
      <w:pPr>
        <w:numPr>
          <w:ilvl w:val="0"/>
          <w:numId w:val="5"/>
        </w:numPr>
        <w:spacing w:after="60"/>
        <w:ind w:left="720" w:hanging="360"/>
      </w:pPr>
      <w:r>
        <w:rPr>
          <w:rFonts w:ascii="Arial" w:hAnsi="Arial"/>
          <w:b w:val="0"/>
          <w:i w:val="0"/>
          <w:color w:val="222222"/>
          <w:sz w:val="22"/>
        </w:rPr>
        <w:t>Automated ID / right-to-work verification; e-signature; in-app notification centre.</w:t>
      </w:r>
    </w:p>
    <w:p>
      <w:pPr>
        <w:numPr>
          <w:ilvl w:val="0"/>
          <w:numId w:val="5"/>
        </w:numPr>
        <w:spacing w:after="60"/>
        <w:ind w:left="720" w:hanging="360"/>
      </w:pPr>
      <w:r>
        <w:rPr>
          <w:rFonts w:ascii="Arial" w:hAnsi="Arial"/>
          <w:b w:val="0"/>
          <w:i w:val="0"/>
          <w:color w:val="222222"/>
          <w:sz w:val="22"/>
        </w:rPr>
        <w:t>Two-way ratings &amp; feedback (client ↔ candidate) + reliability tracking → feeding matching.</w:t>
      </w:r>
    </w:p>
    <w:p>
      <w:pPr>
        <w:numPr>
          <w:ilvl w:val="0"/>
          <w:numId w:val="5"/>
        </w:numPr>
        <w:spacing w:after="60"/>
        <w:ind w:left="720" w:hanging="360"/>
      </w:pPr>
      <w:r>
        <w:rPr>
          <w:rFonts w:ascii="Arial" w:hAnsi="Arial"/>
          <w:b w:val="0"/>
          <w:i w:val="0"/>
          <w:color w:val="222222"/>
          <w:sz w:val="22"/>
        </w:rPr>
        <w:t>Referral programme; training/onboarding records (in-app).</w:t>
      </w:r>
    </w:p>
    <w:p>
      <w:pPr>
        <w:numPr>
          <w:ilvl w:val="0"/>
          <w:numId w:val="5"/>
        </w:numPr>
        <w:spacing w:after="60"/>
        <w:ind w:left="720" w:hanging="360"/>
      </w:pPr>
      <w:r>
        <w:rPr>
          <w:rFonts w:ascii="Arial" w:hAnsi="Arial"/>
          <w:b w:val="0"/>
          <w:i w:val="0"/>
          <w:color w:val="222222"/>
          <w:sz w:val="22"/>
        </w:rPr>
        <w:t>Geo / multi-slot adverts; reporting depth; full Yedi + education matching.</w:t>
      </w:r>
    </w:p>
    <w:p>
      <w:pPr>
        <w:numPr>
          <w:ilvl w:val="0"/>
          <w:numId w:val="5"/>
        </w:numPr>
        <w:spacing w:after="60"/>
        <w:ind w:left="720" w:hanging="360"/>
      </w:pPr>
      <w:r>
        <w:rPr>
          <w:rFonts w:ascii="Arial" w:hAnsi="Arial"/>
          <w:b w:val="0"/>
          <w:i w:val="0"/>
          <w:color w:val="222222"/>
          <w:sz w:val="22"/>
        </w:rPr>
        <w:t>Tidal client-visibility dashboard ("Tidal OS": coverage / fill / spend / ratings).</w:t>
      </w:r>
    </w:p>
    <w:p>
      <w:pPr>
        <w:pStyle w:val="Heading2"/>
      </w:pPr>
      <w:r>
        <w:t>2.2 Out-of-Scope Items</w:t>
      </w:r>
    </w:p>
    <w:p>
      <w:pPr>
        <w:spacing w:after="120"/>
      </w:pPr>
      <w:r>
        <w:rPr>
          <w:rFonts w:ascii="Arial" w:hAnsi="Arial"/>
          <w:b w:val="0"/>
          <w:i w:val="0"/>
          <w:color w:val="222222"/>
          <w:sz w:val="22"/>
        </w:rPr>
        <w:t>The following are excluded from this engagement and may be considered for future development:</w:t>
      </w:r>
    </w:p>
    <w:p>
      <w:pPr>
        <w:numPr>
          <w:ilvl w:val="0"/>
          <w:numId w:val="5"/>
        </w:numPr>
        <w:spacing w:after="60"/>
        <w:ind w:left="720" w:hanging="360"/>
      </w:pPr>
      <w:r>
        <w:rPr>
          <w:rFonts w:ascii="Arial" w:hAnsi="Arial"/>
          <w:b w:val="0"/>
          <w:i w:val="0"/>
          <w:color w:val="222222"/>
          <w:sz w:val="22"/>
        </w:rPr>
        <w:t>Native mobile app (separate track).</w:t>
      </w:r>
    </w:p>
    <w:p>
      <w:pPr>
        <w:numPr>
          <w:ilvl w:val="0"/>
          <w:numId w:val="5"/>
        </w:numPr>
        <w:spacing w:after="60"/>
        <w:ind w:left="720" w:hanging="360"/>
      </w:pPr>
      <w:r>
        <w:rPr>
          <w:rFonts w:ascii="Arial" w:hAnsi="Arial"/>
          <w:b w:val="0"/>
          <w:i w:val="0"/>
          <w:color w:val="222222"/>
          <w:sz w:val="22"/>
        </w:rPr>
        <w:t>Data migration beyond existing records.</w:t>
      </w:r>
    </w:p>
    <w:p>
      <w:pPr>
        <w:numPr>
          <w:ilvl w:val="0"/>
          <w:numId w:val="5"/>
        </w:numPr>
        <w:spacing w:after="60"/>
        <w:ind w:left="720" w:hanging="360"/>
      </w:pPr>
      <w:r>
        <w:rPr>
          <w:rFonts w:ascii="Arial" w:hAnsi="Arial"/>
          <w:b w:val="0"/>
          <w:i w:val="0"/>
          <w:color w:val="222222"/>
          <w:sz w:val="22"/>
        </w:rPr>
        <w:t>Third-party licence fees.</w:t>
      </w:r>
    </w:p>
    <w:p>
      <w:pPr>
        <w:numPr>
          <w:ilvl w:val="0"/>
          <w:numId w:val="5"/>
        </w:numPr>
        <w:spacing w:after="60"/>
        <w:ind w:left="720" w:hanging="360"/>
      </w:pPr>
      <w:r>
        <w:rPr>
          <w:rFonts w:ascii="Arial" w:hAnsi="Arial"/>
          <w:b w:val="0"/>
          <w:i w:val="0"/>
          <w:color w:val="222222"/>
          <w:sz w:val="22"/>
        </w:rPr>
        <w:t>Hosting and support after launch.</w:t>
      </w:r>
    </w:p>
    <w:p>
      <w:pPr>
        <w:pStyle w:val="Heading2"/>
      </w:pPr>
      <w:r>
        <w:t>2.3 Dependencies and Assumptions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3120"/>
        <w:gridCol w:w="3120"/>
        <w:gridCol w:w="3120"/>
      </w:tblGrid>
      <w:tr>
        <w:tc>
          <w:tcPr>
            <w:tcW w:type="dxa" w:w="647"/>
            <w:shd w:val="clear" w:color="auto" w:fill="1A2B4A"/>
          </w:tcPr>
          <w:p>
            <w:pPr>
              <w:spacing w:after="40" w:before="40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20"/>
              </w:rPr>
              <w:t>#</w:t>
            </w:r>
          </w:p>
        </w:tc>
        <w:tc>
          <w:tcPr>
            <w:tcW w:type="dxa" w:w="647"/>
            <w:shd w:val="clear" w:color="auto" w:fill="1A2B4A"/>
          </w:tcPr>
          <w:p>
            <w:pPr>
              <w:spacing w:after="40" w:before="40"/>
              <w:jc w:val="left"/>
            </w:pPr>
            <w:r>
              <w:rPr>
                <w:rFonts w:ascii="Arial" w:hAnsi="Arial"/>
                <w:b/>
                <w:i w:val="0"/>
                <w:color w:val="FFFFFF"/>
                <w:sz w:val="20"/>
              </w:rPr>
              <w:t>Category</w:t>
            </w:r>
          </w:p>
        </w:tc>
        <w:tc>
          <w:tcPr>
            <w:tcW w:type="dxa" w:w="8065"/>
            <w:shd w:val="clear" w:color="auto" w:fill="1A2B4A"/>
          </w:tcPr>
          <w:p>
            <w:pPr>
              <w:spacing w:after="40" w:before="40"/>
              <w:jc w:val="left"/>
            </w:pPr>
            <w:r>
              <w:rPr>
                <w:rFonts w:ascii="Arial" w:hAnsi="Arial"/>
                <w:b/>
                <w:i w:val="0"/>
                <w:color w:val="FFFFFF"/>
                <w:sz w:val="20"/>
              </w:rPr>
              <w:t>Description</w:t>
            </w:r>
          </w:p>
        </w:tc>
      </w:tr>
      <w:tr>
        <w:tc>
          <w:tcPr>
            <w:tcW w:type="dxa" w:w="647"/>
          </w:tcPr>
          <w:p>
            <w:pPr>
              <w:spacing w:after="40" w:before="40"/>
              <w:jc w:val="center"/>
            </w:pPr>
            <w:r>
              <w:rPr>
                <w:rFonts w:ascii="Arial" w:hAnsi="Arial"/>
                <w:b w:val="0"/>
                <w:i w:val="0"/>
                <w:color w:val="222222"/>
                <w:sz w:val="20"/>
              </w:rPr>
              <w:t>1</w:t>
            </w:r>
          </w:p>
        </w:tc>
        <w:tc>
          <w:tcPr>
            <w:tcW w:type="dxa" w:w="647"/>
          </w:tcPr>
          <w:p>
            <w:pPr>
              <w:spacing w:after="40" w:before="40"/>
              <w:jc w:val="left"/>
            </w:pPr>
            <w:r>
              <w:rPr>
                <w:rFonts w:ascii="Arial" w:hAnsi="Arial"/>
                <w:b w:val="0"/>
                <w:i w:val="0"/>
                <w:color w:val="222222"/>
                <w:sz w:val="20"/>
              </w:rPr>
              <w:t>Access</w:t>
            </w:r>
          </w:p>
        </w:tc>
        <w:tc>
          <w:tcPr>
            <w:tcW w:type="dxa" w:w="8065"/>
          </w:tcPr>
          <w:p>
            <w:pPr>
              <w:spacing w:after="40" w:before="40"/>
              <w:jc w:val="left"/>
            </w:pPr>
            <w:r>
              <w:rPr>
                <w:rFonts w:ascii="Arial" w:hAnsi="Arial"/>
                <w:b w:val="0"/>
                <w:i w:val="0"/>
                <w:color w:val="222222"/>
                <w:sz w:val="20"/>
              </w:rPr>
              <w:t>Source code + Git access — the biggest variable: whether the empty modules hide a backend, and whether it is a single ENV-configured mono-repo or two drifting forks.</w:t>
            </w:r>
          </w:p>
        </w:tc>
      </w:tr>
      <w:tr>
        <w:tc>
          <w:tcPr>
            <w:tcW w:type="dxa" w:w="647"/>
            <w:shd w:val="clear" w:color="auto" w:fill="F2F5F9"/>
          </w:tcPr>
          <w:p>
            <w:pPr>
              <w:spacing w:after="40" w:before="40"/>
              <w:jc w:val="center"/>
            </w:pPr>
            <w:r>
              <w:rPr>
                <w:rFonts w:ascii="Arial" w:hAnsi="Arial"/>
                <w:b w:val="0"/>
                <w:i w:val="0"/>
                <w:color w:val="222222"/>
                <w:sz w:val="20"/>
              </w:rPr>
              <w:t>2</w:t>
            </w:r>
          </w:p>
        </w:tc>
        <w:tc>
          <w:tcPr>
            <w:tcW w:type="dxa" w:w="647"/>
            <w:shd w:val="clear" w:color="auto" w:fill="F2F5F9"/>
          </w:tcPr>
          <w:p>
            <w:pPr>
              <w:spacing w:after="40" w:before="40"/>
              <w:jc w:val="left"/>
            </w:pPr>
            <w:r>
              <w:rPr>
                <w:rFonts w:ascii="Arial" w:hAnsi="Arial"/>
                <w:b w:val="0"/>
                <w:i w:val="0"/>
                <w:color w:val="222222"/>
                <w:sz w:val="20"/>
              </w:rPr>
              <w:t>Scope</w:t>
            </w:r>
          </w:p>
        </w:tc>
        <w:tc>
          <w:tcPr>
            <w:tcW w:type="dxa" w:w="8065"/>
            <w:shd w:val="clear" w:color="auto" w:fill="F2F5F9"/>
          </w:tcPr>
          <w:p>
            <w:pPr>
              <w:spacing w:after="40" w:before="40"/>
              <w:jc w:val="left"/>
            </w:pPr>
            <w:r>
              <w:rPr>
                <w:rFonts w:ascii="Arial" w:hAnsi="Arial"/>
                <w:b w:val="0"/>
                <w:i w:val="0"/>
                <w:color w:val="222222"/>
                <w:sz w:val="20"/>
              </w:rPr>
              <w:t>Candidate employment model (PAYE / umbrella / self-employed) — drives payslip and tax logic.</w:t>
            </w:r>
          </w:p>
        </w:tc>
      </w:tr>
      <w:tr>
        <w:tc>
          <w:tcPr>
            <w:tcW w:type="dxa" w:w="647"/>
          </w:tcPr>
          <w:p>
            <w:pPr>
              <w:spacing w:after="40" w:before="40"/>
              <w:jc w:val="center"/>
            </w:pPr>
            <w:r>
              <w:rPr>
                <w:rFonts w:ascii="Arial" w:hAnsi="Arial"/>
                <w:b w:val="0"/>
                <w:i w:val="0"/>
                <w:color w:val="222222"/>
                <w:sz w:val="20"/>
              </w:rPr>
              <w:t>3</w:t>
            </w:r>
          </w:p>
        </w:tc>
        <w:tc>
          <w:tcPr>
            <w:tcW w:type="dxa" w:w="647"/>
          </w:tcPr>
          <w:p>
            <w:pPr>
              <w:spacing w:after="40" w:before="40"/>
              <w:jc w:val="left"/>
            </w:pPr>
            <w:r>
              <w:rPr>
                <w:rFonts w:ascii="Arial" w:hAnsi="Arial"/>
                <w:b w:val="0"/>
                <w:i w:val="0"/>
                <w:color w:val="222222"/>
                <w:sz w:val="20"/>
              </w:rPr>
              <w:t>Scope</w:t>
            </w:r>
          </w:p>
        </w:tc>
        <w:tc>
          <w:tcPr>
            <w:tcW w:type="dxa" w:w="8065"/>
          </w:tcPr>
          <w:p>
            <w:pPr>
              <w:spacing w:after="40" w:before="40"/>
              <w:jc w:val="left"/>
            </w:pPr>
            <w:r>
              <w:rPr>
                <w:rFonts w:ascii="Arial" w:hAnsi="Arial"/>
                <w:b w:val="0"/>
                <w:i w:val="0"/>
                <w:color w:val="222222"/>
                <w:sz w:val="20"/>
              </w:rPr>
              <w:t>Adverts single-hire vs multi-slot — affects the booking/billing schema.</w:t>
            </w:r>
          </w:p>
        </w:tc>
      </w:tr>
      <w:tr>
        <w:tc>
          <w:tcPr>
            <w:tcW w:type="dxa" w:w="647"/>
            <w:shd w:val="clear" w:color="auto" w:fill="F2F5F9"/>
          </w:tcPr>
          <w:p>
            <w:pPr>
              <w:spacing w:after="40" w:before="40"/>
              <w:jc w:val="center"/>
            </w:pPr>
            <w:r>
              <w:rPr>
                <w:rFonts w:ascii="Arial" w:hAnsi="Arial"/>
                <w:b w:val="0"/>
                <w:i w:val="0"/>
                <w:color w:val="222222"/>
                <w:sz w:val="20"/>
              </w:rPr>
              <w:t>4</w:t>
            </w:r>
          </w:p>
        </w:tc>
        <w:tc>
          <w:tcPr>
            <w:tcW w:type="dxa" w:w="647"/>
            <w:shd w:val="clear" w:color="auto" w:fill="F2F5F9"/>
          </w:tcPr>
          <w:p>
            <w:pPr>
              <w:spacing w:after="40" w:before="40"/>
              <w:jc w:val="left"/>
            </w:pPr>
            <w:r>
              <w:rPr>
                <w:rFonts w:ascii="Arial" w:hAnsi="Arial"/>
                <w:b w:val="0"/>
                <w:i w:val="0"/>
                <w:color w:val="222222"/>
                <w:sz w:val="20"/>
              </w:rPr>
              <w:t>Scope</w:t>
            </w:r>
          </w:p>
        </w:tc>
        <w:tc>
          <w:tcPr>
            <w:tcW w:type="dxa" w:w="8065"/>
            <w:shd w:val="clear" w:color="auto" w:fill="F2F5F9"/>
          </w:tcPr>
          <w:p>
            <w:pPr>
              <w:spacing w:after="40" w:before="40"/>
              <w:jc w:val="left"/>
            </w:pPr>
            <w:r>
              <w:rPr>
                <w:rFonts w:ascii="Arial" w:hAnsi="Arial"/>
                <w:b w:val="0"/>
                <w:i w:val="0"/>
                <w:color w:val="222222"/>
                <w:sz w:val="20"/>
              </w:rPr>
              <w:t>Whether a mobile app has already been released ("OnDemand App" in marketing) — affects front-end scope.</w:t>
            </w:r>
          </w:p>
        </w:tc>
      </w:tr>
      <w:tr>
        <w:tc>
          <w:tcPr>
            <w:tcW w:type="dxa" w:w="647"/>
          </w:tcPr>
          <w:p>
            <w:pPr>
              <w:spacing w:after="40" w:before="40"/>
              <w:jc w:val="center"/>
            </w:pPr>
            <w:r>
              <w:rPr>
                <w:rFonts w:ascii="Arial" w:hAnsi="Arial"/>
                <w:b w:val="0"/>
                <w:i w:val="0"/>
                <w:color w:val="222222"/>
                <w:sz w:val="20"/>
              </w:rPr>
              <w:t>5</w:t>
            </w:r>
          </w:p>
        </w:tc>
        <w:tc>
          <w:tcPr>
            <w:tcW w:type="dxa" w:w="647"/>
          </w:tcPr>
          <w:p>
            <w:pPr>
              <w:spacing w:after="40" w:before="40"/>
              <w:jc w:val="left"/>
            </w:pPr>
            <w:r>
              <w:rPr>
                <w:rFonts w:ascii="Arial" w:hAnsi="Arial"/>
                <w:b w:val="0"/>
                <w:i w:val="0"/>
                <w:color w:val="222222"/>
                <w:sz w:val="20"/>
              </w:rPr>
              <w:t>Third-Party</w:t>
            </w:r>
          </w:p>
        </w:tc>
        <w:tc>
          <w:tcPr>
            <w:tcW w:type="dxa" w:w="8065"/>
          </w:tcPr>
          <w:p>
            <w:pPr>
              <w:spacing w:after="40" w:before="40"/>
              <w:jc w:val="left"/>
            </w:pPr>
            <w:r>
              <w:rPr>
                <w:rFonts w:ascii="Arial" w:hAnsi="Arial"/>
                <w:b w:val="0"/>
                <w:i w:val="0"/>
                <w:color w:val="222222"/>
                <w:sz w:val="20"/>
              </w:rPr>
              <w:t>Payment, SMS, ID-verification and e-sign services (e.g. GoCardless / Twilio / Yoti / DocuSign) — licence fees are client-borne.</w:t>
            </w:r>
          </w:p>
        </w:tc>
      </w:tr>
      <w:tr>
        <w:tc>
          <w:tcPr>
            <w:tcW w:type="dxa" w:w="647"/>
            <w:shd w:val="clear" w:color="auto" w:fill="F2F5F9"/>
          </w:tcPr>
          <w:p>
            <w:pPr>
              <w:spacing w:after="40" w:before="40"/>
              <w:jc w:val="center"/>
            </w:pPr>
            <w:r>
              <w:rPr>
                <w:rFonts w:ascii="Arial" w:hAnsi="Arial"/>
                <w:b w:val="0"/>
                <w:i w:val="0"/>
                <w:color w:val="222222"/>
                <w:sz w:val="20"/>
              </w:rPr>
              <w:t>6</w:t>
            </w:r>
          </w:p>
        </w:tc>
        <w:tc>
          <w:tcPr>
            <w:tcW w:type="dxa" w:w="647"/>
            <w:shd w:val="clear" w:color="auto" w:fill="F2F5F9"/>
          </w:tcPr>
          <w:p>
            <w:pPr>
              <w:spacing w:after="40" w:before="40"/>
              <w:jc w:val="left"/>
            </w:pPr>
            <w:r>
              <w:rPr>
                <w:rFonts w:ascii="Arial" w:hAnsi="Arial"/>
                <w:b w:val="0"/>
                <w:i w:val="0"/>
                <w:color w:val="222222"/>
                <w:sz w:val="20"/>
              </w:rPr>
              <w:t>Third-Party</w:t>
            </w:r>
          </w:p>
        </w:tc>
        <w:tc>
          <w:tcPr>
            <w:tcW w:type="dxa" w:w="8065"/>
            <w:shd w:val="clear" w:color="auto" w:fill="F2F5F9"/>
          </w:tcPr>
          <w:p>
            <w:pPr>
              <w:spacing w:after="40" w:before="40"/>
              <w:jc w:val="left"/>
            </w:pPr>
            <w:r>
              <w:rPr>
                <w:rFonts w:ascii="Arial" w:hAnsi="Arial"/>
                <w:b w:val="0"/>
                <w:i w:val="0"/>
                <w:color w:val="222222"/>
                <w:sz w:val="20"/>
              </w:rPr>
              <w:t>Cloud infrastructure (AWS/GCP) costs are paid directly by the client.</w:t>
            </w:r>
          </w:p>
        </w:tc>
      </w:tr>
      <w:tr>
        <w:tc>
          <w:tcPr>
            <w:tcW w:type="dxa" w:w="647"/>
          </w:tcPr>
          <w:p>
            <w:pPr>
              <w:spacing w:after="40" w:before="40"/>
              <w:jc w:val="center"/>
            </w:pPr>
            <w:r>
              <w:rPr>
                <w:rFonts w:ascii="Arial" w:hAnsi="Arial"/>
                <w:b w:val="0"/>
                <w:i w:val="0"/>
                <w:color w:val="222222"/>
                <w:sz w:val="20"/>
              </w:rPr>
              <w:t>7</w:t>
            </w:r>
          </w:p>
        </w:tc>
        <w:tc>
          <w:tcPr>
            <w:tcW w:type="dxa" w:w="647"/>
          </w:tcPr>
          <w:p>
            <w:pPr>
              <w:spacing w:after="40" w:before="40"/>
              <w:jc w:val="left"/>
            </w:pPr>
            <w:r>
              <w:rPr>
                <w:rFonts w:ascii="Arial" w:hAnsi="Arial"/>
                <w:b w:val="0"/>
                <w:i w:val="0"/>
                <w:color w:val="222222"/>
                <w:sz w:val="20"/>
              </w:rPr>
              <w:t>Commercial</w:t>
            </w:r>
          </w:p>
        </w:tc>
        <w:tc>
          <w:tcPr>
            <w:tcW w:type="dxa" w:w="8065"/>
          </w:tcPr>
          <w:p>
            <w:pPr>
              <w:spacing w:after="40" w:before="40"/>
              <w:jc w:val="left"/>
            </w:pPr>
            <w:r>
              <w:rPr>
                <w:rFonts w:ascii="Arial" w:hAnsi="Arial"/>
                <w:b w:val="0"/>
                <w:i w:val="0"/>
                <w:color w:val="222222"/>
                <w:sz w:val="20"/>
              </w:rPr>
              <w:t>Fixed price for Tranche 1 is issued at the end of the Phase 0 audit, within (or below) the indicative ranges.</w:t>
            </w:r>
          </w:p>
        </w:tc>
      </w:tr>
      <w:tr>
        <w:tc>
          <w:tcPr>
            <w:tcW w:type="dxa" w:w="647"/>
            <w:shd w:val="clear" w:color="auto" w:fill="F2F5F9"/>
          </w:tcPr>
          <w:p>
            <w:pPr>
              <w:spacing w:after="40" w:before="40"/>
              <w:jc w:val="center"/>
            </w:pPr>
            <w:r>
              <w:rPr>
                <w:rFonts w:ascii="Arial" w:hAnsi="Arial"/>
                <w:b w:val="0"/>
                <w:i w:val="0"/>
                <w:color w:val="222222"/>
                <w:sz w:val="20"/>
              </w:rPr>
              <w:t>8</w:t>
            </w:r>
          </w:p>
        </w:tc>
        <w:tc>
          <w:tcPr>
            <w:tcW w:type="dxa" w:w="647"/>
            <w:shd w:val="clear" w:color="auto" w:fill="F2F5F9"/>
          </w:tcPr>
          <w:p>
            <w:pPr>
              <w:spacing w:after="40" w:before="40"/>
              <w:jc w:val="left"/>
            </w:pPr>
            <w:r>
              <w:rPr>
                <w:rFonts w:ascii="Arial" w:hAnsi="Arial"/>
                <w:b w:val="0"/>
                <w:i w:val="0"/>
                <w:color w:val="222222"/>
                <w:sz w:val="20"/>
              </w:rPr>
              <w:t>Q&amp;A</w:t>
            </w:r>
          </w:p>
        </w:tc>
        <w:tc>
          <w:tcPr>
            <w:tcW w:type="dxa" w:w="8065"/>
            <w:shd w:val="clear" w:color="auto" w:fill="F2F5F9"/>
          </w:tcPr>
          <w:p>
            <w:pPr>
              <w:spacing w:after="40" w:before="40"/>
              <w:jc w:val="left"/>
            </w:pPr>
            <w:r>
              <w:rPr>
                <w:rFonts w:ascii="Arial" w:hAnsi="Arial"/>
                <w:b w:val="0"/>
                <w:i w:val="0"/>
                <w:color w:val="222222"/>
                <w:sz w:val="20"/>
              </w:rPr>
              <w:t>Questions and clarifications are answered within 2 working days.</w:t>
            </w:r>
          </w:p>
        </w:tc>
      </w:tr>
    </w:tbl>
    <w:p>
      <w:pPr>
        <w:pStyle w:val="Heading1"/>
      </w:pPr>
      <w:r>
        <w:t>3. Solution Approach</w:t>
      </w:r>
    </w:p>
    <w:p>
      <w:pPr>
        <w:pStyle w:val="Heading2"/>
      </w:pPr>
      <w:r>
        <w:t>3.1 Delivery Methodology</w:t>
      </w:r>
    </w:p>
    <w:p>
      <w:pPr>
        <w:spacing w:after="120"/>
      </w:pPr>
      <w:r>
        <w:rPr>
          <w:rFonts w:ascii="Arial" w:hAnsi="Arial"/>
          <w:b w:val="0"/>
          <w:i w:val="0"/>
          <w:color w:val="222222"/>
          <w:sz w:val="22"/>
        </w:rPr>
        <w:t>We employ an Agile Scrum methodology with 2-week sprints, following a "keep &amp; extend" approach (no rebuild). A ~2-week Phase 0 audit precedes development: we review the repository, confirm reusability and validate the estimate, then issue a fixed price for Tranche 1.</w:t>
      </w:r>
    </w:p>
    <w:p>
      <w:pPr>
        <w:spacing w:after="120"/>
      </w:pPr>
      <w:r>
        <w:rPr>
          <w:rFonts w:ascii="Arial" w:hAnsi="Arial"/>
          <w:b/>
          <w:i w:val="0"/>
          <w:color w:val="222222"/>
          <w:sz w:val="22"/>
        </w:rPr>
        <w:t>Key ceremonies:</w:t>
      </w:r>
    </w:p>
    <w:p>
      <w:pPr>
        <w:numPr>
          <w:ilvl w:val="0"/>
          <w:numId w:val="5"/>
        </w:numPr>
        <w:spacing w:after="60"/>
        <w:ind w:left="720" w:hanging="360"/>
      </w:pPr>
      <w:r>
        <w:rPr>
          <w:rFonts w:ascii="Arial" w:hAnsi="Arial"/>
          <w:b w:val="0"/>
          <w:i w:val="0"/>
          <w:color w:val="222222"/>
          <w:sz w:val="22"/>
        </w:rPr>
        <w:t>Sprint Planning — define the sprint backlog from prioritised user stories.</w:t>
      </w:r>
    </w:p>
    <w:p>
      <w:pPr>
        <w:numPr>
          <w:ilvl w:val="0"/>
          <w:numId w:val="5"/>
        </w:numPr>
        <w:spacing w:after="60"/>
        <w:ind w:left="720" w:hanging="360"/>
      </w:pPr>
      <w:r>
        <w:rPr>
          <w:rFonts w:ascii="Arial" w:hAnsi="Arial"/>
          <w:b w:val="0"/>
          <w:i w:val="0"/>
          <w:color w:val="222222"/>
          <w:sz w:val="22"/>
        </w:rPr>
        <w:t>Daily Standups — 15-minute sync on progress, blockers and next steps.</w:t>
      </w:r>
    </w:p>
    <w:p>
      <w:pPr>
        <w:numPr>
          <w:ilvl w:val="0"/>
          <w:numId w:val="5"/>
        </w:numPr>
        <w:spacing w:after="60"/>
        <w:ind w:left="720" w:hanging="360"/>
      </w:pPr>
      <w:r>
        <w:rPr>
          <w:rFonts w:ascii="Arial" w:hAnsi="Arial"/>
          <w:b w:val="0"/>
          <w:i w:val="0"/>
          <w:color w:val="222222"/>
          <w:sz w:val="22"/>
        </w:rPr>
        <w:t>Sprint Demo — bi-weekly client demonstration of working software.</w:t>
      </w:r>
    </w:p>
    <w:p>
      <w:pPr>
        <w:numPr>
          <w:ilvl w:val="0"/>
          <w:numId w:val="5"/>
        </w:numPr>
        <w:spacing w:after="60"/>
        <w:ind w:left="720" w:hanging="360"/>
      </w:pPr>
      <w:r>
        <w:rPr>
          <w:rFonts w:ascii="Arial" w:hAnsi="Arial"/>
          <w:b w:val="0"/>
          <w:i w:val="0"/>
          <w:color w:val="222222"/>
          <w:sz w:val="22"/>
        </w:rPr>
        <w:t>Sprint Retrospective — team reflection to improve the process.</w:t>
      </w:r>
    </w:p>
    <w:p>
      <w:pPr>
        <w:pStyle w:val="Heading2"/>
      </w:pPr>
      <w:r>
        <w:t>3.2 Communication &amp; Collaboration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4680"/>
        <w:gridCol w:w="4680"/>
      </w:tblGrid>
      <w:tr>
        <w:tc>
          <w:tcPr>
            <w:tcW w:type="dxa" w:w="2674"/>
            <w:shd w:val="clear" w:color="auto" w:fill="1A2B4A"/>
          </w:tcPr>
          <w:p>
            <w:pPr>
              <w:spacing w:after="40" w:before="40"/>
              <w:jc w:val="left"/>
            </w:pPr>
            <w:r>
              <w:rPr>
                <w:rFonts w:ascii="Arial" w:hAnsi="Arial"/>
                <w:b/>
                <w:i w:val="0"/>
                <w:color w:val="FFFFFF"/>
                <w:sz w:val="20"/>
              </w:rPr>
              <w:t>Tool / Activity</w:t>
            </w:r>
          </w:p>
        </w:tc>
        <w:tc>
          <w:tcPr>
            <w:tcW w:type="dxa" w:w="6685"/>
            <w:shd w:val="clear" w:color="auto" w:fill="1A2B4A"/>
          </w:tcPr>
          <w:p>
            <w:pPr>
              <w:spacing w:after="40" w:before="40"/>
              <w:jc w:val="left"/>
            </w:pPr>
            <w:r>
              <w:rPr>
                <w:rFonts w:ascii="Arial" w:hAnsi="Arial"/>
                <w:b/>
                <w:i w:val="0"/>
                <w:color w:val="FFFFFF"/>
                <w:sz w:val="20"/>
              </w:rPr>
              <w:t>Purpose</w:t>
            </w:r>
          </w:p>
        </w:tc>
      </w:tr>
      <w:tr>
        <w:tc>
          <w:tcPr>
            <w:tcW w:type="dxa" w:w="2674"/>
          </w:tcPr>
          <w:p>
            <w:pPr>
              <w:spacing w:after="40" w:before="40"/>
              <w:jc w:val="left"/>
            </w:pPr>
            <w:r>
              <w:rPr>
                <w:rFonts w:ascii="Arial" w:hAnsi="Arial"/>
                <w:b w:val="0"/>
                <w:i w:val="0"/>
                <w:color w:val="222222"/>
                <w:sz w:val="20"/>
              </w:rPr>
              <w:t>Slack / Google Chat</w:t>
            </w:r>
          </w:p>
        </w:tc>
        <w:tc>
          <w:tcPr>
            <w:tcW w:type="dxa" w:w="6685"/>
          </w:tcPr>
          <w:p>
            <w:pPr>
              <w:spacing w:after="40" w:before="40"/>
              <w:jc w:val="left"/>
            </w:pPr>
            <w:r>
              <w:rPr>
                <w:rFonts w:ascii="Arial" w:hAnsi="Arial"/>
                <w:b w:val="0"/>
                <w:i w:val="0"/>
                <w:color w:val="222222"/>
                <w:sz w:val="20"/>
              </w:rPr>
              <w:t>Daily communication, real-time questions and updates</w:t>
            </w:r>
          </w:p>
        </w:tc>
      </w:tr>
      <w:tr>
        <w:tc>
          <w:tcPr>
            <w:tcW w:type="dxa" w:w="2674"/>
            <w:shd w:val="clear" w:color="auto" w:fill="F2F5F9"/>
          </w:tcPr>
          <w:p>
            <w:pPr>
              <w:spacing w:after="40" w:before="40"/>
              <w:jc w:val="left"/>
            </w:pPr>
            <w:r>
              <w:rPr>
                <w:rFonts w:ascii="Arial" w:hAnsi="Arial"/>
                <w:b w:val="0"/>
                <w:i w:val="0"/>
                <w:color w:val="222222"/>
                <w:sz w:val="20"/>
              </w:rPr>
              <w:t>Jira</w:t>
            </w:r>
          </w:p>
        </w:tc>
        <w:tc>
          <w:tcPr>
            <w:tcW w:type="dxa" w:w="6685"/>
            <w:shd w:val="clear" w:color="auto" w:fill="F2F5F9"/>
          </w:tcPr>
          <w:p>
            <w:pPr>
              <w:spacing w:after="40" w:before="40"/>
              <w:jc w:val="left"/>
            </w:pPr>
            <w:r>
              <w:rPr>
                <w:rFonts w:ascii="Arial" w:hAnsi="Arial"/>
                <w:b w:val="0"/>
                <w:i w:val="0"/>
                <w:color w:val="222222"/>
                <w:sz w:val="20"/>
              </w:rPr>
              <w:t>Project tracking, backlog, sprint progress, burn-down charts</w:t>
            </w:r>
          </w:p>
        </w:tc>
      </w:tr>
      <w:tr>
        <w:tc>
          <w:tcPr>
            <w:tcW w:type="dxa" w:w="2674"/>
          </w:tcPr>
          <w:p>
            <w:pPr>
              <w:spacing w:after="40" w:before="40"/>
              <w:jc w:val="left"/>
            </w:pPr>
            <w:r>
              <w:rPr>
                <w:rFonts w:ascii="Arial" w:hAnsi="Arial"/>
                <w:b w:val="0"/>
                <w:i w:val="0"/>
                <w:color w:val="222222"/>
                <w:sz w:val="20"/>
              </w:rPr>
              <w:t>GitHub / GitLab</w:t>
            </w:r>
          </w:p>
        </w:tc>
        <w:tc>
          <w:tcPr>
            <w:tcW w:type="dxa" w:w="6685"/>
          </w:tcPr>
          <w:p>
            <w:pPr>
              <w:spacing w:after="40" w:before="40"/>
              <w:jc w:val="left"/>
            </w:pPr>
            <w:r>
              <w:rPr>
                <w:rFonts w:ascii="Arial" w:hAnsi="Arial"/>
                <w:b w:val="0"/>
                <w:i w:val="0"/>
                <w:color w:val="222222"/>
                <w:sz w:val="20"/>
              </w:rPr>
              <w:t>Version control, pull-request reviews, automated CI/CD</w:t>
            </w:r>
          </w:p>
        </w:tc>
      </w:tr>
      <w:tr>
        <w:tc>
          <w:tcPr>
            <w:tcW w:type="dxa" w:w="2674"/>
            <w:shd w:val="clear" w:color="auto" w:fill="F2F5F9"/>
          </w:tcPr>
          <w:p>
            <w:pPr>
              <w:spacing w:after="40" w:before="40"/>
              <w:jc w:val="left"/>
            </w:pPr>
            <w:r>
              <w:rPr>
                <w:rFonts w:ascii="Arial" w:hAnsi="Arial"/>
                <w:b w:val="0"/>
                <w:i w:val="0"/>
                <w:color w:val="222222"/>
                <w:sz w:val="20"/>
              </w:rPr>
              <w:t>Confluence / Google Docs</w:t>
            </w:r>
          </w:p>
        </w:tc>
        <w:tc>
          <w:tcPr>
            <w:tcW w:type="dxa" w:w="6685"/>
            <w:shd w:val="clear" w:color="auto" w:fill="F2F5F9"/>
          </w:tcPr>
          <w:p>
            <w:pPr>
              <w:spacing w:after="40" w:before="40"/>
              <w:jc w:val="left"/>
            </w:pPr>
            <w:r>
              <w:rPr>
                <w:rFonts w:ascii="Arial" w:hAnsi="Arial"/>
                <w:b w:val="0"/>
                <w:i w:val="0"/>
                <w:color w:val="222222"/>
                <w:sz w:val="20"/>
              </w:rPr>
              <w:t>SRS, technical documentation, API specs, user guides</w:t>
            </w:r>
          </w:p>
        </w:tc>
      </w:tr>
      <w:tr>
        <w:tc>
          <w:tcPr>
            <w:tcW w:type="dxa" w:w="2674"/>
          </w:tcPr>
          <w:p>
            <w:pPr>
              <w:spacing w:after="40" w:before="40"/>
              <w:jc w:val="left"/>
            </w:pPr>
            <w:r>
              <w:rPr>
                <w:rFonts w:ascii="Arial" w:hAnsi="Arial"/>
                <w:b w:val="0"/>
                <w:i w:val="0"/>
                <w:color w:val="222222"/>
                <w:sz w:val="20"/>
              </w:rPr>
              <w:t>Figma</w:t>
            </w:r>
          </w:p>
        </w:tc>
        <w:tc>
          <w:tcPr>
            <w:tcW w:type="dxa" w:w="6685"/>
          </w:tcPr>
          <w:p>
            <w:pPr>
              <w:spacing w:after="40" w:before="40"/>
              <w:jc w:val="left"/>
            </w:pPr>
            <w:r>
              <w:rPr>
                <w:rFonts w:ascii="Arial" w:hAnsi="Arial"/>
                <w:b w:val="0"/>
                <w:i w:val="0"/>
                <w:color w:val="222222"/>
                <w:sz w:val="20"/>
              </w:rPr>
              <w:t>UI/UX design, interactive prototypes, design system</w:t>
            </w:r>
          </w:p>
        </w:tc>
      </w:tr>
      <w:tr>
        <w:tc>
          <w:tcPr>
            <w:tcW w:type="dxa" w:w="2674"/>
            <w:shd w:val="clear" w:color="auto" w:fill="F2F5F9"/>
          </w:tcPr>
          <w:p>
            <w:pPr>
              <w:spacing w:after="40" w:before="40"/>
              <w:jc w:val="left"/>
            </w:pPr>
            <w:r>
              <w:rPr>
                <w:rFonts w:ascii="Arial" w:hAnsi="Arial"/>
                <w:b w:val="0"/>
                <w:i w:val="0"/>
                <w:color w:val="222222"/>
                <w:sz w:val="20"/>
              </w:rPr>
              <w:t>Zoom / Teams</w:t>
            </w:r>
          </w:p>
        </w:tc>
        <w:tc>
          <w:tcPr>
            <w:tcW w:type="dxa" w:w="6685"/>
            <w:shd w:val="clear" w:color="auto" w:fill="F2F5F9"/>
          </w:tcPr>
          <w:p>
            <w:pPr>
              <w:spacing w:after="40" w:before="40"/>
              <w:jc w:val="left"/>
            </w:pPr>
            <w:r>
              <w:rPr>
                <w:rFonts w:ascii="Arial" w:hAnsi="Arial"/>
                <w:b w:val="0"/>
                <w:i w:val="0"/>
                <w:color w:val="222222"/>
                <w:sz w:val="20"/>
              </w:rPr>
              <w:t>Bi-weekly demos and reviews</w:t>
            </w:r>
          </w:p>
        </w:tc>
      </w:tr>
    </w:tbl>
    <w:p>
      <w:pPr>
        <w:pStyle w:val="Heading2"/>
      </w:pPr>
      <w:r>
        <w:t>3.3 Quality Assurance Strategy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3120"/>
        <w:gridCol w:w="3120"/>
        <w:gridCol w:w="3120"/>
      </w:tblGrid>
      <w:tr>
        <w:tc>
          <w:tcPr>
            <w:tcW w:type="dxa" w:w="1766"/>
            <w:shd w:val="clear" w:color="auto" w:fill="1A2B4A"/>
          </w:tcPr>
          <w:p>
            <w:pPr>
              <w:spacing w:after="40" w:before="40"/>
              <w:jc w:val="left"/>
            </w:pPr>
            <w:r>
              <w:rPr>
                <w:rFonts w:ascii="Arial" w:hAnsi="Arial"/>
                <w:b/>
                <w:i w:val="0"/>
                <w:color w:val="FFFFFF"/>
                <w:sz w:val="20"/>
              </w:rPr>
              <w:t>Testing Type</w:t>
            </w:r>
          </w:p>
        </w:tc>
        <w:tc>
          <w:tcPr>
            <w:tcW w:type="dxa" w:w="1677"/>
            <w:shd w:val="clear" w:color="auto" w:fill="1A2B4A"/>
          </w:tcPr>
          <w:p>
            <w:pPr>
              <w:spacing w:after="40" w:before="40"/>
              <w:jc w:val="left"/>
            </w:pPr>
            <w:r>
              <w:rPr>
                <w:rFonts w:ascii="Arial" w:hAnsi="Arial"/>
                <w:b/>
                <w:i w:val="0"/>
                <w:color w:val="FFFFFF"/>
                <w:sz w:val="20"/>
              </w:rPr>
              <w:t>Tools</w:t>
            </w:r>
          </w:p>
        </w:tc>
        <w:tc>
          <w:tcPr>
            <w:tcW w:type="dxa" w:w="5916"/>
            <w:shd w:val="clear" w:color="auto" w:fill="1A2B4A"/>
          </w:tcPr>
          <w:p>
            <w:pPr>
              <w:spacing w:after="40" w:before="40"/>
              <w:jc w:val="left"/>
            </w:pPr>
            <w:r>
              <w:rPr>
                <w:rFonts w:ascii="Arial" w:hAnsi="Arial"/>
                <w:b/>
                <w:i w:val="0"/>
                <w:color w:val="FFFFFF"/>
                <w:sz w:val="20"/>
              </w:rPr>
              <w:t>Target / Approach</w:t>
            </w:r>
          </w:p>
        </w:tc>
      </w:tr>
      <w:tr>
        <w:tc>
          <w:tcPr>
            <w:tcW w:type="dxa" w:w="1766"/>
          </w:tcPr>
          <w:p>
            <w:pPr>
              <w:spacing w:after="40" w:before="40"/>
              <w:jc w:val="left"/>
            </w:pPr>
            <w:r>
              <w:rPr>
                <w:rFonts w:ascii="Arial" w:hAnsi="Arial"/>
                <w:b w:val="0"/>
                <w:i w:val="0"/>
                <w:color w:val="222222"/>
                <w:sz w:val="20"/>
              </w:rPr>
              <w:t>Automated Testing</w:t>
            </w:r>
          </w:p>
        </w:tc>
        <w:tc>
          <w:tcPr>
            <w:tcW w:type="dxa" w:w="1677"/>
          </w:tcPr>
          <w:p>
            <w:pPr>
              <w:spacing w:after="40" w:before="40"/>
              <w:jc w:val="left"/>
            </w:pPr>
            <w:r>
              <w:rPr>
                <w:rFonts w:ascii="Arial" w:hAnsi="Arial"/>
                <w:b w:val="0"/>
                <w:i w:val="0"/>
                <w:color w:val="222222"/>
                <w:sz w:val="20"/>
              </w:rPr>
              <w:t>PHPUnit / Pest</w:t>
            </w:r>
          </w:p>
        </w:tc>
        <w:tc>
          <w:tcPr>
            <w:tcW w:type="dxa" w:w="5916"/>
          </w:tcPr>
          <w:p>
            <w:pPr>
              <w:spacing w:after="40" w:before="40"/>
              <w:jc w:val="left"/>
            </w:pPr>
            <w:r>
              <w:rPr>
                <w:rFonts w:ascii="Arial" w:hAnsi="Arial"/>
                <w:b w:val="0"/>
                <w:i w:val="0"/>
                <w:color w:val="222222"/>
                <w:sz w:val="20"/>
              </w:rPr>
              <w:t>Unit + feature tests on booking, billing and compliance logic</w:t>
            </w:r>
          </w:p>
        </w:tc>
      </w:tr>
      <w:tr>
        <w:tc>
          <w:tcPr>
            <w:tcW w:type="dxa" w:w="1766"/>
            <w:shd w:val="clear" w:color="auto" w:fill="F2F5F9"/>
          </w:tcPr>
          <w:p>
            <w:pPr>
              <w:spacing w:after="40" w:before="40"/>
              <w:jc w:val="left"/>
            </w:pPr>
            <w:r>
              <w:rPr>
                <w:rFonts w:ascii="Arial" w:hAnsi="Arial"/>
                <w:b w:val="0"/>
                <w:i w:val="0"/>
                <w:color w:val="222222"/>
                <w:sz w:val="20"/>
              </w:rPr>
              <w:t>Integration Testing</w:t>
            </w:r>
          </w:p>
        </w:tc>
        <w:tc>
          <w:tcPr>
            <w:tcW w:type="dxa" w:w="1677"/>
            <w:shd w:val="clear" w:color="auto" w:fill="F2F5F9"/>
          </w:tcPr>
          <w:p>
            <w:pPr>
              <w:spacing w:after="40" w:before="40"/>
              <w:jc w:val="left"/>
            </w:pPr>
            <w:r>
              <w:rPr>
                <w:rFonts w:ascii="Arial" w:hAnsi="Arial"/>
                <w:b w:val="0"/>
                <w:i w:val="0"/>
                <w:color w:val="222222"/>
                <w:sz w:val="20"/>
              </w:rPr>
              <w:t>QA Engineer</w:t>
            </w:r>
          </w:p>
        </w:tc>
        <w:tc>
          <w:tcPr>
            <w:tcW w:type="dxa" w:w="5916"/>
            <w:shd w:val="clear" w:color="auto" w:fill="F2F5F9"/>
          </w:tcPr>
          <w:p>
            <w:pPr>
              <w:spacing w:after="40" w:before="40"/>
              <w:jc w:val="left"/>
            </w:pPr>
            <w:r>
              <w:rPr>
                <w:rFonts w:ascii="Arial" w:hAnsi="Arial"/>
                <w:b w:val="0"/>
                <w:i w:val="0"/>
                <w:color w:val="222222"/>
                <w:sz w:val="20"/>
              </w:rPr>
              <w:t>End-to-end portal flows (post → match → book → timesheet → invoice)</w:t>
            </w:r>
          </w:p>
        </w:tc>
      </w:tr>
      <w:tr>
        <w:tc>
          <w:tcPr>
            <w:tcW w:type="dxa" w:w="1766"/>
          </w:tcPr>
          <w:p>
            <w:pPr>
              <w:spacing w:after="40" w:before="40"/>
              <w:jc w:val="left"/>
            </w:pPr>
            <w:r>
              <w:rPr>
                <w:rFonts w:ascii="Arial" w:hAnsi="Arial"/>
                <w:b w:val="0"/>
                <w:i w:val="0"/>
                <w:color w:val="222222"/>
                <w:sz w:val="20"/>
              </w:rPr>
              <w:t>Manual / Exploratory</w:t>
            </w:r>
          </w:p>
        </w:tc>
        <w:tc>
          <w:tcPr>
            <w:tcW w:type="dxa" w:w="1677"/>
          </w:tcPr>
          <w:p>
            <w:pPr>
              <w:spacing w:after="40" w:before="40"/>
              <w:jc w:val="left"/>
            </w:pPr>
            <w:r>
              <w:rPr>
                <w:rFonts w:ascii="Arial" w:hAnsi="Arial"/>
                <w:b w:val="0"/>
                <w:i w:val="0"/>
                <w:color w:val="222222"/>
                <w:sz w:val="20"/>
              </w:rPr>
              <w:t>QA Engineer</w:t>
            </w:r>
          </w:p>
        </w:tc>
        <w:tc>
          <w:tcPr>
            <w:tcW w:type="dxa" w:w="5916"/>
          </w:tcPr>
          <w:p>
            <w:pPr>
              <w:spacing w:after="40" w:before="40"/>
              <w:jc w:val="left"/>
            </w:pPr>
            <w:r>
              <w:rPr>
                <w:rFonts w:ascii="Arial" w:hAnsi="Arial"/>
                <w:b w:val="0"/>
                <w:i w:val="0"/>
                <w:color w:val="222222"/>
                <w:sz w:val="20"/>
              </w:rPr>
              <w:t>Edge cases, RBAC, multi-tenant isolation, UX validation</w:t>
            </w:r>
          </w:p>
        </w:tc>
      </w:tr>
      <w:tr>
        <w:tc>
          <w:tcPr>
            <w:tcW w:type="dxa" w:w="1766"/>
            <w:shd w:val="clear" w:color="auto" w:fill="F2F5F9"/>
          </w:tcPr>
          <w:p>
            <w:pPr>
              <w:spacing w:after="40" w:before="40"/>
              <w:jc w:val="left"/>
            </w:pPr>
            <w:r>
              <w:rPr>
                <w:rFonts w:ascii="Arial" w:hAnsi="Arial"/>
                <w:b w:val="0"/>
                <w:i w:val="0"/>
                <w:color w:val="222222"/>
                <w:sz w:val="20"/>
              </w:rPr>
              <w:t>User Acceptance</w:t>
            </w:r>
          </w:p>
        </w:tc>
        <w:tc>
          <w:tcPr>
            <w:tcW w:type="dxa" w:w="1677"/>
            <w:shd w:val="clear" w:color="auto" w:fill="F2F5F9"/>
          </w:tcPr>
          <w:p>
            <w:pPr>
              <w:spacing w:after="40" w:before="40"/>
              <w:jc w:val="left"/>
            </w:pPr>
            <w:r>
              <w:rPr>
                <w:rFonts w:ascii="Arial" w:hAnsi="Arial"/>
                <w:b w:val="0"/>
                <w:i w:val="0"/>
                <w:color w:val="222222"/>
                <w:sz w:val="20"/>
              </w:rPr>
              <w:t>Staging environment</w:t>
            </w:r>
          </w:p>
        </w:tc>
        <w:tc>
          <w:tcPr>
            <w:tcW w:type="dxa" w:w="5916"/>
            <w:shd w:val="clear" w:color="auto" w:fill="F2F5F9"/>
          </w:tcPr>
          <w:p>
            <w:pPr>
              <w:spacing w:after="40" w:before="40"/>
              <w:jc w:val="left"/>
            </w:pPr>
            <w:r>
              <w:rPr>
                <w:rFonts w:ascii="Arial" w:hAnsi="Arial"/>
                <w:b w:val="0"/>
                <w:i w:val="0"/>
                <w:color w:val="222222"/>
                <w:sz w:val="20"/>
              </w:rPr>
              <w:t>Client-led acceptance before go-live</w:t>
            </w:r>
          </w:p>
        </w:tc>
      </w:tr>
    </w:tbl>
    <w:p>
      <w:pPr>
        <w:pStyle w:val="Heading1"/>
      </w:pPr>
      <w:r>
        <w:t>4. Technical Requirements</w:t>
      </w:r>
    </w:p>
    <w:p>
      <w:pPr>
        <w:pStyle w:val="Heading2"/>
      </w:pPr>
      <w:r>
        <w:t>4.1 Core Architectural Principles</w:t>
      </w:r>
    </w:p>
    <w:p>
      <w:pPr>
        <w:numPr>
          <w:ilvl w:val="0"/>
          <w:numId w:val="5"/>
        </w:numPr>
        <w:spacing w:after="60"/>
        <w:ind w:left="720" w:hanging="360"/>
      </w:pPr>
      <w:r>
        <w:rPr>
          <w:rFonts w:ascii="Arial" w:hAnsi="Arial"/>
          <w:b w:val="0"/>
          <w:i w:val="0"/>
          <w:color w:val="222222"/>
          <w:sz w:val="22"/>
        </w:rPr>
        <w:t>Keep &amp; extend the existing Laravel + Filament core — no rebuild.</w:t>
      </w:r>
    </w:p>
    <w:p>
      <w:pPr>
        <w:numPr>
          <w:ilvl w:val="0"/>
          <w:numId w:val="5"/>
        </w:numPr>
        <w:spacing w:after="60"/>
        <w:ind w:left="720" w:hanging="360"/>
      </w:pPr>
      <w:r>
        <w:rPr>
          <w:rFonts w:ascii="Arial" w:hAnsi="Arial"/>
          <w:b w:val="0"/>
          <w:i w:val="0"/>
          <w:color w:val="222222"/>
          <w:sz w:val="22"/>
        </w:rPr>
        <w:t>Shared multi-tenant backend; the industry layer is switched on/off via configuration.</w:t>
      </w:r>
    </w:p>
    <w:p>
      <w:pPr>
        <w:numPr>
          <w:ilvl w:val="0"/>
          <w:numId w:val="5"/>
        </w:numPr>
        <w:spacing w:after="60"/>
        <w:ind w:left="720" w:hanging="360"/>
      </w:pPr>
      <w:r>
        <w:rPr>
          <w:rFonts w:ascii="Arial" w:hAnsi="Arial"/>
          <w:b w:val="0"/>
          <w:i w:val="0"/>
          <w:color w:val="222222"/>
          <w:sz w:val="22"/>
        </w:rPr>
        <w:t>Per-tenant compliance isolation — Yedi safeguarding stays separate from Tidal.</w:t>
      </w:r>
    </w:p>
    <w:p>
      <w:pPr>
        <w:numPr>
          <w:ilvl w:val="0"/>
          <w:numId w:val="5"/>
        </w:numPr>
        <w:spacing w:after="60"/>
        <w:ind w:left="720" w:hanging="360"/>
      </w:pPr>
      <w:r>
        <w:rPr>
          <w:rFonts w:ascii="Arial" w:hAnsi="Arial"/>
          <w:b w:val="0"/>
          <w:i w:val="0"/>
          <w:color w:val="222222"/>
          <w:sz w:val="22"/>
        </w:rPr>
        <w:t>API-first services powering the Brand and Candidate self-service portals.</w:t>
      </w:r>
    </w:p>
    <w:p>
      <w:pPr>
        <w:numPr>
          <w:ilvl w:val="0"/>
          <w:numId w:val="5"/>
        </w:numPr>
        <w:spacing w:after="60"/>
        <w:ind w:left="720" w:hanging="360"/>
      </w:pPr>
      <w:r>
        <w:rPr>
          <w:rFonts w:ascii="Arial" w:hAnsi="Arial"/>
          <w:b w:val="0"/>
          <w:i w:val="0"/>
          <w:color w:val="222222"/>
          <w:sz w:val="22"/>
        </w:rPr>
        <w:t>Security and GDPR by design; automated tests and CI/CD from day one.</w:t>
      </w:r>
    </w:p>
    <w:p>
      <w:pPr>
        <w:pStyle w:val="Heading2"/>
      </w:pPr>
      <w:r>
        <w:t>4.2 System Architecture</w:t>
      </w:r>
    </w:p>
    <w:p>
      <w:pPr>
        <w:spacing w:after="120"/>
      </w:pPr>
      <w:r>
        <w:rPr>
          <w:rFonts w:ascii="Arial" w:hAnsi="Arial"/>
          <w:b w:val="0"/>
          <w:i w:val="0"/>
          <w:color w:val="222222"/>
          <w:sz w:val="22"/>
        </w:rPr>
        <w:t>The system extends the existing admin into a layered, service-oriented platform:</w:t>
      </w:r>
    </w:p>
    <w:p>
      <w:pPr>
        <w:numPr>
          <w:ilvl w:val="0"/>
          <w:numId w:val="5"/>
        </w:numPr>
        <w:spacing w:after="60"/>
        <w:ind w:left="720" w:hanging="360"/>
      </w:pPr>
      <w:r>
        <w:rPr>
          <w:rFonts w:ascii="Arial" w:hAnsi="Arial"/>
          <w:b/>
          <w:i w:val="0"/>
          <w:color w:val="222222"/>
          <w:sz w:val="22"/>
        </w:rPr>
        <w:t>Client layer:</w:t>
      </w:r>
      <w:r>
        <w:rPr>
          <w:rFonts w:ascii="Arial" w:hAnsi="Arial"/>
          <w:b w:val="0"/>
          <w:i w:val="0"/>
          <w:color w:val="222222"/>
          <w:sz w:val="22"/>
        </w:rPr>
        <w:t xml:space="preserve"> Admin (Filament), Brand/School portal, Candidate/Teacher portal.</w:t>
      </w:r>
    </w:p>
    <w:p>
      <w:pPr>
        <w:numPr>
          <w:ilvl w:val="0"/>
          <w:numId w:val="5"/>
        </w:numPr>
        <w:spacing w:after="60"/>
        <w:ind w:left="720" w:hanging="360"/>
      </w:pPr>
      <w:r>
        <w:rPr>
          <w:rFonts w:ascii="Arial" w:hAnsi="Arial"/>
          <w:b/>
          <w:i w:val="0"/>
          <w:color w:val="222222"/>
          <w:sz w:val="22"/>
        </w:rPr>
        <w:t>API layer:</w:t>
      </w:r>
      <w:r>
        <w:rPr>
          <w:rFonts w:ascii="Arial" w:hAnsi="Arial"/>
          <w:b w:val="0"/>
          <w:i w:val="0"/>
          <w:color w:val="222222"/>
          <w:sz w:val="22"/>
        </w:rPr>
        <w:t xml:space="preserve"> REST services with multi-party JWT/session auth and RBAC.</w:t>
      </w:r>
    </w:p>
    <w:p>
      <w:pPr>
        <w:numPr>
          <w:ilvl w:val="0"/>
          <w:numId w:val="5"/>
        </w:numPr>
        <w:spacing w:after="60"/>
        <w:ind w:left="720" w:hanging="360"/>
      </w:pPr>
      <w:r>
        <w:rPr>
          <w:rFonts w:ascii="Arial" w:hAnsi="Arial"/>
          <w:b/>
          <w:i w:val="0"/>
          <w:color w:val="222222"/>
          <w:sz w:val="22"/>
        </w:rPr>
        <w:t>Service layer:</w:t>
      </w:r>
      <w:r>
        <w:rPr>
          <w:rFonts w:ascii="Arial" w:hAnsi="Arial"/>
          <w:b w:val="0"/>
          <w:i w:val="0"/>
          <w:color w:val="222222"/>
          <w:sz w:val="22"/>
        </w:rPr>
        <w:t xml:space="preserve"> Identity, Adverts, Applications/Matching/Booking, Compliance, Timesheets, Billing, Notifications, Multi-Tenancy.</w:t>
      </w:r>
    </w:p>
    <w:p>
      <w:pPr>
        <w:numPr>
          <w:ilvl w:val="0"/>
          <w:numId w:val="5"/>
        </w:numPr>
        <w:spacing w:after="60"/>
        <w:ind w:left="720" w:hanging="360"/>
      </w:pPr>
      <w:r>
        <w:rPr>
          <w:rFonts w:ascii="Arial" w:hAnsi="Arial"/>
          <w:b/>
          <w:i w:val="0"/>
          <w:color w:val="222222"/>
          <w:sz w:val="22"/>
        </w:rPr>
        <w:t>Data layer:</w:t>
      </w:r>
      <w:r>
        <w:rPr>
          <w:rFonts w:ascii="Arial" w:hAnsi="Arial"/>
          <w:b w:val="0"/>
          <w:i w:val="0"/>
          <w:color w:val="222222"/>
          <w:sz w:val="22"/>
        </w:rPr>
        <w:t xml:space="preserve"> MySQL/PostgreSQL (multi-tenant schema), Redis (cache/queue), S3-compatible document storage.</w:t>
      </w:r>
    </w:p>
    <w:p>
      <w:pPr>
        <w:numPr>
          <w:ilvl w:val="0"/>
          <w:numId w:val="5"/>
        </w:numPr>
        <w:spacing w:after="60"/>
        <w:ind w:left="720" w:hanging="360"/>
      </w:pPr>
      <w:r>
        <w:rPr>
          <w:rFonts w:ascii="Arial" w:hAnsi="Arial"/>
          <w:b/>
          <w:i w:val="0"/>
          <w:color w:val="222222"/>
          <w:sz w:val="22"/>
        </w:rPr>
        <w:t>External services:</w:t>
      </w:r>
      <w:r>
        <w:rPr>
          <w:rFonts w:ascii="Arial" w:hAnsi="Arial"/>
          <w:b w:val="0"/>
          <w:i w:val="0"/>
          <w:color w:val="222222"/>
          <w:sz w:val="22"/>
        </w:rPr>
        <w:t xml:space="preserve"> Email/SMS, payments, ID verification and e-signature (Tranche 2).</w:t>
      </w:r>
    </w:p>
    <w:p>
      <w:pPr>
        <w:pStyle w:val="Heading2"/>
      </w:pPr>
      <w:r>
        <w:t>4.3 Architecture Options — Shared vs Separate</w:t>
      </w:r>
    </w:p>
    <w:p>
      <w:pPr>
        <w:spacing w:after="120"/>
      </w:pPr>
      <w:r>
        <w:rPr>
          <w:rFonts w:ascii="Arial" w:hAnsi="Arial"/>
          <w:b w:val="0"/>
          <w:i w:val="0"/>
          <w:color w:val="222222"/>
          <w:sz w:val="22"/>
        </w:rPr>
        <w:t>Because every missing engine is identical for both platforms, we recommend building it once on a multi-tenant foundation: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3120"/>
        <w:gridCol w:w="3120"/>
        <w:gridCol w:w="3120"/>
      </w:tblGrid>
      <w:tr>
        <w:tc>
          <w:tcPr>
            <w:tcW w:type="dxa" w:w="5304"/>
            <w:shd w:val="clear" w:color="auto" w:fill="1A2B4A"/>
          </w:tcPr>
          <w:p>
            <w:pPr>
              <w:spacing w:after="40" w:before="40"/>
              <w:jc w:val="left"/>
            </w:pPr>
            <w:r>
              <w:rPr>
                <w:rFonts w:ascii="Arial" w:hAnsi="Arial"/>
                <w:b/>
                <w:i w:val="0"/>
                <w:color w:val="FFFFFF"/>
                <w:sz w:val="20"/>
              </w:rPr>
              <w:t>Scenario</w:t>
            </w:r>
          </w:p>
        </w:tc>
        <w:tc>
          <w:tcPr>
            <w:tcW w:type="dxa" w:w="1326"/>
            <w:shd w:val="clear" w:color="auto" w:fill="1A2B4A"/>
          </w:tcPr>
          <w:p>
            <w:pPr>
              <w:spacing w:after="40" w:before="40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20"/>
              </w:rPr>
              <w:t>Cost</w:t>
            </w:r>
          </w:p>
        </w:tc>
        <w:tc>
          <w:tcPr>
            <w:tcW w:type="dxa" w:w="2730"/>
            <w:shd w:val="clear" w:color="auto" w:fill="1A2B4A"/>
          </w:tcPr>
          <w:p>
            <w:pPr>
              <w:spacing w:after="40" w:before="40"/>
              <w:jc w:val="left"/>
            </w:pPr>
            <w:r>
              <w:rPr>
                <w:rFonts w:ascii="Arial" w:hAnsi="Arial"/>
                <w:b/>
                <w:i w:val="0"/>
                <w:color w:val="FFFFFF"/>
                <w:sz w:val="20"/>
              </w:rPr>
              <w:t>Assessment</w:t>
            </w:r>
          </w:p>
        </w:tc>
      </w:tr>
      <w:tr>
        <w:tc>
          <w:tcPr>
            <w:tcW w:type="dxa" w:w="5304"/>
          </w:tcPr>
          <w:p>
            <w:pPr>
              <w:spacing w:after="40" w:before="40"/>
              <w:jc w:val="left"/>
            </w:pPr>
            <w:r>
              <w:rPr>
                <w:rFonts w:ascii="Arial" w:hAnsi="Arial"/>
                <w:b w:val="0"/>
                <w:i w:val="0"/>
                <w:color w:val="222222"/>
                <w:sz w:val="20"/>
              </w:rPr>
              <w:t>A. Shared multi-tenant; industry-specific FE / branding / compliance</w:t>
            </w:r>
          </w:p>
        </w:tc>
        <w:tc>
          <w:tcPr>
            <w:tcW w:type="dxa" w:w="1326"/>
          </w:tcPr>
          <w:p>
            <w:pPr>
              <w:spacing w:after="40" w:before="40"/>
              <w:jc w:val="center"/>
            </w:pPr>
            <w:r>
              <w:rPr>
                <w:rFonts w:ascii="Arial" w:hAnsi="Arial"/>
                <w:b w:val="0"/>
                <w:i w:val="0"/>
                <w:color w:val="222222"/>
                <w:sz w:val="20"/>
              </w:rPr>
              <w:t>Lowest</w:t>
            </w:r>
          </w:p>
        </w:tc>
        <w:tc>
          <w:tcPr>
            <w:tcW w:type="dxa" w:w="2730"/>
          </w:tcPr>
          <w:p>
            <w:pPr>
              <w:spacing w:after="40" w:before="40"/>
              <w:jc w:val="left"/>
            </w:pPr>
            <w:r>
              <w:rPr>
                <w:rFonts w:ascii="Arial" w:hAnsi="Arial"/>
                <w:b w:val="0"/>
                <w:i w:val="0"/>
                <w:color w:val="222222"/>
                <w:sz w:val="20"/>
              </w:rPr>
              <w:t>RECOMMENDED — matches your instinct</w:t>
            </w:r>
          </w:p>
        </w:tc>
      </w:tr>
      <w:tr>
        <w:tc>
          <w:tcPr>
            <w:tcW w:type="dxa" w:w="5304"/>
            <w:shd w:val="clear" w:color="auto" w:fill="F2F5F9"/>
          </w:tcPr>
          <w:p>
            <w:pPr>
              <w:spacing w:after="40" w:before="40"/>
              <w:jc w:val="left"/>
            </w:pPr>
            <w:r>
              <w:rPr>
                <w:rFonts w:ascii="Arial" w:hAnsi="Arial"/>
                <w:b w:val="0"/>
                <w:i w:val="0"/>
                <w:color w:val="222222"/>
                <w:sz w:val="20"/>
              </w:rPr>
              <w:t>B. Shared core library + two separate deployments</w:t>
            </w:r>
          </w:p>
        </w:tc>
        <w:tc>
          <w:tcPr>
            <w:tcW w:type="dxa" w:w="1326"/>
            <w:shd w:val="clear" w:color="auto" w:fill="F2F5F9"/>
          </w:tcPr>
          <w:p>
            <w:pPr>
              <w:spacing w:after="40" w:before="40"/>
              <w:jc w:val="center"/>
            </w:pPr>
            <w:r>
              <w:rPr>
                <w:rFonts w:ascii="Arial" w:hAnsi="Arial"/>
                <w:b w:val="0"/>
                <w:i w:val="0"/>
                <w:color w:val="222222"/>
                <w:sz w:val="20"/>
              </w:rPr>
              <w:t>Medium</w:t>
            </w:r>
          </w:p>
        </w:tc>
        <w:tc>
          <w:tcPr>
            <w:tcW w:type="dxa" w:w="2730"/>
            <w:shd w:val="clear" w:color="auto" w:fill="F2F5F9"/>
          </w:tcPr>
          <w:p>
            <w:pPr>
              <w:spacing w:after="40" w:before="40"/>
              <w:jc w:val="left"/>
            </w:pPr>
            <w:r>
              <w:rPr>
                <w:rFonts w:ascii="Arial" w:hAnsi="Arial"/>
                <w:b w:val="0"/>
                <w:i w:val="0"/>
                <w:color w:val="222222"/>
                <w:sz w:val="20"/>
              </w:rPr>
              <w:t>Versioning overhead; drift risk</w:t>
            </w:r>
          </w:p>
        </w:tc>
      </w:tr>
      <w:tr>
        <w:tc>
          <w:tcPr>
            <w:tcW w:type="dxa" w:w="5304"/>
          </w:tcPr>
          <w:p>
            <w:pPr>
              <w:spacing w:after="40" w:before="40"/>
              <w:jc w:val="left"/>
            </w:pPr>
            <w:r>
              <w:rPr>
                <w:rFonts w:ascii="Arial" w:hAnsi="Arial"/>
                <w:b w:val="0"/>
                <w:i w:val="0"/>
                <w:color w:val="222222"/>
                <w:sz w:val="20"/>
              </w:rPr>
              <w:t>C. Two fully separate products</w:t>
            </w:r>
          </w:p>
        </w:tc>
        <w:tc>
          <w:tcPr>
            <w:tcW w:type="dxa" w:w="1326"/>
          </w:tcPr>
          <w:p>
            <w:pPr>
              <w:spacing w:after="40" w:before="40"/>
              <w:jc w:val="center"/>
            </w:pPr>
            <w:r>
              <w:rPr>
                <w:rFonts w:ascii="Arial" w:hAnsi="Arial"/>
                <w:b w:val="0"/>
                <w:i w:val="0"/>
                <w:color w:val="222222"/>
                <w:sz w:val="20"/>
              </w:rPr>
              <w:t>Highest (+70–90%)</w:t>
            </w:r>
          </w:p>
        </w:tc>
        <w:tc>
          <w:tcPr>
            <w:tcW w:type="dxa" w:w="2730"/>
          </w:tcPr>
          <w:p>
            <w:pPr>
              <w:spacing w:after="40" w:before="40"/>
              <w:jc w:val="left"/>
            </w:pPr>
            <w:r>
              <w:rPr>
                <w:rFonts w:ascii="Arial" w:hAnsi="Arial"/>
                <w:b w:val="0"/>
                <w:i w:val="0"/>
                <w:color w:val="222222"/>
                <w:sz w:val="20"/>
              </w:rPr>
              <w:t>Not recommended — 2× maintenance</w:t>
            </w:r>
          </w:p>
        </w:tc>
      </w:tr>
    </w:tbl>
    <w:p>
      <w:pPr>
        <w:pStyle w:val="Heading2"/>
      </w:pPr>
      <w:r>
        <w:t>4.4 Technical Configuration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3120"/>
        <w:gridCol w:w="3120"/>
        <w:gridCol w:w="3120"/>
      </w:tblGrid>
      <w:tr>
        <w:tc>
          <w:tcPr>
            <w:tcW w:type="dxa" w:w="1970"/>
            <w:shd w:val="clear" w:color="auto" w:fill="1A2B4A"/>
          </w:tcPr>
          <w:p>
            <w:pPr>
              <w:spacing w:after="40" w:before="40"/>
              <w:jc w:val="left"/>
            </w:pPr>
            <w:r>
              <w:rPr>
                <w:rFonts w:ascii="Arial" w:hAnsi="Arial"/>
                <w:b/>
                <w:i w:val="0"/>
                <w:color w:val="FFFFFF"/>
                <w:sz w:val="20"/>
              </w:rPr>
              <w:t>Category</w:t>
            </w:r>
          </w:p>
        </w:tc>
        <w:tc>
          <w:tcPr>
            <w:tcW w:type="dxa" w:w="3645"/>
            <w:shd w:val="clear" w:color="auto" w:fill="1A2B4A"/>
          </w:tcPr>
          <w:p>
            <w:pPr>
              <w:spacing w:after="40" w:before="40"/>
              <w:jc w:val="left"/>
            </w:pPr>
            <w:r>
              <w:rPr>
                <w:rFonts w:ascii="Arial" w:hAnsi="Arial"/>
                <w:b/>
                <w:i w:val="0"/>
                <w:color w:val="FFFFFF"/>
                <w:sz w:val="20"/>
              </w:rPr>
              <w:t>Technology</w:t>
            </w:r>
          </w:p>
        </w:tc>
        <w:tc>
          <w:tcPr>
            <w:tcW w:type="dxa" w:w="3744"/>
            <w:shd w:val="clear" w:color="auto" w:fill="1A2B4A"/>
          </w:tcPr>
          <w:p>
            <w:pPr>
              <w:spacing w:after="40" w:before="40"/>
              <w:jc w:val="left"/>
            </w:pPr>
            <w:r>
              <w:rPr>
                <w:rFonts w:ascii="Arial" w:hAnsi="Arial"/>
                <w:b/>
                <w:i w:val="0"/>
                <w:color w:val="FFFFFF"/>
                <w:sz w:val="20"/>
              </w:rPr>
              <w:t>Note</w:t>
            </w:r>
          </w:p>
        </w:tc>
      </w:tr>
      <w:tr>
        <w:tc>
          <w:tcPr>
            <w:tcW w:type="dxa" w:w="1970"/>
          </w:tcPr>
          <w:p>
            <w:pPr>
              <w:spacing w:after="40" w:before="40"/>
              <w:jc w:val="left"/>
            </w:pPr>
            <w:r>
              <w:rPr>
                <w:rFonts w:ascii="Arial" w:hAnsi="Arial"/>
                <w:b w:val="0"/>
                <w:i w:val="0"/>
                <w:color w:val="222222"/>
                <w:sz w:val="20"/>
              </w:rPr>
              <w:t>Backend Framework</w:t>
            </w:r>
          </w:p>
        </w:tc>
        <w:tc>
          <w:tcPr>
            <w:tcW w:type="dxa" w:w="3645"/>
          </w:tcPr>
          <w:p>
            <w:pPr>
              <w:spacing w:after="40" w:before="40"/>
              <w:jc w:val="left"/>
            </w:pPr>
            <w:r>
              <w:rPr>
                <w:rFonts w:ascii="Arial" w:hAnsi="Arial"/>
                <w:b w:val="0"/>
                <w:i w:val="0"/>
                <w:color w:val="222222"/>
                <w:sz w:val="20"/>
              </w:rPr>
              <w:t>Laravel (PHP)</w:t>
            </w:r>
          </w:p>
        </w:tc>
        <w:tc>
          <w:tcPr>
            <w:tcW w:type="dxa" w:w="3744"/>
          </w:tcPr>
          <w:p>
            <w:pPr>
              <w:spacing w:after="40" w:before="40"/>
              <w:jc w:val="left"/>
            </w:pPr>
            <w:r>
              <w:rPr>
                <w:rFonts w:ascii="Arial" w:hAnsi="Arial"/>
                <w:b w:val="0"/>
                <w:i w:val="0"/>
                <w:color w:val="222222"/>
                <w:sz w:val="20"/>
              </w:rPr>
              <w:t>Existing core — keep &amp; extend</w:t>
            </w:r>
          </w:p>
        </w:tc>
      </w:tr>
      <w:tr>
        <w:tc>
          <w:tcPr>
            <w:tcW w:type="dxa" w:w="1970"/>
            <w:shd w:val="clear" w:color="auto" w:fill="F2F5F9"/>
          </w:tcPr>
          <w:p>
            <w:pPr>
              <w:spacing w:after="40" w:before="40"/>
              <w:jc w:val="left"/>
            </w:pPr>
            <w:r>
              <w:rPr>
                <w:rFonts w:ascii="Arial" w:hAnsi="Arial"/>
                <w:b w:val="0"/>
                <w:i w:val="0"/>
                <w:color w:val="222222"/>
                <w:sz w:val="20"/>
              </w:rPr>
              <w:t>Admin Panel</w:t>
            </w:r>
          </w:p>
        </w:tc>
        <w:tc>
          <w:tcPr>
            <w:tcW w:type="dxa" w:w="3645"/>
            <w:shd w:val="clear" w:color="auto" w:fill="F2F5F9"/>
          </w:tcPr>
          <w:p>
            <w:pPr>
              <w:spacing w:after="40" w:before="40"/>
              <w:jc w:val="left"/>
            </w:pPr>
            <w:r>
              <w:rPr>
                <w:rFonts w:ascii="Arial" w:hAnsi="Arial"/>
                <w:b w:val="0"/>
                <w:i w:val="0"/>
                <w:color w:val="222222"/>
                <w:sz w:val="20"/>
              </w:rPr>
              <w:t>Filament 3.x</w:t>
            </w:r>
          </w:p>
        </w:tc>
        <w:tc>
          <w:tcPr>
            <w:tcW w:type="dxa" w:w="3744"/>
            <w:shd w:val="clear" w:color="auto" w:fill="F2F5F9"/>
          </w:tcPr>
          <w:p>
            <w:pPr>
              <w:spacing w:after="40" w:before="40"/>
              <w:jc w:val="left"/>
            </w:pPr>
            <w:r>
              <w:rPr>
                <w:rFonts w:ascii="Arial" w:hAnsi="Arial"/>
                <w:b w:val="0"/>
                <w:i w:val="0"/>
                <w:color w:val="222222"/>
                <w:sz w:val="20"/>
              </w:rPr>
              <w:t>Existing admin — reuse &amp; extend</w:t>
            </w:r>
          </w:p>
        </w:tc>
      </w:tr>
      <w:tr>
        <w:tc>
          <w:tcPr>
            <w:tcW w:type="dxa" w:w="1970"/>
          </w:tcPr>
          <w:p>
            <w:pPr>
              <w:spacing w:after="40" w:before="40"/>
              <w:jc w:val="left"/>
            </w:pPr>
            <w:r>
              <w:rPr>
                <w:rFonts w:ascii="Arial" w:hAnsi="Arial"/>
                <w:b w:val="0"/>
                <w:i w:val="0"/>
                <w:color w:val="222222"/>
                <w:sz w:val="20"/>
              </w:rPr>
              <w:t>Frontend (portals)</w:t>
            </w:r>
          </w:p>
        </w:tc>
        <w:tc>
          <w:tcPr>
            <w:tcW w:type="dxa" w:w="3645"/>
          </w:tcPr>
          <w:p>
            <w:pPr>
              <w:spacing w:after="40" w:before="40"/>
              <w:jc w:val="left"/>
            </w:pPr>
            <w:r>
              <w:rPr>
                <w:rFonts w:ascii="Arial" w:hAnsi="Arial"/>
                <w:b w:val="0"/>
                <w:i w:val="0"/>
                <w:color w:val="222222"/>
                <w:sz w:val="20"/>
              </w:rPr>
              <w:t>Livewire + Blade / Inertia</w:t>
            </w:r>
          </w:p>
        </w:tc>
        <w:tc>
          <w:tcPr>
            <w:tcW w:type="dxa" w:w="3744"/>
          </w:tcPr>
          <w:p>
            <w:pPr>
              <w:spacing w:after="40" w:before="40"/>
              <w:jc w:val="left"/>
            </w:pPr>
            <w:r>
              <w:rPr>
                <w:rFonts w:ascii="Arial" w:hAnsi="Arial"/>
                <w:b w:val="0"/>
                <w:i w:val="0"/>
                <w:color w:val="222222"/>
                <w:sz w:val="20"/>
              </w:rPr>
              <w:t>Brand &amp; Candidate self-service portals</w:t>
            </w:r>
          </w:p>
        </w:tc>
      </w:tr>
      <w:tr>
        <w:tc>
          <w:tcPr>
            <w:tcW w:type="dxa" w:w="1970"/>
            <w:shd w:val="clear" w:color="auto" w:fill="F2F5F9"/>
          </w:tcPr>
          <w:p>
            <w:pPr>
              <w:spacing w:after="40" w:before="40"/>
              <w:jc w:val="left"/>
            </w:pPr>
            <w:r>
              <w:rPr>
                <w:rFonts w:ascii="Arial" w:hAnsi="Arial"/>
                <w:b w:val="0"/>
                <w:i w:val="0"/>
                <w:color w:val="222222"/>
                <w:sz w:val="20"/>
              </w:rPr>
              <w:t>Database</w:t>
            </w:r>
          </w:p>
        </w:tc>
        <w:tc>
          <w:tcPr>
            <w:tcW w:type="dxa" w:w="3645"/>
            <w:shd w:val="clear" w:color="auto" w:fill="F2F5F9"/>
          </w:tcPr>
          <w:p>
            <w:pPr>
              <w:spacing w:after="40" w:before="40"/>
              <w:jc w:val="left"/>
            </w:pPr>
            <w:r>
              <w:rPr>
                <w:rFonts w:ascii="Arial" w:hAnsi="Arial"/>
                <w:b w:val="0"/>
                <w:i w:val="0"/>
                <w:color w:val="222222"/>
                <w:sz w:val="20"/>
              </w:rPr>
              <w:t>MySQL 8 / PostgreSQL 14+</w:t>
            </w:r>
          </w:p>
        </w:tc>
        <w:tc>
          <w:tcPr>
            <w:tcW w:type="dxa" w:w="3744"/>
            <w:shd w:val="clear" w:color="auto" w:fill="F2F5F9"/>
          </w:tcPr>
          <w:p>
            <w:pPr>
              <w:spacing w:after="40" w:before="40"/>
              <w:jc w:val="left"/>
            </w:pPr>
            <w:r>
              <w:rPr>
                <w:rFonts w:ascii="Arial" w:hAnsi="Arial"/>
                <w:b w:val="0"/>
                <w:i w:val="0"/>
                <w:color w:val="222222"/>
                <w:sz w:val="20"/>
              </w:rPr>
              <w:t>Multi-tenant schema</w:t>
            </w:r>
          </w:p>
        </w:tc>
      </w:tr>
      <w:tr>
        <w:tc>
          <w:tcPr>
            <w:tcW w:type="dxa" w:w="1970"/>
          </w:tcPr>
          <w:p>
            <w:pPr>
              <w:spacing w:after="40" w:before="40"/>
              <w:jc w:val="left"/>
            </w:pPr>
            <w:r>
              <w:rPr>
                <w:rFonts w:ascii="Arial" w:hAnsi="Arial"/>
                <w:b w:val="0"/>
                <w:i w:val="0"/>
                <w:color w:val="222222"/>
                <w:sz w:val="20"/>
              </w:rPr>
              <w:t>Cache / Queue</w:t>
            </w:r>
          </w:p>
        </w:tc>
        <w:tc>
          <w:tcPr>
            <w:tcW w:type="dxa" w:w="3645"/>
          </w:tcPr>
          <w:p>
            <w:pPr>
              <w:spacing w:after="40" w:before="40"/>
              <w:jc w:val="left"/>
            </w:pPr>
            <w:r>
              <w:rPr>
                <w:rFonts w:ascii="Arial" w:hAnsi="Arial"/>
                <w:b w:val="0"/>
                <w:i w:val="0"/>
                <w:color w:val="222222"/>
                <w:sz w:val="20"/>
              </w:rPr>
              <w:t>Redis + Laravel Queue</w:t>
            </w:r>
          </w:p>
        </w:tc>
        <w:tc>
          <w:tcPr>
            <w:tcW w:type="dxa" w:w="3744"/>
          </w:tcPr>
          <w:p>
            <w:pPr>
              <w:spacing w:after="40" w:before="40"/>
              <w:jc w:val="left"/>
            </w:pPr>
            <w:r>
              <w:rPr>
                <w:rFonts w:ascii="Arial" w:hAnsi="Arial"/>
                <w:b w:val="0"/>
                <w:i w:val="0"/>
                <w:color w:val="222222"/>
                <w:sz w:val="20"/>
              </w:rPr>
              <w:t>Async billing, PDF, notifications</w:t>
            </w:r>
          </w:p>
        </w:tc>
      </w:tr>
      <w:tr>
        <w:tc>
          <w:tcPr>
            <w:tcW w:type="dxa" w:w="1970"/>
            <w:shd w:val="clear" w:color="auto" w:fill="F2F5F9"/>
          </w:tcPr>
          <w:p>
            <w:pPr>
              <w:spacing w:after="40" w:before="40"/>
              <w:jc w:val="left"/>
            </w:pPr>
            <w:r>
              <w:rPr>
                <w:rFonts w:ascii="Arial" w:hAnsi="Arial"/>
                <w:b w:val="0"/>
                <w:i w:val="0"/>
                <w:color w:val="222222"/>
                <w:sz w:val="20"/>
              </w:rPr>
              <w:t>File Storage</w:t>
            </w:r>
          </w:p>
        </w:tc>
        <w:tc>
          <w:tcPr>
            <w:tcW w:type="dxa" w:w="3645"/>
            <w:shd w:val="clear" w:color="auto" w:fill="F2F5F9"/>
          </w:tcPr>
          <w:p>
            <w:pPr>
              <w:spacing w:after="40" w:before="40"/>
              <w:jc w:val="left"/>
            </w:pPr>
            <w:r>
              <w:rPr>
                <w:rFonts w:ascii="Arial" w:hAnsi="Arial"/>
                <w:b w:val="0"/>
                <w:i w:val="0"/>
                <w:color w:val="222222"/>
                <w:sz w:val="20"/>
              </w:rPr>
              <w:t>S3-compatible</w:t>
            </w:r>
          </w:p>
        </w:tc>
        <w:tc>
          <w:tcPr>
            <w:tcW w:type="dxa" w:w="3744"/>
            <w:shd w:val="clear" w:color="auto" w:fill="F2F5F9"/>
          </w:tcPr>
          <w:p>
            <w:pPr>
              <w:spacing w:after="40" w:before="40"/>
              <w:jc w:val="left"/>
            </w:pPr>
            <w:r>
              <w:rPr>
                <w:rFonts w:ascii="Arial" w:hAnsi="Arial"/>
                <w:b w:val="0"/>
                <w:i w:val="0"/>
                <w:color w:val="222222"/>
                <w:sz w:val="20"/>
              </w:rPr>
              <w:t>Documents, evidence, contracts, PDFs</w:t>
            </w:r>
          </w:p>
        </w:tc>
      </w:tr>
      <w:tr>
        <w:tc>
          <w:tcPr>
            <w:tcW w:type="dxa" w:w="1970"/>
          </w:tcPr>
          <w:p>
            <w:pPr>
              <w:spacing w:after="40" w:before="40"/>
              <w:jc w:val="left"/>
            </w:pPr>
            <w:r>
              <w:rPr>
                <w:rFonts w:ascii="Arial" w:hAnsi="Arial"/>
                <w:b w:val="0"/>
                <w:i w:val="0"/>
                <w:color w:val="222222"/>
                <w:sz w:val="20"/>
              </w:rPr>
              <w:t>Auth</w:t>
            </w:r>
          </w:p>
        </w:tc>
        <w:tc>
          <w:tcPr>
            <w:tcW w:type="dxa" w:w="3645"/>
          </w:tcPr>
          <w:p>
            <w:pPr>
              <w:spacing w:after="40" w:before="40"/>
              <w:jc w:val="left"/>
            </w:pPr>
            <w:r>
              <w:rPr>
                <w:rFonts w:ascii="Arial" w:hAnsi="Arial"/>
                <w:b w:val="0"/>
                <w:i w:val="0"/>
                <w:color w:val="222222"/>
                <w:sz w:val="20"/>
              </w:rPr>
              <w:t>Laravel + RBAC (2FA)</w:t>
            </w:r>
          </w:p>
        </w:tc>
        <w:tc>
          <w:tcPr>
            <w:tcW w:type="dxa" w:w="3744"/>
          </w:tcPr>
          <w:p>
            <w:pPr>
              <w:spacing w:after="40" w:before="40"/>
              <w:jc w:val="left"/>
            </w:pPr>
            <w:r>
              <w:rPr>
                <w:rFonts w:ascii="Arial" w:hAnsi="Arial"/>
                <w:b w:val="0"/>
                <w:i w:val="0"/>
                <w:color w:val="222222"/>
                <w:sz w:val="20"/>
              </w:rPr>
              <w:t>Multi-party auth; per-tenant roles</w:t>
            </w:r>
          </w:p>
        </w:tc>
      </w:tr>
      <w:tr>
        <w:tc>
          <w:tcPr>
            <w:tcW w:type="dxa" w:w="1970"/>
            <w:shd w:val="clear" w:color="auto" w:fill="F2F5F9"/>
          </w:tcPr>
          <w:p>
            <w:pPr>
              <w:spacing w:after="40" w:before="40"/>
              <w:jc w:val="left"/>
            </w:pPr>
            <w:r>
              <w:rPr>
                <w:rFonts w:ascii="Arial" w:hAnsi="Arial"/>
                <w:b w:val="0"/>
                <w:i w:val="0"/>
                <w:color w:val="222222"/>
                <w:sz w:val="20"/>
              </w:rPr>
              <w:t>Notifications</w:t>
            </w:r>
          </w:p>
        </w:tc>
        <w:tc>
          <w:tcPr>
            <w:tcW w:type="dxa" w:w="3645"/>
            <w:shd w:val="clear" w:color="auto" w:fill="F2F5F9"/>
          </w:tcPr>
          <w:p>
            <w:pPr>
              <w:spacing w:after="40" w:before="40"/>
              <w:jc w:val="left"/>
            </w:pPr>
            <w:r>
              <w:rPr>
                <w:rFonts w:ascii="Arial" w:hAnsi="Arial"/>
                <w:b w:val="0"/>
                <w:i w:val="0"/>
                <w:color w:val="222222"/>
                <w:sz w:val="20"/>
              </w:rPr>
              <w:t>Email (SES/SMTP) + SMS (Twilio)</w:t>
            </w:r>
          </w:p>
        </w:tc>
        <w:tc>
          <w:tcPr>
            <w:tcW w:type="dxa" w:w="3744"/>
            <w:shd w:val="clear" w:color="auto" w:fill="F2F5F9"/>
          </w:tcPr>
          <w:p>
            <w:pPr>
              <w:spacing w:after="40" w:before="40"/>
              <w:jc w:val="left"/>
            </w:pPr>
            <w:r>
              <w:rPr>
                <w:rFonts w:ascii="Arial" w:hAnsi="Arial"/>
                <w:b w:val="0"/>
                <w:i w:val="0"/>
                <w:color w:val="222222"/>
                <w:sz w:val="20"/>
              </w:rPr>
              <w:t>Email-first + key SMS</w:t>
            </w:r>
          </w:p>
        </w:tc>
      </w:tr>
      <w:tr>
        <w:tc>
          <w:tcPr>
            <w:tcW w:type="dxa" w:w="1970"/>
          </w:tcPr>
          <w:p>
            <w:pPr>
              <w:spacing w:after="40" w:before="40"/>
              <w:jc w:val="left"/>
            </w:pPr>
            <w:r>
              <w:rPr>
                <w:rFonts w:ascii="Arial" w:hAnsi="Arial"/>
                <w:b w:val="0"/>
                <w:i w:val="0"/>
                <w:color w:val="222222"/>
                <w:sz w:val="20"/>
              </w:rPr>
              <w:t>Payments (Tranche 2)</w:t>
            </w:r>
          </w:p>
        </w:tc>
        <w:tc>
          <w:tcPr>
            <w:tcW w:type="dxa" w:w="3645"/>
          </w:tcPr>
          <w:p>
            <w:pPr>
              <w:spacing w:after="40" w:before="40"/>
              <w:jc w:val="left"/>
            </w:pPr>
            <w:r>
              <w:rPr>
                <w:rFonts w:ascii="Arial" w:hAnsi="Arial"/>
                <w:b w:val="0"/>
                <w:i w:val="0"/>
                <w:color w:val="222222"/>
                <w:sz w:val="20"/>
              </w:rPr>
              <w:t>GoCardless / Stripe</w:t>
            </w:r>
          </w:p>
        </w:tc>
        <w:tc>
          <w:tcPr>
            <w:tcW w:type="dxa" w:w="3744"/>
          </w:tcPr>
          <w:p>
            <w:pPr>
              <w:spacing w:after="40" w:before="40"/>
              <w:jc w:val="left"/>
            </w:pPr>
            <w:r>
              <w:rPr>
                <w:rFonts w:ascii="Arial" w:hAnsi="Arial"/>
                <w:b w:val="0"/>
                <w:i w:val="0"/>
                <w:color w:val="222222"/>
                <w:sz w:val="20"/>
              </w:rPr>
              <w:t>Collection + payout</w:t>
            </w:r>
          </w:p>
        </w:tc>
      </w:tr>
      <w:tr>
        <w:tc>
          <w:tcPr>
            <w:tcW w:type="dxa" w:w="1970"/>
            <w:shd w:val="clear" w:color="auto" w:fill="F2F5F9"/>
          </w:tcPr>
          <w:p>
            <w:pPr>
              <w:spacing w:after="40" w:before="40"/>
              <w:jc w:val="left"/>
            </w:pPr>
            <w:r>
              <w:rPr>
                <w:rFonts w:ascii="Arial" w:hAnsi="Arial"/>
                <w:b w:val="0"/>
                <w:i w:val="0"/>
                <w:color w:val="222222"/>
                <w:sz w:val="20"/>
              </w:rPr>
              <w:t>CI/CD</w:t>
            </w:r>
          </w:p>
        </w:tc>
        <w:tc>
          <w:tcPr>
            <w:tcW w:type="dxa" w:w="3645"/>
            <w:shd w:val="clear" w:color="auto" w:fill="F2F5F9"/>
          </w:tcPr>
          <w:p>
            <w:pPr>
              <w:spacing w:after="40" w:before="40"/>
              <w:jc w:val="left"/>
            </w:pPr>
            <w:r>
              <w:rPr>
                <w:rFonts w:ascii="Arial" w:hAnsi="Arial"/>
                <w:b w:val="0"/>
                <w:i w:val="0"/>
                <w:color w:val="222222"/>
                <w:sz w:val="20"/>
              </w:rPr>
              <w:t>GitHub Actions / GitLab CI</w:t>
            </w:r>
          </w:p>
        </w:tc>
        <w:tc>
          <w:tcPr>
            <w:tcW w:type="dxa" w:w="3744"/>
            <w:shd w:val="clear" w:color="auto" w:fill="F2F5F9"/>
          </w:tcPr>
          <w:p>
            <w:pPr>
              <w:spacing w:after="40" w:before="40"/>
              <w:jc w:val="left"/>
            </w:pPr>
            <w:r>
              <w:rPr>
                <w:rFonts w:ascii="Arial" w:hAnsi="Arial"/>
                <w:b w:val="0"/>
                <w:i w:val="0"/>
                <w:color w:val="222222"/>
                <w:sz w:val="20"/>
              </w:rPr>
              <w:t>Automated tests, build, deploy</w:t>
            </w:r>
          </w:p>
        </w:tc>
      </w:tr>
      <w:tr>
        <w:tc>
          <w:tcPr>
            <w:tcW w:type="dxa" w:w="1970"/>
          </w:tcPr>
          <w:p>
            <w:pPr>
              <w:spacing w:after="40" w:before="40"/>
              <w:jc w:val="left"/>
            </w:pPr>
            <w:r>
              <w:rPr>
                <w:rFonts w:ascii="Arial" w:hAnsi="Arial"/>
                <w:b w:val="0"/>
                <w:i w:val="0"/>
                <w:color w:val="222222"/>
                <w:sz w:val="20"/>
              </w:rPr>
              <w:t>Multi-Tenancy</w:t>
            </w:r>
          </w:p>
        </w:tc>
        <w:tc>
          <w:tcPr>
            <w:tcW w:type="dxa" w:w="3645"/>
          </w:tcPr>
          <w:p>
            <w:pPr>
              <w:spacing w:after="40" w:before="40"/>
              <w:jc w:val="left"/>
            </w:pPr>
            <w:r>
              <w:rPr>
                <w:rFonts w:ascii="Arial" w:hAnsi="Arial"/>
                <w:b w:val="0"/>
                <w:i w:val="0"/>
                <w:color w:val="222222"/>
                <w:sz w:val="20"/>
              </w:rPr>
              <w:t>Config-driven tenant + industry layer</w:t>
            </w:r>
          </w:p>
        </w:tc>
        <w:tc>
          <w:tcPr>
            <w:tcW w:type="dxa" w:w="3744"/>
          </w:tcPr>
          <w:p>
            <w:pPr>
              <w:spacing w:after="40" w:before="40"/>
              <w:jc w:val="left"/>
            </w:pPr>
            <w:r>
              <w:rPr>
                <w:rFonts w:ascii="Arial" w:hAnsi="Arial"/>
                <w:b w:val="0"/>
                <w:i w:val="0"/>
                <w:color w:val="222222"/>
                <w:sz w:val="20"/>
              </w:rPr>
              <w:t>White-label Yedi / Tidal</w:t>
            </w:r>
          </w:p>
        </w:tc>
      </w:tr>
    </w:tbl>
    <w:p>
      <w:pPr>
        <w:pStyle w:val="Heading1"/>
      </w:pPr>
      <w:r>
        <w:t>5. Master Schedule</w:t>
      </w:r>
    </w:p>
    <w:p>
      <w:pPr>
        <w:pStyle w:val="Heading2"/>
      </w:pPr>
      <w:r>
        <w:t>5.1 Master Schedule Overview</w:t>
      </w:r>
    </w:p>
    <w:p>
      <w:pPr>
        <w:numPr>
          <w:ilvl w:val="0"/>
          <w:numId w:val="5"/>
        </w:numPr>
        <w:spacing w:after="60"/>
        <w:ind w:left="720" w:hanging="360"/>
      </w:pPr>
      <w:r>
        <w:rPr>
          <w:rFonts w:ascii="Arial" w:hAnsi="Arial"/>
          <w:b/>
          <w:i w:val="0"/>
          <w:color w:val="222222"/>
          <w:sz w:val="22"/>
        </w:rPr>
        <w:t>Phase 0 (Discovery &amp; code audit):</w:t>
      </w:r>
      <w:r>
        <w:rPr>
          <w:rFonts w:ascii="Arial" w:hAnsi="Arial"/>
          <w:b w:val="0"/>
          <w:i w:val="0"/>
          <w:color w:val="222222"/>
          <w:sz w:val="22"/>
        </w:rPr>
        <w:t xml:space="preserve"> ~2 weeks — review repository, confirm reusability, issue fixed price.</w:t>
      </w:r>
    </w:p>
    <w:p>
      <w:pPr>
        <w:numPr>
          <w:ilvl w:val="0"/>
          <w:numId w:val="5"/>
        </w:numPr>
        <w:spacing w:after="60"/>
        <w:ind w:left="720" w:hanging="360"/>
      </w:pPr>
      <w:r>
        <w:rPr>
          <w:rFonts w:ascii="Arial" w:hAnsi="Arial"/>
          <w:b/>
          <w:i w:val="0"/>
          <w:color w:val="222222"/>
          <w:sz w:val="22"/>
        </w:rPr>
        <w:t>Tranche 1 (MVP):</w:t>
      </w:r>
      <w:r>
        <w:rPr>
          <w:rFonts w:ascii="Arial" w:hAnsi="Arial"/>
          <w:b w:val="0"/>
          <w:i w:val="0"/>
          <w:color w:val="222222"/>
          <w:sz w:val="22"/>
        </w:rPr>
        <w:t xml:space="preserve"> ~4 months (8 × 2-week sprints) — Tidal go-live, enlarged parallel team (peak ~9–10).</w:t>
      </w:r>
    </w:p>
    <w:p>
      <w:pPr>
        <w:numPr>
          <w:ilvl w:val="0"/>
          <w:numId w:val="5"/>
        </w:numPr>
        <w:spacing w:after="60"/>
        <w:ind w:left="720" w:hanging="360"/>
      </w:pPr>
      <w:r>
        <w:rPr>
          <w:rFonts w:ascii="Arial" w:hAnsi="Arial"/>
          <w:b/>
          <w:i w:val="0"/>
          <w:color w:val="222222"/>
          <w:sz w:val="22"/>
        </w:rPr>
        <w:t>Yedi enablement:</w:t>
      </w:r>
      <w:r>
        <w:rPr>
          <w:rFonts w:ascii="Arial" w:hAnsi="Arial"/>
          <w:b w:val="0"/>
          <w:i w:val="0"/>
          <w:color w:val="222222"/>
          <w:sz w:val="22"/>
        </w:rPr>
        <w:t xml:space="preserve"> +2–3 weeks — configuration + education compliance layer (DBS/safeguarding).</w:t>
      </w:r>
    </w:p>
    <w:p>
      <w:pPr>
        <w:numPr>
          <w:ilvl w:val="0"/>
          <w:numId w:val="5"/>
        </w:numPr>
        <w:spacing w:after="60"/>
        <w:ind w:left="720" w:hanging="360"/>
      </w:pPr>
      <w:r>
        <w:rPr>
          <w:rFonts w:ascii="Arial" w:hAnsi="Arial"/>
          <w:b/>
          <w:i w:val="0"/>
          <w:color w:val="222222"/>
          <w:sz w:val="22"/>
        </w:rPr>
        <w:t>Tranche 2 (Enhancement):</w:t>
      </w:r>
      <w:r>
        <w:rPr>
          <w:rFonts w:ascii="Arial" w:hAnsi="Arial"/>
          <w:b w:val="0"/>
          <w:i w:val="0"/>
          <w:color w:val="222222"/>
          <w:sz w:val="22"/>
        </w:rPr>
        <w:t xml:space="preserve"> ~2 months (4 × 2-week sprints).</w:t>
      </w:r>
    </w:p>
    <w:p>
      <w:pPr>
        <w:spacing w:after="120"/>
      </w:pPr>
      <w:r>
        <w:rPr>
          <w:rFonts w:ascii="Arial" w:hAnsi="Arial"/>
          <w:b w:val="0"/>
          <w:i/>
          <w:color w:val="222222"/>
          <w:sz w:val="22"/>
        </w:rPr>
        <w:t>The MVP timeline is compressed from ~7 months to ~4 months by parallelising the same ~660 md of scope across a larger team — total effort is unchanged.</w:t>
      </w:r>
    </w:p>
    <w:p>
      <w:pPr>
        <w:pStyle w:val="Heading2"/>
      </w:pPr>
      <w:r>
        <w:t>5.2 Tranche 1 (MVP) Sprint Breakdown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3120"/>
        <w:gridCol w:w="3120"/>
        <w:gridCol w:w="3120"/>
      </w:tblGrid>
      <w:tr>
        <w:tc>
          <w:tcPr>
            <w:tcW w:type="dxa" w:w="692"/>
            <w:shd w:val="clear" w:color="auto" w:fill="1A2B4A"/>
          </w:tcPr>
          <w:p>
            <w:pPr>
              <w:spacing w:after="40" w:before="40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20"/>
              </w:rPr>
              <w:t>Sprint</w:t>
            </w:r>
          </w:p>
        </w:tc>
        <w:tc>
          <w:tcPr>
            <w:tcW w:type="dxa" w:w="740"/>
            <w:shd w:val="clear" w:color="auto" w:fill="1A2B4A"/>
          </w:tcPr>
          <w:p>
            <w:pPr>
              <w:spacing w:after="40" w:before="40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20"/>
              </w:rPr>
              <w:t>Timeline</w:t>
            </w:r>
          </w:p>
        </w:tc>
        <w:tc>
          <w:tcPr>
            <w:tcW w:type="dxa" w:w="7927"/>
            <w:shd w:val="clear" w:color="auto" w:fill="1A2B4A"/>
          </w:tcPr>
          <w:p>
            <w:pPr>
              <w:spacing w:after="40" w:before="40"/>
              <w:jc w:val="left"/>
            </w:pPr>
            <w:r>
              <w:rPr>
                <w:rFonts w:ascii="Arial" w:hAnsi="Arial"/>
                <w:b/>
                <w:i w:val="0"/>
                <w:color w:val="FFFFFF"/>
                <w:sz w:val="20"/>
              </w:rPr>
              <w:t>Key Activities</w:t>
            </w:r>
          </w:p>
        </w:tc>
      </w:tr>
      <w:tr>
        <w:tc>
          <w:tcPr>
            <w:tcW w:type="dxa" w:w="692"/>
          </w:tcPr>
          <w:p>
            <w:pPr>
              <w:spacing w:after="40" w:before="40"/>
              <w:jc w:val="center"/>
            </w:pPr>
            <w:r>
              <w:rPr>
                <w:rFonts w:ascii="Arial" w:hAnsi="Arial"/>
                <w:b w:val="0"/>
                <w:i w:val="0"/>
                <w:color w:val="222222"/>
                <w:sz w:val="20"/>
              </w:rPr>
              <w:t>Sprint 1</w:t>
            </w:r>
          </w:p>
        </w:tc>
        <w:tc>
          <w:tcPr>
            <w:tcW w:type="dxa" w:w="740"/>
          </w:tcPr>
          <w:p>
            <w:pPr>
              <w:spacing w:after="40" w:before="40"/>
              <w:jc w:val="center"/>
            </w:pPr>
            <w:r>
              <w:rPr>
                <w:rFonts w:ascii="Arial" w:hAnsi="Arial"/>
                <w:b w:val="0"/>
                <w:i w:val="0"/>
                <w:color w:val="222222"/>
                <w:sz w:val="20"/>
              </w:rPr>
              <w:t>Week 1–2</w:t>
            </w:r>
          </w:p>
        </w:tc>
        <w:tc>
          <w:tcPr>
            <w:tcW w:type="dxa" w:w="7927"/>
          </w:tcPr>
          <w:p>
            <w:pPr>
              <w:spacing w:after="40" w:before="40"/>
              <w:jc w:val="left"/>
            </w:pPr>
            <w:r>
              <w:rPr>
                <w:rFonts w:ascii="Arial" w:hAnsi="Arial"/>
                <w:b w:val="0"/>
                <w:i w:val="0"/>
                <w:color w:val="222222"/>
                <w:sz w:val="20"/>
              </w:rPr>
              <w:t>Phase 0 hand-off &amp; foundation: multi-tenant core, DB/domain model extension, CI/CD, auth + RBAC scaffolding</w:t>
            </w:r>
          </w:p>
        </w:tc>
      </w:tr>
      <w:tr>
        <w:tc>
          <w:tcPr>
            <w:tcW w:type="dxa" w:w="692"/>
            <w:shd w:val="clear" w:color="auto" w:fill="F2F5F9"/>
          </w:tcPr>
          <w:p>
            <w:pPr>
              <w:spacing w:after="40" w:before="40"/>
              <w:jc w:val="center"/>
            </w:pPr>
            <w:r>
              <w:rPr>
                <w:rFonts w:ascii="Arial" w:hAnsi="Arial"/>
                <w:b w:val="0"/>
                <w:i w:val="0"/>
                <w:color w:val="222222"/>
                <w:sz w:val="20"/>
              </w:rPr>
              <w:t>Sprint 2</w:t>
            </w:r>
          </w:p>
        </w:tc>
        <w:tc>
          <w:tcPr>
            <w:tcW w:type="dxa" w:w="740"/>
            <w:shd w:val="clear" w:color="auto" w:fill="F2F5F9"/>
          </w:tcPr>
          <w:p>
            <w:pPr>
              <w:spacing w:after="40" w:before="40"/>
              <w:jc w:val="center"/>
            </w:pPr>
            <w:r>
              <w:rPr>
                <w:rFonts w:ascii="Arial" w:hAnsi="Arial"/>
                <w:b w:val="0"/>
                <w:i w:val="0"/>
                <w:color w:val="222222"/>
                <w:sz w:val="20"/>
              </w:rPr>
              <w:t>Week 3–4</w:t>
            </w:r>
          </w:p>
        </w:tc>
        <w:tc>
          <w:tcPr>
            <w:tcW w:type="dxa" w:w="7927"/>
            <w:shd w:val="clear" w:color="auto" w:fill="F2F5F9"/>
          </w:tcPr>
          <w:p>
            <w:pPr>
              <w:spacing w:after="40" w:before="40"/>
              <w:jc w:val="left"/>
            </w:pPr>
            <w:r>
              <w:rPr>
                <w:rFonts w:ascii="Arial" w:hAnsi="Arial"/>
                <w:b w:val="0"/>
                <w:i w:val="0"/>
                <w:color w:val="222222"/>
                <w:sz w:val="20"/>
              </w:rPr>
              <w:t>Identity/Auth/Access complete (2FA, reset, RBAC); Brand/School &amp; Candidate/Teacher portal skeletons</w:t>
            </w:r>
          </w:p>
        </w:tc>
      </w:tr>
      <w:tr>
        <w:tc>
          <w:tcPr>
            <w:tcW w:type="dxa" w:w="692"/>
          </w:tcPr>
          <w:p>
            <w:pPr>
              <w:spacing w:after="40" w:before="40"/>
              <w:jc w:val="center"/>
            </w:pPr>
            <w:r>
              <w:rPr>
                <w:rFonts w:ascii="Arial" w:hAnsi="Arial"/>
                <w:b w:val="0"/>
                <w:i w:val="0"/>
                <w:color w:val="222222"/>
                <w:sz w:val="20"/>
              </w:rPr>
              <w:t>Sprint 3</w:t>
            </w:r>
          </w:p>
        </w:tc>
        <w:tc>
          <w:tcPr>
            <w:tcW w:type="dxa" w:w="740"/>
          </w:tcPr>
          <w:p>
            <w:pPr>
              <w:spacing w:after="40" w:before="40"/>
              <w:jc w:val="center"/>
            </w:pPr>
            <w:r>
              <w:rPr>
                <w:rFonts w:ascii="Arial" w:hAnsi="Arial"/>
                <w:b w:val="0"/>
                <w:i w:val="0"/>
                <w:color w:val="222222"/>
                <w:sz w:val="20"/>
              </w:rPr>
              <w:t>Week 5–6</w:t>
            </w:r>
          </w:p>
        </w:tc>
        <w:tc>
          <w:tcPr>
            <w:tcW w:type="dxa" w:w="7927"/>
          </w:tcPr>
          <w:p>
            <w:pPr>
              <w:spacing w:after="40" w:before="40"/>
              <w:jc w:val="left"/>
            </w:pPr>
            <w:r>
              <w:rPr>
                <w:rFonts w:ascii="Arial" w:hAnsi="Arial"/>
                <w:b w:val="0"/>
                <w:i w:val="0"/>
                <w:color w:val="222222"/>
                <w:sz w:val="20"/>
              </w:rPr>
              <w:t>Adverts &amp; job lifecycle; candidate evidence upload + availability model; application persistence</w:t>
            </w:r>
          </w:p>
        </w:tc>
      </w:tr>
      <w:tr>
        <w:tc>
          <w:tcPr>
            <w:tcW w:type="dxa" w:w="692"/>
            <w:shd w:val="clear" w:color="auto" w:fill="F2F5F9"/>
          </w:tcPr>
          <w:p>
            <w:pPr>
              <w:spacing w:after="40" w:before="40"/>
              <w:jc w:val="center"/>
            </w:pPr>
            <w:r>
              <w:rPr>
                <w:rFonts w:ascii="Arial" w:hAnsi="Arial"/>
                <w:b w:val="0"/>
                <w:i w:val="0"/>
                <w:color w:val="222222"/>
                <w:sz w:val="20"/>
              </w:rPr>
              <w:t>Sprint 4</w:t>
            </w:r>
          </w:p>
        </w:tc>
        <w:tc>
          <w:tcPr>
            <w:tcW w:type="dxa" w:w="740"/>
            <w:shd w:val="clear" w:color="auto" w:fill="F2F5F9"/>
          </w:tcPr>
          <w:p>
            <w:pPr>
              <w:spacing w:after="40" w:before="40"/>
              <w:jc w:val="center"/>
            </w:pPr>
            <w:r>
              <w:rPr>
                <w:rFonts w:ascii="Arial" w:hAnsi="Arial"/>
                <w:b w:val="0"/>
                <w:i w:val="0"/>
                <w:color w:val="222222"/>
                <w:sz w:val="20"/>
              </w:rPr>
              <w:t>Week 7–8</w:t>
            </w:r>
          </w:p>
        </w:tc>
        <w:tc>
          <w:tcPr>
            <w:tcW w:type="dxa" w:w="7927"/>
            <w:shd w:val="clear" w:color="auto" w:fill="F2F5F9"/>
          </w:tcPr>
          <w:p>
            <w:pPr>
              <w:spacing w:after="40" w:before="40"/>
              <w:jc w:val="left"/>
            </w:pPr>
            <w:r>
              <w:rPr>
                <w:rFonts w:ascii="Arial" w:hAnsi="Arial"/>
                <w:b w:val="0"/>
                <w:i w:val="0"/>
                <w:color w:val="222222"/>
                <w:sz w:val="20"/>
              </w:rPr>
              <w:t>Core booking loop (Application → Matching → Offer/Accept → Booking); basic clash detection</w:t>
            </w:r>
          </w:p>
        </w:tc>
      </w:tr>
      <w:tr>
        <w:tc>
          <w:tcPr>
            <w:tcW w:type="dxa" w:w="692"/>
          </w:tcPr>
          <w:p>
            <w:pPr>
              <w:spacing w:after="40" w:before="40"/>
              <w:jc w:val="center"/>
            </w:pPr>
            <w:r>
              <w:rPr>
                <w:rFonts w:ascii="Arial" w:hAnsi="Arial"/>
                <w:b w:val="0"/>
                <w:i w:val="0"/>
                <w:color w:val="222222"/>
                <w:sz w:val="20"/>
              </w:rPr>
              <w:t>Sprint 5</w:t>
            </w:r>
          </w:p>
        </w:tc>
        <w:tc>
          <w:tcPr>
            <w:tcW w:type="dxa" w:w="740"/>
          </w:tcPr>
          <w:p>
            <w:pPr>
              <w:spacing w:after="40" w:before="40"/>
              <w:jc w:val="center"/>
            </w:pPr>
            <w:r>
              <w:rPr>
                <w:rFonts w:ascii="Arial" w:hAnsi="Arial"/>
                <w:b w:val="0"/>
                <w:i w:val="0"/>
                <w:color w:val="222222"/>
                <w:sz w:val="20"/>
              </w:rPr>
              <w:t>Week 9–10</w:t>
            </w:r>
          </w:p>
        </w:tc>
        <w:tc>
          <w:tcPr>
            <w:tcW w:type="dxa" w:w="7927"/>
          </w:tcPr>
          <w:p>
            <w:pPr>
              <w:spacing w:after="40" w:before="40"/>
              <w:jc w:val="left"/>
            </w:pPr>
            <w:r>
              <w:rPr>
                <w:rFonts w:ascii="Arial" w:hAnsi="Arial"/>
                <w:b w:val="0"/>
                <w:i w:val="0"/>
                <w:color w:val="222222"/>
                <w:sz w:val="20"/>
              </w:rPr>
              <w:t>Compliance engine + right-to-work enforcement; Timesheets (shift → hours → pay basis)</w:t>
            </w:r>
          </w:p>
        </w:tc>
      </w:tr>
      <w:tr>
        <w:tc>
          <w:tcPr>
            <w:tcW w:type="dxa" w:w="692"/>
            <w:shd w:val="clear" w:color="auto" w:fill="F2F5F9"/>
          </w:tcPr>
          <w:p>
            <w:pPr>
              <w:spacing w:after="40" w:before="40"/>
              <w:jc w:val="center"/>
            </w:pPr>
            <w:r>
              <w:rPr>
                <w:rFonts w:ascii="Arial" w:hAnsi="Arial"/>
                <w:b w:val="0"/>
                <w:i w:val="0"/>
                <w:color w:val="222222"/>
                <w:sz w:val="20"/>
              </w:rPr>
              <w:t>Sprint 6</w:t>
            </w:r>
          </w:p>
        </w:tc>
        <w:tc>
          <w:tcPr>
            <w:tcW w:type="dxa" w:w="740"/>
            <w:shd w:val="clear" w:color="auto" w:fill="F2F5F9"/>
          </w:tcPr>
          <w:p>
            <w:pPr>
              <w:spacing w:after="40" w:before="40"/>
              <w:jc w:val="center"/>
            </w:pPr>
            <w:r>
              <w:rPr>
                <w:rFonts w:ascii="Arial" w:hAnsi="Arial"/>
                <w:b w:val="0"/>
                <w:i w:val="0"/>
                <w:color w:val="222222"/>
                <w:sz w:val="20"/>
              </w:rPr>
              <w:t>Week 11–12</w:t>
            </w:r>
          </w:p>
        </w:tc>
        <w:tc>
          <w:tcPr>
            <w:tcW w:type="dxa" w:w="7927"/>
            <w:shd w:val="clear" w:color="auto" w:fill="F2F5F9"/>
          </w:tcPr>
          <w:p>
            <w:pPr>
              <w:spacing w:after="40" w:before="40"/>
              <w:jc w:val="left"/>
            </w:pPr>
            <w:r>
              <w:rPr>
                <w:rFonts w:ascii="Arial" w:hAnsi="Arial"/>
                <w:b w:val="0"/>
                <w:i w:val="0"/>
                <w:color w:val="222222"/>
                <w:sz w:val="20"/>
              </w:rPr>
              <w:t>Billing (Invoice/Payslip) generation + PDF + lifecycle; basic notifications (email-first + key SMS)</w:t>
            </w:r>
          </w:p>
        </w:tc>
      </w:tr>
      <w:tr>
        <w:tc>
          <w:tcPr>
            <w:tcW w:type="dxa" w:w="692"/>
          </w:tcPr>
          <w:p>
            <w:pPr>
              <w:spacing w:after="40" w:before="40"/>
              <w:jc w:val="center"/>
            </w:pPr>
            <w:r>
              <w:rPr>
                <w:rFonts w:ascii="Arial" w:hAnsi="Arial"/>
                <w:b w:val="0"/>
                <w:i w:val="0"/>
                <w:color w:val="222222"/>
                <w:sz w:val="20"/>
              </w:rPr>
              <w:t>Sprint 7</w:t>
            </w:r>
          </w:p>
        </w:tc>
        <w:tc>
          <w:tcPr>
            <w:tcW w:type="dxa" w:w="740"/>
          </w:tcPr>
          <w:p>
            <w:pPr>
              <w:spacing w:after="40" w:before="40"/>
              <w:jc w:val="center"/>
            </w:pPr>
            <w:r>
              <w:rPr>
                <w:rFonts w:ascii="Arial" w:hAnsi="Arial"/>
                <w:b w:val="0"/>
                <w:i w:val="0"/>
                <w:color w:val="222222"/>
                <w:sz w:val="20"/>
              </w:rPr>
              <w:t>Week 13–14</w:t>
            </w:r>
          </w:p>
        </w:tc>
        <w:tc>
          <w:tcPr>
            <w:tcW w:type="dxa" w:w="7927"/>
          </w:tcPr>
          <w:p>
            <w:pPr>
              <w:spacing w:after="40" w:before="40"/>
              <w:jc w:val="left"/>
            </w:pPr>
            <w:r>
              <w:rPr>
                <w:rFonts w:ascii="Arial" w:hAnsi="Arial"/>
                <w:b w:val="0"/>
                <w:i w:val="0"/>
                <w:color w:val="222222"/>
                <w:sz w:val="20"/>
              </w:rPr>
              <w:t>Multi-tenant white-label finalisation; security + GDPR baseline; automated tests + CI/CD; Tidal UAT</w:t>
            </w:r>
          </w:p>
        </w:tc>
      </w:tr>
      <w:tr>
        <w:tc>
          <w:tcPr>
            <w:tcW w:type="dxa" w:w="692"/>
            <w:shd w:val="clear" w:color="auto" w:fill="F2F5F9"/>
          </w:tcPr>
          <w:p>
            <w:pPr>
              <w:spacing w:after="40" w:before="40"/>
              <w:jc w:val="center"/>
            </w:pPr>
            <w:r>
              <w:rPr>
                <w:rFonts w:ascii="Arial" w:hAnsi="Arial"/>
                <w:b w:val="0"/>
                <w:i w:val="0"/>
                <w:color w:val="222222"/>
                <w:sz w:val="20"/>
              </w:rPr>
              <w:t>Sprint 8</w:t>
            </w:r>
          </w:p>
        </w:tc>
        <w:tc>
          <w:tcPr>
            <w:tcW w:type="dxa" w:w="740"/>
            <w:shd w:val="clear" w:color="auto" w:fill="F2F5F9"/>
          </w:tcPr>
          <w:p>
            <w:pPr>
              <w:spacing w:after="40" w:before="40"/>
              <w:jc w:val="center"/>
            </w:pPr>
            <w:r>
              <w:rPr>
                <w:rFonts w:ascii="Arial" w:hAnsi="Arial"/>
                <w:b w:val="0"/>
                <w:i w:val="0"/>
                <w:color w:val="222222"/>
                <w:sz w:val="20"/>
              </w:rPr>
              <w:t>Week 15–16</w:t>
            </w:r>
          </w:p>
        </w:tc>
        <w:tc>
          <w:tcPr>
            <w:tcW w:type="dxa" w:w="7927"/>
            <w:shd w:val="clear" w:color="auto" w:fill="F2F5F9"/>
          </w:tcPr>
          <w:p>
            <w:pPr>
              <w:spacing w:after="40" w:before="40"/>
              <w:jc w:val="left"/>
            </w:pPr>
            <w:r>
              <w:rPr>
                <w:rFonts w:ascii="Arial" w:hAnsi="Arial"/>
                <w:b w:val="0"/>
                <w:i w:val="0"/>
                <w:color w:val="222222"/>
                <w:sz w:val="20"/>
              </w:rPr>
              <w:t>Bug-fix &amp; performance; Tidal go-live; Yedi enablement via configuration + education compliance</w:t>
            </w:r>
          </w:p>
        </w:tc>
      </w:tr>
    </w:tbl>
    <w:p>
      <w:pPr>
        <w:pStyle w:val="Heading2"/>
      </w:pPr>
      <w:r>
        <w:t>5.3 Tranche 2 (Enhancement) Sprint Breakdown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3120"/>
        <w:gridCol w:w="3120"/>
        <w:gridCol w:w="3120"/>
      </w:tblGrid>
      <w:tr>
        <w:tc>
          <w:tcPr>
            <w:tcW w:type="dxa" w:w="693"/>
            <w:shd w:val="clear" w:color="auto" w:fill="1A2B4A"/>
          </w:tcPr>
          <w:p>
            <w:pPr>
              <w:spacing w:after="40" w:before="40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20"/>
              </w:rPr>
              <w:t>Sprint</w:t>
            </w:r>
          </w:p>
        </w:tc>
        <w:tc>
          <w:tcPr>
            <w:tcW w:type="dxa" w:w="693"/>
            <w:shd w:val="clear" w:color="auto" w:fill="1A2B4A"/>
          </w:tcPr>
          <w:p>
            <w:pPr>
              <w:spacing w:after="40" w:before="40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20"/>
              </w:rPr>
              <w:t>Timeline</w:t>
            </w:r>
          </w:p>
        </w:tc>
        <w:tc>
          <w:tcPr>
            <w:tcW w:type="dxa" w:w="7972"/>
            <w:shd w:val="clear" w:color="auto" w:fill="1A2B4A"/>
          </w:tcPr>
          <w:p>
            <w:pPr>
              <w:spacing w:after="40" w:before="40"/>
              <w:jc w:val="left"/>
            </w:pPr>
            <w:r>
              <w:rPr>
                <w:rFonts w:ascii="Arial" w:hAnsi="Arial"/>
                <w:b/>
                <w:i w:val="0"/>
                <w:color w:val="FFFFFF"/>
                <w:sz w:val="20"/>
              </w:rPr>
              <w:t>Key Activities</w:t>
            </w:r>
          </w:p>
        </w:tc>
      </w:tr>
      <w:tr>
        <w:tc>
          <w:tcPr>
            <w:tcW w:type="dxa" w:w="693"/>
          </w:tcPr>
          <w:p>
            <w:pPr>
              <w:spacing w:after="40" w:before="40"/>
              <w:jc w:val="center"/>
            </w:pPr>
            <w:r>
              <w:rPr>
                <w:rFonts w:ascii="Arial" w:hAnsi="Arial"/>
                <w:b w:val="0"/>
                <w:i w:val="0"/>
                <w:color w:val="222222"/>
                <w:sz w:val="20"/>
              </w:rPr>
              <w:t>Sprint 1</w:t>
            </w:r>
          </w:p>
        </w:tc>
        <w:tc>
          <w:tcPr>
            <w:tcW w:type="dxa" w:w="693"/>
          </w:tcPr>
          <w:p>
            <w:pPr>
              <w:spacing w:after="40" w:before="40"/>
              <w:jc w:val="center"/>
            </w:pPr>
            <w:r>
              <w:rPr>
                <w:rFonts w:ascii="Arial" w:hAnsi="Arial"/>
                <w:b w:val="0"/>
                <w:i w:val="0"/>
                <w:color w:val="222222"/>
                <w:sz w:val="20"/>
              </w:rPr>
              <w:t>Week 1–2</w:t>
            </w:r>
          </w:p>
        </w:tc>
        <w:tc>
          <w:tcPr>
            <w:tcW w:type="dxa" w:w="7972"/>
          </w:tcPr>
          <w:p>
            <w:pPr>
              <w:spacing w:after="40" w:before="40"/>
              <w:jc w:val="left"/>
            </w:pPr>
            <w:r>
              <w:rPr>
                <w:rFonts w:ascii="Arial" w:hAnsi="Arial"/>
                <w:b w:val="0"/>
                <w:i w:val="0"/>
                <w:color w:val="222222"/>
                <w:sz w:val="20"/>
              </w:rPr>
              <w:t>Payment automation (collection + payout); accounting export + credit notes</w:t>
            </w:r>
          </w:p>
        </w:tc>
      </w:tr>
      <w:tr>
        <w:tc>
          <w:tcPr>
            <w:tcW w:type="dxa" w:w="693"/>
            <w:shd w:val="clear" w:color="auto" w:fill="F2F5F9"/>
          </w:tcPr>
          <w:p>
            <w:pPr>
              <w:spacing w:after="40" w:before="40"/>
              <w:jc w:val="center"/>
            </w:pPr>
            <w:r>
              <w:rPr>
                <w:rFonts w:ascii="Arial" w:hAnsi="Arial"/>
                <w:b w:val="0"/>
                <w:i w:val="0"/>
                <w:color w:val="222222"/>
                <w:sz w:val="20"/>
              </w:rPr>
              <w:t>Sprint 2</w:t>
            </w:r>
          </w:p>
        </w:tc>
        <w:tc>
          <w:tcPr>
            <w:tcW w:type="dxa" w:w="693"/>
            <w:shd w:val="clear" w:color="auto" w:fill="F2F5F9"/>
          </w:tcPr>
          <w:p>
            <w:pPr>
              <w:spacing w:after="40" w:before="40"/>
              <w:jc w:val="center"/>
            </w:pPr>
            <w:r>
              <w:rPr>
                <w:rFonts w:ascii="Arial" w:hAnsi="Arial"/>
                <w:b w:val="0"/>
                <w:i w:val="0"/>
                <w:color w:val="222222"/>
                <w:sz w:val="20"/>
              </w:rPr>
              <w:t>Week 3–4</w:t>
            </w:r>
          </w:p>
        </w:tc>
        <w:tc>
          <w:tcPr>
            <w:tcW w:type="dxa" w:w="7972"/>
            <w:shd w:val="clear" w:color="auto" w:fill="F2F5F9"/>
          </w:tcPr>
          <w:p>
            <w:pPr>
              <w:spacing w:after="40" w:before="40"/>
              <w:jc w:val="left"/>
            </w:pPr>
            <w:r>
              <w:rPr>
                <w:rFonts w:ascii="Arial" w:hAnsi="Arial"/>
                <w:b w:val="0"/>
                <w:i w:val="0"/>
                <w:color w:val="222222"/>
                <w:sz w:val="20"/>
              </w:rPr>
              <w:t>Automated ID / right-to-work verification; e-signature; in-app notification centre</w:t>
            </w:r>
          </w:p>
        </w:tc>
      </w:tr>
      <w:tr>
        <w:tc>
          <w:tcPr>
            <w:tcW w:type="dxa" w:w="693"/>
          </w:tcPr>
          <w:p>
            <w:pPr>
              <w:spacing w:after="40" w:before="40"/>
              <w:jc w:val="center"/>
            </w:pPr>
            <w:r>
              <w:rPr>
                <w:rFonts w:ascii="Arial" w:hAnsi="Arial"/>
                <w:b w:val="0"/>
                <w:i w:val="0"/>
                <w:color w:val="222222"/>
                <w:sz w:val="20"/>
              </w:rPr>
              <w:t>Sprint 3</w:t>
            </w:r>
          </w:p>
        </w:tc>
        <w:tc>
          <w:tcPr>
            <w:tcW w:type="dxa" w:w="693"/>
          </w:tcPr>
          <w:p>
            <w:pPr>
              <w:spacing w:after="40" w:before="40"/>
              <w:jc w:val="center"/>
            </w:pPr>
            <w:r>
              <w:rPr>
                <w:rFonts w:ascii="Arial" w:hAnsi="Arial"/>
                <w:b w:val="0"/>
                <w:i w:val="0"/>
                <w:color w:val="222222"/>
                <w:sz w:val="20"/>
              </w:rPr>
              <w:t>Week 5–6</w:t>
            </w:r>
          </w:p>
        </w:tc>
        <w:tc>
          <w:tcPr>
            <w:tcW w:type="dxa" w:w="7972"/>
          </w:tcPr>
          <w:p>
            <w:pPr>
              <w:spacing w:after="40" w:before="40"/>
              <w:jc w:val="left"/>
            </w:pPr>
            <w:r>
              <w:rPr>
                <w:rFonts w:ascii="Arial" w:hAnsi="Arial"/>
                <w:b w:val="0"/>
                <w:i w:val="0"/>
                <w:color w:val="222222"/>
                <w:sz w:val="20"/>
              </w:rPr>
              <w:t>Two-way ratings &amp; feedback + reliability tracking → matching; referral programme; training records</w:t>
            </w:r>
          </w:p>
        </w:tc>
      </w:tr>
      <w:tr>
        <w:tc>
          <w:tcPr>
            <w:tcW w:type="dxa" w:w="693"/>
            <w:shd w:val="clear" w:color="auto" w:fill="F2F5F9"/>
          </w:tcPr>
          <w:p>
            <w:pPr>
              <w:spacing w:after="40" w:before="40"/>
              <w:jc w:val="center"/>
            </w:pPr>
            <w:r>
              <w:rPr>
                <w:rFonts w:ascii="Arial" w:hAnsi="Arial"/>
                <w:b w:val="0"/>
                <w:i w:val="0"/>
                <w:color w:val="222222"/>
                <w:sz w:val="20"/>
              </w:rPr>
              <w:t>Sprint 4</w:t>
            </w:r>
          </w:p>
        </w:tc>
        <w:tc>
          <w:tcPr>
            <w:tcW w:type="dxa" w:w="693"/>
            <w:shd w:val="clear" w:color="auto" w:fill="F2F5F9"/>
          </w:tcPr>
          <w:p>
            <w:pPr>
              <w:spacing w:after="40" w:before="40"/>
              <w:jc w:val="center"/>
            </w:pPr>
            <w:r>
              <w:rPr>
                <w:rFonts w:ascii="Arial" w:hAnsi="Arial"/>
                <w:b w:val="0"/>
                <w:i w:val="0"/>
                <w:color w:val="222222"/>
                <w:sz w:val="20"/>
              </w:rPr>
              <w:t>Week 7–8</w:t>
            </w:r>
          </w:p>
        </w:tc>
        <w:tc>
          <w:tcPr>
            <w:tcW w:type="dxa" w:w="7972"/>
            <w:shd w:val="clear" w:color="auto" w:fill="F2F5F9"/>
          </w:tcPr>
          <w:p>
            <w:pPr>
              <w:spacing w:after="40" w:before="40"/>
              <w:jc w:val="left"/>
            </w:pPr>
            <w:r>
              <w:rPr>
                <w:rFonts w:ascii="Arial" w:hAnsi="Arial"/>
                <w:b w:val="0"/>
                <w:i w:val="0"/>
                <w:color w:val="222222"/>
                <w:sz w:val="20"/>
              </w:rPr>
              <w:t>Geo / multi-slot adverts; reporting depth; full Yedi education matching; Tidal OS dashboard; UAT</w:t>
            </w:r>
          </w:p>
        </w:tc>
      </w:tr>
    </w:tbl>
    <w:p>
      <w:pPr>
        <w:pStyle w:val="Heading1"/>
      </w:pPr>
      <w:r>
        <w:t>6. Work Breakdown Structure &amp; Quotation</w:t>
      </w:r>
    </w:p>
    <w:p>
      <w:pPr>
        <w:pStyle w:val="Heading2"/>
      </w:pPr>
      <w:r>
        <w:t>6.1 Quotation Summary</w:t>
      </w:r>
    </w:p>
    <w:p>
      <w:pPr>
        <w:spacing w:after="120"/>
      </w:pPr>
      <w:r>
        <w:rPr>
          <w:rFonts w:ascii="Arial" w:hAnsi="Arial"/>
          <w:b w:val="0"/>
          <w:i w:val="0"/>
          <w:color w:val="222222"/>
          <w:sz w:val="22"/>
        </w:rPr>
        <w:t>We propose a fixed-price model per tranche, issued at the end of Phase 0 and falling within (or below) the indicative ranges below. Figures exclude hosting, third-party licences (e.g. Twilio / GoCardless / DocuSign / Yoti) and post-launch support.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2340"/>
        <w:gridCol w:w="2340"/>
        <w:gridCol w:w="2340"/>
        <w:gridCol w:w="2340"/>
      </w:tblGrid>
      <w:tr>
        <w:tc>
          <w:tcPr>
            <w:tcW w:type="dxa" w:w="4136"/>
            <w:shd w:val="clear" w:color="auto" w:fill="1A2B4A"/>
          </w:tcPr>
          <w:p>
            <w:pPr>
              <w:spacing w:after="40" w:before="40"/>
              <w:jc w:val="left"/>
            </w:pPr>
            <w:r>
              <w:rPr>
                <w:rFonts w:ascii="Arial" w:hAnsi="Arial"/>
                <w:b/>
                <w:i w:val="0"/>
                <w:color w:val="FFFFFF"/>
                <w:sz w:val="20"/>
              </w:rPr>
              <w:t>Item</w:t>
            </w:r>
          </w:p>
        </w:tc>
        <w:tc>
          <w:tcPr>
            <w:tcW w:type="dxa" w:w="2067"/>
            <w:shd w:val="clear" w:color="auto" w:fill="1A2B4A"/>
          </w:tcPr>
          <w:p>
            <w:pPr>
              <w:spacing w:after="40" w:before="40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20"/>
              </w:rPr>
              <w:t>Effort</w:t>
            </w:r>
          </w:p>
        </w:tc>
        <w:tc>
          <w:tcPr>
            <w:tcW w:type="dxa" w:w="1414"/>
            <w:shd w:val="clear" w:color="auto" w:fill="1A2B4A"/>
          </w:tcPr>
          <w:p>
            <w:pPr>
              <w:spacing w:after="40" w:before="40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20"/>
              </w:rPr>
              <w:t>Timeline</w:t>
            </w:r>
          </w:p>
        </w:tc>
        <w:tc>
          <w:tcPr>
            <w:tcW w:type="dxa" w:w="1741"/>
            <w:shd w:val="clear" w:color="auto" w:fill="1A2B4A"/>
          </w:tcPr>
          <w:p>
            <w:pPr>
              <w:spacing w:after="40" w:before="40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20"/>
              </w:rPr>
              <w:t>Indicative (USD)</w:t>
            </w:r>
          </w:p>
        </w:tc>
      </w:tr>
      <w:tr>
        <w:tc>
          <w:tcPr>
            <w:tcW w:type="dxa" w:w="4136"/>
          </w:tcPr>
          <w:p>
            <w:pPr>
              <w:spacing w:after="40" w:before="40"/>
              <w:jc w:val="left"/>
            </w:pPr>
            <w:r>
              <w:rPr>
                <w:rFonts w:ascii="Arial" w:hAnsi="Arial"/>
                <w:b w:val="0"/>
                <w:i w:val="0"/>
                <w:color w:val="222222"/>
                <w:sz w:val="20"/>
              </w:rPr>
              <w:t>Tranche 1 — MVP launch (Tidal, shared)</w:t>
            </w:r>
          </w:p>
        </w:tc>
        <w:tc>
          <w:tcPr>
            <w:tcW w:type="dxa" w:w="2067"/>
          </w:tcPr>
          <w:p>
            <w:pPr>
              <w:spacing w:after="40" w:before="40"/>
              <w:jc w:val="center"/>
            </w:pPr>
            <w:r>
              <w:rPr>
                <w:rFonts w:ascii="Arial" w:hAnsi="Arial"/>
                <w:b w:val="0"/>
                <w:i w:val="0"/>
                <w:color w:val="222222"/>
                <w:sz w:val="20"/>
              </w:rPr>
              <w:t>~660 md (~34 M/M)</w:t>
            </w:r>
          </w:p>
        </w:tc>
        <w:tc>
          <w:tcPr>
            <w:tcW w:type="dxa" w:w="1414"/>
          </w:tcPr>
          <w:p>
            <w:pPr>
              <w:spacing w:after="40" w:before="40"/>
              <w:jc w:val="center"/>
            </w:pPr>
            <w:r>
              <w:rPr>
                <w:rFonts w:ascii="Arial" w:hAnsi="Arial"/>
                <w:b w:val="0"/>
                <w:i w:val="0"/>
                <w:color w:val="222222"/>
                <w:sz w:val="20"/>
              </w:rPr>
              <w:t>~4 months</w:t>
            </w:r>
          </w:p>
        </w:tc>
        <w:tc>
          <w:tcPr>
            <w:tcW w:type="dxa" w:w="1741"/>
          </w:tcPr>
          <w:p>
            <w:pPr>
              <w:spacing w:after="40" w:before="40"/>
              <w:jc w:val="center"/>
            </w:pPr>
            <w:r>
              <w:rPr>
                <w:rFonts w:ascii="Arial" w:hAnsi="Arial"/>
                <w:b w:val="0"/>
                <w:i w:val="0"/>
                <w:color w:val="222222"/>
                <w:sz w:val="20"/>
              </w:rPr>
              <w:t>~$158k–198k</w:t>
            </w:r>
          </w:p>
        </w:tc>
      </w:tr>
      <w:tr>
        <w:tc>
          <w:tcPr>
            <w:tcW w:type="dxa" w:w="4136"/>
            <w:shd w:val="clear" w:color="auto" w:fill="F2F5F9"/>
          </w:tcPr>
          <w:p>
            <w:pPr>
              <w:spacing w:after="40" w:before="40"/>
              <w:jc w:val="left"/>
            </w:pPr>
            <w:r>
              <w:rPr>
                <w:rFonts w:ascii="Arial" w:hAnsi="Arial"/>
                <w:b w:val="0"/>
                <w:i w:val="0"/>
                <w:color w:val="222222"/>
                <w:sz w:val="20"/>
              </w:rPr>
              <w:t>+ Yedi education delta</w:t>
            </w:r>
          </w:p>
        </w:tc>
        <w:tc>
          <w:tcPr>
            <w:tcW w:type="dxa" w:w="2067"/>
            <w:shd w:val="clear" w:color="auto" w:fill="F2F5F9"/>
          </w:tcPr>
          <w:p>
            <w:pPr>
              <w:spacing w:after="40" w:before="40"/>
              <w:jc w:val="center"/>
            </w:pPr>
            <w:r>
              <w:rPr>
                <w:rFonts w:ascii="Arial" w:hAnsi="Arial"/>
                <w:b w:val="0"/>
                <w:i w:val="0"/>
                <w:color w:val="222222"/>
                <w:sz w:val="20"/>
              </w:rPr>
              <w:t>+40–70 md</w:t>
            </w:r>
          </w:p>
        </w:tc>
        <w:tc>
          <w:tcPr>
            <w:tcW w:type="dxa" w:w="1414"/>
            <w:shd w:val="clear" w:color="auto" w:fill="F2F5F9"/>
          </w:tcPr>
          <w:p>
            <w:pPr>
              <w:spacing w:after="40" w:before="40"/>
              <w:jc w:val="center"/>
            </w:pPr>
            <w:r>
              <w:rPr>
                <w:rFonts w:ascii="Arial" w:hAnsi="Arial"/>
                <w:b w:val="0"/>
                <w:i w:val="0"/>
                <w:color w:val="222222"/>
                <w:sz w:val="20"/>
              </w:rPr>
              <w:t>+2–3 weeks</w:t>
            </w:r>
          </w:p>
        </w:tc>
        <w:tc>
          <w:tcPr>
            <w:tcW w:type="dxa" w:w="1741"/>
            <w:shd w:val="clear" w:color="auto" w:fill="F2F5F9"/>
          </w:tcPr>
          <w:p>
            <w:pPr>
              <w:spacing w:after="40" w:before="40"/>
              <w:jc w:val="center"/>
            </w:pPr>
            <w:r>
              <w:rPr>
                <w:rFonts w:ascii="Arial" w:hAnsi="Arial"/>
                <w:b w:val="0"/>
                <w:i w:val="0"/>
                <w:color w:val="222222"/>
                <w:sz w:val="20"/>
              </w:rPr>
              <w:t>~$10k–21k</w:t>
            </w:r>
          </w:p>
        </w:tc>
      </w:tr>
      <w:tr>
        <w:tc>
          <w:tcPr>
            <w:tcW w:type="dxa" w:w="4136"/>
          </w:tcPr>
          <w:p>
            <w:pPr>
              <w:spacing w:after="40" w:before="40"/>
              <w:jc w:val="left"/>
            </w:pPr>
            <w:r>
              <w:rPr>
                <w:rFonts w:ascii="Arial" w:hAnsi="Arial"/>
                <w:b w:val="0"/>
                <w:i w:val="0"/>
                <w:color w:val="222222"/>
                <w:sz w:val="20"/>
              </w:rPr>
              <w:t>Enhancement (Tranche 2)</w:t>
            </w:r>
          </w:p>
        </w:tc>
        <w:tc>
          <w:tcPr>
            <w:tcW w:type="dxa" w:w="2067"/>
          </w:tcPr>
          <w:p>
            <w:pPr>
              <w:spacing w:after="40" w:before="40"/>
              <w:jc w:val="center"/>
            </w:pPr>
            <w:r>
              <w:rPr>
                <w:rFonts w:ascii="Arial" w:hAnsi="Arial"/>
                <w:b w:val="0"/>
                <w:i w:val="0"/>
                <w:color w:val="222222"/>
                <w:sz w:val="20"/>
              </w:rPr>
              <w:t>~210 md (~11.5 M/M)</w:t>
            </w:r>
          </w:p>
        </w:tc>
        <w:tc>
          <w:tcPr>
            <w:tcW w:type="dxa" w:w="1414"/>
          </w:tcPr>
          <w:p>
            <w:pPr>
              <w:spacing w:after="40" w:before="40"/>
              <w:jc w:val="center"/>
            </w:pPr>
            <w:r>
              <w:rPr>
                <w:rFonts w:ascii="Arial" w:hAnsi="Arial"/>
                <w:b w:val="0"/>
                <w:i w:val="0"/>
                <w:color w:val="222222"/>
                <w:sz w:val="20"/>
              </w:rPr>
              <w:t>~+2 months</w:t>
            </w:r>
          </w:p>
        </w:tc>
        <w:tc>
          <w:tcPr>
            <w:tcW w:type="dxa" w:w="1741"/>
          </w:tcPr>
          <w:p>
            <w:pPr>
              <w:spacing w:after="40" w:before="40"/>
              <w:jc w:val="center"/>
            </w:pPr>
            <w:r>
              <w:rPr>
                <w:rFonts w:ascii="Arial" w:hAnsi="Arial"/>
                <w:b w:val="0"/>
                <w:i w:val="0"/>
                <w:color w:val="222222"/>
                <w:sz w:val="20"/>
              </w:rPr>
              <w:t>~$50k–63k</w:t>
            </w:r>
          </w:p>
        </w:tc>
      </w:tr>
      <w:tr>
        <w:tc>
          <w:tcPr>
            <w:tcW w:type="dxa" w:w="4136"/>
            <w:shd w:val="clear" w:color="auto" w:fill="F2F5F9"/>
          </w:tcPr>
          <w:p>
            <w:pPr>
              <w:spacing w:after="40" w:before="40"/>
              <w:jc w:val="left"/>
            </w:pPr>
            <w:r>
              <w:rPr>
                <w:rFonts w:ascii="Arial" w:hAnsi="Arial"/>
                <w:b w:val="0"/>
                <w:i w:val="0"/>
                <w:color w:val="222222"/>
                <w:sz w:val="20"/>
              </w:rPr>
              <w:t>Full production-grade (both platforms)</w:t>
            </w:r>
          </w:p>
        </w:tc>
        <w:tc>
          <w:tcPr>
            <w:tcW w:type="dxa" w:w="2067"/>
            <w:shd w:val="clear" w:color="auto" w:fill="F2F5F9"/>
          </w:tcPr>
          <w:p>
            <w:pPr>
              <w:spacing w:after="40" w:before="40"/>
              <w:jc w:val="center"/>
            </w:pPr>
            <w:r>
              <w:rPr>
                <w:rFonts w:ascii="Arial" w:hAnsi="Arial"/>
                <w:b w:val="0"/>
                <w:i w:val="0"/>
                <w:color w:val="222222"/>
                <w:sz w:val="20"/>
              </w:rPr>
              <w:t>~870 md</w:t>
            </w:r>
          </w:p>
        </w:tc>
        <w:tc>
          <w:tcPr>
            <w:tcW w:type="dxa" w:w="1414"/>
            <w:shd w:val="clear" w:color="auto" w:fill="F2F5F9"/>
          </w:tcPr>
          <w:p>
            <w:pPr>
              <w:spacing w:after="40" w:before="40"/>
              <w:jc w:val="center"/>
            </w:pPr>
            <w:r>
              <w:rPr>
                <w:rFonts w:ascii="Arial" w:hAnsi="Arial"/>
                <w:b w:val="0"/>
                <w:i w:val="0"/>
                <w:color w:val="222222"/>
                <w:sz w:val="20"/>
              </w:rPr>
              <w:t>~6–6.5 months</w:t>
            </w:r>
          </w:p>
        </w:tc>
        <w:tc>
          <w:tcPr>
            <w:tcW w:type="dxa" w:w="1741"/>
            <w:shd w:val="clear" w:color="auto" w:fill="F2F5F9"/>
          </w:tcPr>
          <w:p>
            <w:pPr>
              <w:spacing w:after="40" w:before="40"/>
              <w:jc w:val="center"/>
            </w:pPr>
            <w:r>
              <w:rPr>
                <w:rFonts w:ascii="Arial" w:hAnsi="Arial"/>
                <w:b w:val="0"/>
                <w:i w:val="0"/>
                <w:color w:val="222222"/>
                <w:sz w:val="20"/>
              </w:rPr>
              <w:t>~$209k–261k</w:t>
            </w:r>
          </w:p>
        </w:tc>
      </w:tr>
    </w:tbl>
    <w:p>
      <w:pPr>
        <w:spacing w:after="120"/>
      </w:pPr>
      <w:r>
        <w:rPr>
          <w:rFonts w:ascii="Arial" w:hAnsi="Arial"/>
          <w:b w:val="0"/>
          <w:i/>
          <w:color w:val="555555"/>
          <w:sz w:val="18"/>
        </w:rPr>
        <w:t>Indicative ranges (GBP equivalent ~£125k–156k for Tranche 1). A fixed price is issued after Phase 0. Cloud infrastructure and third-party service fees are paid directly by the client.</w:t>
      </w:r>
    </w:p>
    <w:p>
      <w:pPr>
        <w:pStyle w:val="Heading2"/>
      </w:pPr>
      <w:r>
        <w:t>6.2 Work Breakdown Structure (Effort by Domain)</w:t>
      </w:r>
    </w:p>
    <w:p>
      <w:pPr>
        <w:spacing w:after="120"/>
      </w:pPr>
      <w:r>
        <w:rPr>
          <w:rFonts w:ascii="Arial" w:hAnsi="Arial"/>
          <w:b w:val="0"/>
          <w:i w:val="0"/>
          <w:color w:val="222222"/>
          <w:sz w:val="22"/>
        </w:rPr>
        <w:t>Bottom-up, per-feature effort across 14 domains (man-days). PM and contingency are included in the totals.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3120"/>
        <w:gridCol w:w="3120"/>
        <w:gridCol w:w="3120"/>
      </w:tblGrid>
      <w:tr>
        <w:tc>
          <w:tcPr>
            <w:tcW w:type="dxa" w:w="6949"/>
            <w:shd w:val="clear" w:color="auto" w:fill="1A2B4A"/>
          </w:tcPr>
          <w:p>
            <w:pPr>
              <w:spacing w:after="40" w:before="40"/>
              <w:jc w:val="left"/>
            </w:pPr>
            <w:r>
              <w:rPr>
                <w:rFonts w:ascii="Arial" w:hAnsi="Arial"/>
                <w:b/>
                <w:i w:val="0"/>
                <w:color w:val="FFFFFF"/>
                <w:sz w:val="20"/>
              </w:rPr>
              <w:t>Domain</w:t>
            </w:r>
          </w:p>
        </w:tc>
        <w:tc>
          <w:tcPr>
            <w:tcW w:type="dxa" w:w="1276"/>
            <w:shd w:val="clear" w:color="auto" w:fill="1A2B4A"/>
          </w:tcPr>
          <w:p>
            <w:pPr>
              <w:spacing w:after="40" w:before="40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20"/>
              </w:rPr>
              <w:t>Full (md)</w:t>
            </w:r>
          </w:p>
        </w:tc>
        <w:tc>
          <w:tcPr>
            <w:tcW w:type="dxa" w:w="1134"/>
            <w:shd w:val="clear" w:color="auto" w:fill="1A2B4A"/>
          </w:tcPr>
          <w:p>
            <w:pPr>
              <w:spacing w:after="40" w:before="40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20"/>
              </w:rPr>
              <w:t>MVP (md)</w:t>
            </w:r>
          </w:p>
        </w:tc>
      </w:tr>
      <w:tr>
        <w:tc>
          <w:tcPr>
            <w:tcW w:type="dxa" w:w="6949"/>
          </w:tcPr>
          <w:p>
            <w:pPr>
              <w:spacing w:after="40" w:before="40"/>
              <w:jc w:val="left"/>
            </w:pPr>
            <w:r>
              <w:rPr>
                <w:rFonts w:ascii="Arial" w:hAnsi="Arial"/>
                <w:b w:val="0"/>
                <w:i w:val="0"/>
                <w:color w:val="222222"/>
                <w:sz w:val="20"/>
              </w:rPr>
              <w:t>P1  Identity / Auth / Access</w:t>
            </w:r>
          </w:p>
        </w:tc>
        <w:tc>
          <w:tcPr>
            <w:tcW w:type="dxa" w:w="1276"/>
          </w:tcPr>
          <w:p>
            <w:pPr>
              <w:spacing w:after="40" w:before="40"/>
              <w:jc w:val="center"/>
            </w:pPr>
            <w:r>
              <w:rPr>
                <w:rFonts w:ascii="Arial" w:hAnsi="Arial"/>
                <w:b w:val="0"/>
                <w:i w:val="0"/>
                <w:color w:val="222222"/>
                <w:sz w:val="20"/>
              </w:rPr>
              <w:t>36</w:t>
            </w:r>
          </w:p>
        </w:tc>
        <w:tc>
          <w:tcPr>
            <w:tcW w:type="dxa" w:w="1134"/>
          </w:tcPr>
          <w:p>
            <w:pPr>
              <w:spacing w:after="40" w:before="40"/>
              <w:jc w:val="center"/>
            </w:pPr>
            <w:r>
              <w:rPr>
                <w:rFonts w:ascii="Arial" w:hAnsi="Arial"/>
                <w:b w:val="0"/>
                <w:i w:val="0"/>
                <w:color w:val="222222"/>
                <w:sz w:val="20"/>
              </w:rPr>
              <w:t>27</w:t>
            </w:r>
          </w:p>
        </w:tc>
      </w:tr>
      <w:tr>
        <w:tc>
          <w:tcPr>
            <w:tcW w:type="dxa" w:w="6949"/>
            <w:shd w:val="clear" w:color="auto" w:fill="F2F5F9"/>
          </w:tcPr>
          <w:p>
            <w:pPr>
              <w:spacing w:after="40" w:before="40"/>
              <w:jc w:val="left"/>
            </w:pPr>
            <w:r>
              <w:rPr>
                <w:rFonts w:ascii="Arial" w:hAnsi="Arial"/>
                <w:b w:val="0"/>
                <w:i w:val="0"/>
                <w:color w:val="222222"/>
                <w:sz w:val="20"/>
              </w:rPr>
              <w:t>P2  Brand/School Portal</w:t>
            </w:r>
          </w:p>
        </w:tc>
        <w:tc>
          <w:tcPr>
            <w:tcW w:type="dxa" w:w="1276"/>
            <w:shd w:val="clear" w:color="auto" w:fill="F2F5F9"/>
          </w:tcPr>
          <w:p>
            <w:pPr>
              <w:spacing w:after="40" w:before="40"/>
              <w:jc w:val="center"/>
            </w:pPr>
            <w:r>
              <w:rPr>
                <w:rFonts w:ascii="Arial" w:hAnsi="Arial"/>
                <w:b w:val="0"/>
                <w:i w:val="0"/>
                <w:color w:val="222222"/>
                <w:sz w:val="20"/>
              </w:rPr>
              <w:t>56</w:t>
            </w:r>
          </w:p>
        </w:tc>
        <w:tc>
          <w:tcPr>
            <w:tcW w:type="dxa" w:w="1134"/>
            <w:shd w:val="clear" w:color="auto" w:fill="F2F5F9"/>
          </w:tcPr>
          <w:p>
            <w:pPr>
              <w:spacing w:after="40" w:before="40"/>
              <w:jc w:val="center"/>
            </w:pPr>
            <w:r>
              <w:rPr>
                <w:rFonts w:ascii="Arial" w:hAnsi="Arial"/>
                <w:b w:val="0"/>
                <w:i w:val="0"/>
                <w:color w:val="222222"/>
                <w:sz w:val="20"/>
              </w:rPr>
              <w:t>48</w:t>
            </w:r>
          </w:p>
        </w:tc>
      </w:tr>
      <w:tr>
        <w:tc>
          <w:tcPr>
            <w:tcW w:type="dxa" w:w="6949"/>
          </w:tcPr>
          <w:p>
            <w:pPr>
              <w:spacing w:after="40" w:before="40"/>
              <w:jc w:val="left"/>
            </w:pPr>
            <w:r>
              <w:rPr>
                <w:rFonts w:ascii="Arial" w:hAnsi="Arial"/>
                <w:b w:val="0"/>
                <w:i w:val="0"/>
                <w:color w:val="222222"/>
                <w:sz w:val="20"/>
              </w:rPr>
              <w:t>P3  Candidate/Teacher Portal</w:t>
            </w:r>
          </w:p>
        </w:tc>
        <w:tc>
          <w:tcPr>
            <w:tcW w:type="dxa" w:w="1276"/>
          </w:tcPr>
          <w:p>
            <w:pPr>
              <w:spacing w:after="40" w:before="40"/>
              <w:jc w:val="center"/>
            </w:pPr>
            <w:r>
              <w:rPr>
                <w:rFonts w:ascii="Arial" w:hAnsi="Arial"/>
                <w:b w:val="0"/>
                <w:i w:val="0"/>
                <w:color w:val="222222"/>
                <w:sz w:val="20"/>
              </w:rPr>
              <w:t>67</w:t>
            </w:r>
          </w:p>
        </w:tc>
        <w:tc>
          <w:tcPr>
            <w:tcW w:type="dxa" w:w="1134"/>
          </w:tcPr>
          <w:p>
            <w:pPr>
              <w:spacing w:after="40" w:before="40"/>
              <w:jc w:val="center"/>
            </w:pPr>
            <w:r>
              <w:rPr>
                <w:rFonts w:ascii="Arial" w:hAnsi="Arial"/>
                <w:b w:val="0"/>
                <w:i w:val="0"/>
                <w:color w:val="222222"/>
                <w:sz w:val="20"/>
              </w:rPr>
              <w:t>59</w:t>
            </w:r>
          </w:p>
        </w:tc>
      </w:tr>
      <w:tr>
        <w:tc>
          <w:tcPr>
            <w:tcW w:type="dxa" w:w="6949"/>
            <w:shd w:val="clear" w:color="auto" w:fill="F2F5F9"/>
          </w:tcPr>
          <w:p>
            <w:pPr>
              <w:spacing w:after="40" w:before="40"/>
              <w:jc w:val="left"/>
            </w:pPr>
            <w:r>
              <w:rPr>
                <w:rFonts w:ascii="Arial" w:hAnsi="Arial"/>
                <w:b w:val="0"/>
                <w:i w:val="0"/>
                <w:color w:val="222222"/>
                <w:sz w:val="20"/>
              </w:rPr>
              <w:t>P4  Adverts / Job Lifecycle</w:t>
            </w:r>
          </w:p>
        </w:tc>
        <w:tc>
          <w:tcPr>
            <w:tcW w:type="dxa" w:w="1276"/>
            <w:shd w:val="clear" w:color="auto" w:fill="F2F5F9"/>
          </w:tcPr>
          <w:p>
            <w:pPr>
              <w:spacing w:after="40" w:before="40"/>
              <w:jc w:val="center"/>
            </w:pPr>
            <w:r>
              <w:rPr>
                <w:rFonts w:ascii="Arial" w:hAnsi="Arial"/>
                <w:b w:val="0"/>
                <w:i w:val="0"/>
                <w:color w:val="222222"/>
                <w:sz w:val="20"/>
              </w:rPr>
              <w:t>41</w:t>
            </w:r>
          </w:p>
        </w:tc>
        <w:tc>
          <w:tcPr>
            <w:tcW w:type="dxa" w:w="1134"/>
            <w:shd w:val="clear" w:color="auto" w:fill="F2F5F9"/>
          </w:tcPr>
          <w:p>
            <w:pPr>
              <w:spacing w:after="40" w:before="40"/>
              <w:jc w:val="center"/>
            </w:pPr>
            <w:r>
              <w:rPr>
                <w:rFonts w:ascii="Arial" w:hAnsi="Arial"/>
                <w:b w:val="0"/>
                <w:i w:val="0"/>
                <w:color w:val="222222"/>
                <w:sz w:val="20"/>
              </w:rPr>
              <w:t>26</w:t>
            </w:r>
          </w:p>
        </w:tc>
      </w:tr>
      <w:tr>
        <w:tc>
          <w:tcPr>
            <w:tcW w:type="dxa" w:w="6949"/>
          </w:tcPr>
          <w:p>
            <w:pPr>
              <w:spacing w:after="40" w:before="40"/>
              <w:jc w:val="left"/>
            </w:pPr>
            <w:r>
              <w:rPr>
                <w:rFonts w:ascii="Arial" w:hAnsi="Arial"/>
                <w:b w:val="0"/>
                <w:i w:val="0"/>
                <w:color w:val="222222"/>
                <w:sz w:val="20"/>
              </w:rPr>
              <w:t>P5  Applications / Matching / Booking (core)</w:t>
            </w:r>
          </w:p>
        </w:tc>
        <w:tc>
          <w:tcPr>
            <w:tcW w:type="dxa" w:w="1276"/>
          </w:tcPr>
          <w:p>
            <w:pPr>
              <w:spacing w:after="40" w:before="40"/>
              <w:jc w:val="center"/>
            </w:pPr>
            <w:r>
              <w:rPr>
                <w:rFonts w:ascii="Arial" w:hAnsi="Arial"/>
                <w:b w:val="0"/>
                <w:i w:val="0"/>
                <w:color w:val="222222"/>
                <w:sz w:val="20"/>
              </w:rPr>
              <w:t>59</w:t>
            </w:r>
          </w:p>
        </w:tc>
        <w:tc>
          <w:tcPr>
            <w:tcW w:type="dxa" w:w="1134"/>
          </w:tcPr>
          <w:p>
            <w:pPr>
              <w:spacing w:after="40" w:before="40"/>
              <w:jc w:val="center"/>
            </w:pPr>
            <w:r>
              <w:rPr>
                <w:rFonts w:ascii="Arial" w:hAnsi="Arial"/>
                <w:b w:val="0"/>
                <w:i w:val="0"/>
                <w:color w:val="222222"/>
                <w:sz w:val="20"/>
              </w:rPr>
              <w:t>52</w:t>
            </w:r>
          </w:p>
        </w:tc>
      </w:tr>
      <w:tr>
        <w:tc>
          <w:tcPr>
            <w:tcW w:type="dxa" w:w="6949"/>
            <w:shd w:val="clear" w:color="auto" w:fill="F2F5F9"/>
          </w:tcPr>
          <w:p>
            <w:pPr>
              <w:spacing w:after="40" w:before="40"/>
              <w:jc w:val="left"/>
            </w:pPr>
            <w:r>
              <w:rPr>
                <w:rFonts w:ascii="Arial" w:hAnsi="Arial"/>
                <w:b w:val="0"/>
                <w:i w:val="0"/>
                <w:color w:val="222222"/>
                <w:sz w:val="20"/>
              </w:rPr>
              <w:t>P6  Compliance &amp; Right-to-Work</w:t>
            </w:r>
          </w:p>
        </w:tc>
        <w:tc>
          <w:tcPr>
            <w:tcW w:type="dxa" w:w="1276"/>
            <w:shd w:val="clear" w:color="auto" w:fill="F2F5F9"/>
          </w:tcPr>
          <w:p>
            <w:pPr>
              <w:spacing w:after="40" w:before="40"/>
              <w:jc w:val="center"/>
            </w:pPr>
            <w:r>
              <w:rPr>
                <w:rFonts w:ascii="Arial" w:hAnsi="Arial"/>
                <w:b w:val="0"/>
                <w:i w:val="0"/>
                <w:color w:val="222222"/>
                <w:sz w:val="20"/>
              </w:rPr>
              <w:t>48</w:t>
            </w:r>
          </w:p>
        </w:tc>
        <w:tc>
          <w:tcPr>
            <w:tcW w:type="dxa" w:w="1134"/>
            <w:shd w:val="clear" w:color="auto" w:fill="F2F5F9"/>
          </w:tcPr>
          <w:p>
            <w:pPr>
              <w:spacing w:after="40" w:before="40"/>
              <w:jc w:val="center"/>
            </w:pPr>
            <w:r>
              <w:rPr>
                <w:rFonts w:ascii="Arial" w:hAnsi="Arial"/>
                <w:b w:val="0"/>
                <w:i w:val="0"/>
                <w:color w:val="222222"/>
                <w:sz w:val="20"/>
              </w:rPr>
              <w:t>41</w:t>
            </w:r>
          </w:p>
        </w:tc>
      </w:tr>
      <w:tr>
        <w:tc>
          <w:tcPr>
            <w:tcW w:type="dxa" w:w="6949"/>
          </w:tcPr>
          <w:p>
            <w:pPr>
              <w:spacing w:after="40" w:before="40"/>
              <w:jc w:val="left"/>
            </w:pPr>
            <w:r>
              <w:rPr>
                <w:rFonts w:ascii="Arial" w:hAnsi="Arial"/>
                <w:b w:val="0"/>
                <w:i w:val="0"/>
                <w:color w:val="222222"/>
                <w:sz w:val="20"/>
              </w:rPr>
              <w:t>P7  Timesheets &amp; Attendance</w:t>
            </w:r>
          </w:p>
        </w:tc>
        <w:tc>
          <w:tcPr>
            <w:tcW w:type="dxa" w:w="1276"/>
          </w:tcPr>
          <w:p>
            <w:pPr>
              <w:spacing w:after="40" w:before="40"/>
              <w:jc w:val="center"/>
            </w:pPr>
            <w:r>
              <w:rPr>
                <w:rFonts w:ascii="Arial" w:hAnsi="Arial"/>
                <w:b w:val="0"/>
                <w:i w:val="0"/>
                <w:color w:val="222222"/>
                <w:sz w:val="20"/>
              </w:rPr>
              <w:t>35</w:t>
            </w:r>
          </w:p>
        </w:tc>
        <w:tc>
          <w:tcPr>
            <w:tcW w:type="dxa" w:w="1134"/>
          </w:tcPr>
          <w:p>
            <w:pPr>
              <w:spacing w:after="40" w:before="40"/>
              <w:jc w:val="center"/>
            </w:pPr>
            <w:r>
              <w:rPr>
                <w:rFonts w:ascii="Arial" w:hAnsi="Arial"/>
                <w:b w:val="0"/>
                <w:i w:val="0"/>
                <w:color w:val="222222"/>
                <w:sz w:val="20"/>
              </w:rPr>
              <w:t>27</w:t>
            </w:r>
          </w:p>
        </w:tc>
      </w:tr>
      <w:tr>
        <w:tc>
          <w:tcPr>
            <w:tcW w:type="dxa" w:w="6949"/>
            <w:shd w:val="clear" w:color="auto" w:fill="F2F5F9"/>
          </w:tcPr>
          <w:p>
            <w:pPr>
              <w:spacing w:after="40" w:before="40"/>
              <w:jc w:val="left"/>
            </w:pPr>
            <w:r>
              <w:rPr>
                <w:rFonts w:ascii="Arial" w:hAnsi="Arial"/>
                <w:b w:val="0"/>
                <w:i w:val="0"/>
                <w:color w:val="222222"/>
                <w:sz w:val="20"/>
              </w:rPr>
              <w:t>P8  Billing (Invoice / Payslip)</w:t>
            </w:r>
          </w:p>
        </w:tc>
        <w:tc>
          <w:tcPr>
            <w:tcW w:type="dxa" w:w="1276"/>
            <w:shd w:val="clear" w:color="auto" w:fill="F2F5F9"/>
          </w:tcPr>
          <w:p>
            <w:pPr>
              <w:spacing w:after="40" w:before="40"/>
              <w:jc w:val="center"/>
            </w:pPr>
            <w:r>
              <w:rPr>
                <w:rFonts w:ascii="Arial" w:hAnsi="Arial"/>
                <w:b w:val="0"/>
                <w:i w:val="0"/>
                <w:color w:val="222222"/>
                <w:sz w:val="20"/>
              </w:rPr>
              <w:t>55</w:t>
            </w:r>
          </w:p>
        </w:tc>
        <w:tc>
          <w:tcPr>
            <w:tcW w:type="dxa" w:w="1134"/>
            <w:shd w:val="clear" w:color="auto" w:fill="F2F5F9"/>
          </w:tcPr>
          <w:p>
            <w:pPr>
              <w:spacing w:after="40" w:before="40"/>
              <w:jc w:val="center"/>
            </w:pPr>
            <w:r>
              <w:rPr>
                <w:rFonts w:ascii="Arial" w:hAnsi="Arial"/>
                <w:b w:val="0"/>
                <w:i w:val="0"/>
                <w:color w:val="222222"/>
                <w:sz w:val="20"/>
              </w:rPr>
              <w:t>46</w:t>
            </w:r>
          </w:p>
        </w:tc>
      </w:tr>
      <w:tr>
        <w:tc>
          <w:tcPr>
            <w:tcW w:type="dxa" w:w="6949"/>
          </w:tcPr>
          <w:p>
            <w:pPr>
              <w:spacing w:after="40" w:before="40"/>
              <w:jc w:val="left"/>
            </w:pPr>
            <w:r>
              <w:rPr>
                <w:rFonts w:ascii="Arial" w:hAnsi="Arial"/>
                <w:b w:val="0"/>
                <w:i w:val="0"/>
                <w:color w:val="222222"/>
                <w:sz w:val="20"/>
              </w:rPr>
              <w:t>P9  Payments &amp; Settlement</w:t>
            </w:r>
          </w:p>
        </w:tc>
        <w:tc>
          <w:tcPr>
            <w:tcW w:type="dxa" w:w="1276"/>
          </w:tcPr>
          <w:p>
            <w:pPr>
              <w:spacing w:after="40" w:before="40"/>
              <w:jc w:val="center"/>
            </w:pPr>
            <w:r>
              <w:rPr>
                <w:rFonts w:ascii="Arial" w:hAnsi="Arial"/>
                <w:b w:val="0"/>
                <w:i w:val="0"/>
                <w:color w:val="222222"/>
                <w:sz w:val="20"/>
              </w:rPr>
              <w:t>32</w:t>
            </w:r>
          </w:p>
        </w:tc>
        <w:tc>
          <w:tcPr>
            <w:tcW w:type="dxa" w:w="1134"/>
          </w:tcPr>
          <w:p>
            <w:pPr>
              <w:spacing w:after="40" w:before="40"/>
              <w:jc w:val="center"/>
            </w:pPr>
            <w:r>
              <w:rPr>
                <w:rFonts w:ascii="Arial" w:hAnsi="Arial"/>
                <w:b w:val="0"/>
                <w:i w:val="0"/>
                <w:color w:val="222222"/>
                <w:sz w:val="20"/>
              </w:rPr>
              <w:t>8</w:t>
            </w:r>
          </w:p>
        </w:tc>
      </w:tr>
      <w:tr>
        <w:tc>
          <w:tcPr>
            <w:tcW w:type="dxa" w:w="6949"/>
            <w:shd w:val="clear" w:color="auto" w:fill="F2F5F9"/>
          </w:tcPr>
          <w:p>
            <w:pPr>
              <w:spacing w:after="40" w:before="40"/>
              <w:jc w:val="left"/>
            </w:pPr>
            <w:r>
              <w:rPr>
                <w:rFonts w:ascii="Arial" w:hAnsi="Arial"/>
                <w:b w:val="0"/>
                <w:i w:val="0"/>
                <w:color w:val="222222"/>
                <w:sz w:val="20"/>
              </w:rPr>
              <w:t>P10 Notifications &amp; Comms</w:t>
            </w:r>
          </w:p>
        </w:tc>
        <w:tc>
          <w:tcPr>
            <w:tcW w:type="dxa" w:w="1276"/>
            <w:shd w:val="clear" w:color="auto" w:fill="F2F5F9"/>
          </w:tcPr>
          <w:p>
            <w:pPr>
              <w:spacing w:after="40" w:before="40"/>
              <w:jc w:val="center"/>
            </w:pPr>
            <w:r>
              <w:rPr>
                <w:rFonts w:ascii="Arial" w:hAnsi="Arial"/>
                <w:b w:val="0"/>
                <w:i w:val="0"/>
                <w:color w:val="222222"/>
                <w:sz w:val="20"/>
              </w:rPr>
              <w:t>27</w:t>
            </w:r>
          </w:p>
        </w:tc>
        <w:tc>
          <w:tcPr>
            <w:tcW w:type="dxa" w:w="1134"/>
            <w:shd w:val="clear" w:color="auto" w:fill="F2F5F9"/>
          </w:tcPr>
          <w:p>
            <w:pPr>
              <w:spacing w:after="40" w:before="40"/>
              <w:jc w:val="center"/>
            </w:pPr>
            <w:r>
              <w:rPr>
                <w:rFonts w:ascii="Arial" w:hAnsi="Arial"/>
                <w:b w:val="0"/>
                <w:i w:val="0"/>
                <w:color w:val="222222"/>
                <w:sz w:val="20"/>
              </w:rPr>
              <w:t>14</w:t>
            </w:r>
          </w:p>
        </w:tc>
      </w:tr>
      <w:tr>
        <w:tc>
          <w:tcPr>
            <w:tcW w:type="dxa" w:w="6949"/>
          </w:tcPr>
          <w:p>
            <w:pPr>
              <w:spacing w:after="40" w:before="40"/>
              <w:jc w:val="left"/>
            </w:pPr>
            <w:r>
              <w:rPr>
                <w:rFonts w:ascii="Arial" w:hAnsi="Arial"/>
                <w:b w:val="0"/>
                <w:i w:val="0"/>
                <w:color w:val="222222"/>
                <w:sz w:val="20"/>
              </w:rPr>
              <w:t>P11 Documents / Contracts / E-sign</w:t>
            </w:r>
          </w:p>
        </w:tc>
        <w:tc>
          <w:tcPr>
            <w:tcW w:type="dxa" w:w="1276"/>
          </w:tcPr>
          <w:p>
            <w:pPr>
              <w:spacing w:after="40" w:before="40"/>
              <w:jc w:val="center"/>
            </w:pPr>
            <w:r>
              <w:rPr>
                <w:rFonts w:ascii="Arial" w:hAnsi="Arial"/>
                <w:b w:val="0"/>
                <w:i w:val="0"/>
                <w:color w:val="222222"/>
                <w:sz w:val="20"/>
              </w:rPr>
              <w:t>30</w:t>
            </w:r>
          </w:p>
        </w:tc>
        <w:tc>
          <w:tcPr>
            <w:tcW w:type="dxa" w:w="1134"/>
          </w:tcPr>
          <w:p>
            <w:pPr>
              <w:spacing w:after="40" w:before="40"/>
              <w:jc w:val="center"/>
            </w:pPr>
            <w:r>
              <w:rPr>
                <w:rFonts w:ascii="Arial" w:hAnsi="Arial"/>
                <w:b w:val="0"/>
                <w:i w:val="0"/>
                <w:color w:val="222222"/>
                <w:sz w:val="20"/>
              </w:rPr>
              <w:t>19</w:t>
            </w:r>
          </w:p>
        </w:tc>
      </w:tr>
      <w:tr>
        <w:tc>
          <w:tcPr>
            <w:tcW w:type="dxa" w:w="6949"/>
            <w:shd w:val="clear" w:color="auto" w:fill="F2F5F9"/>
          </w:tcPr>
          <w:p>
            <w:pPr>
              <w:spacing w:after="40" w:before="40"/>
              <w:jc w:val="left"/>
            </w:pPr>
            <w:r>
              <w:rPr>
                <w:rFonts w:ascii="Arial" w:hAnsi="Arial"/>
                <w:b w:val="0"/>
                <w:i w:val="0"/>
                <w:color w:val="222222"/>
                <w:sz w:val="20"/>
              </w:rPr>
              <w:t>P12 Multi-Tenancy / White-Label</w:t>
            </w:r>
          </w:p>
        </w:tc>
        <w:tc>
          <w:tcPr>
            <w:tcW w:type="dxa" w:w="1276"/>
            <w:shd w:val="clear" w:color="auto" w:fill="F2F5F9"/>
          </w:tcPr>
          <w:p>
            <w:pPr>
              <w:spacing w:after="40" w:before="40"/>
              <w:jc w:val="center"/>
            </w:pPr>
            <w:r>
              <w:rPr>
                <w:rFonts w:ascii="Arial" w:hAnsi="Arial"/>
                <w:b w:val="0"/>
                <w:i w:val="0"/>
                <w:color w:val="222222"/>
                <w:sz w:val="20"/>
              </w:rPr>
              <w:t>39</w:t>
            </w:r>
          </w:p>
        </w:tc>
        <w:tc>
          <w:tcPr>
            <w:tcW w:type="dxa" w:w="1134"/>
            <w:shd w:val="clear" w:color="auto" w:fill="F2F5F9"/>
          </w:tcPr>
          <w:p>
            <w:pPr>
              <w:spacing w:after="40" w:before="40"/>
              <w:jc w:val="center"/>
            </w:pPr>
            <w:r>
              <w:rPr>
                <w:rFonts w:ascii="Arial" w:hAnsi="Arial"/>
                <w:b w:val="0"/>
                <w:i w:val="0"/>
                <w:color w:val="222222"/>
                <w:sz w:val="20"/>
              </w:rPr>
              <w:t>29</w:t>
            </w:r>
          </w:p>
        </w:tc>
      </w:tr>
      <w:tr>
        <w:tc>
          <w:tcPr>
            <w:tcW w:type="dxa" w:w="6949"/>
          </w:tcPr>
          <w:p>
            <w:pPr>
              <w:spacing w:after="40" w:before="40"/>
              <w:jc w:val="left"/>
            </w:pPr>
            <w:r>
              <w:rPr>
                <w:rFonts w:ascii="Arial" w:hAnsi="Arial"/>
                <w:b w:val="0"/>
                <w:i w:val="0"/>
                <w:color w:val="222222"/>
                <w:sz w:val="20"/>
              </w:rPr>
              <w:t>P13 Reporting &amp; Analytics</w:t>
            </w:r>
          </w:p>
        </w:tc>
        <w:tc>
          <w:tcPr>
            <w:tcW w:type="dxa" w:w="1276"/>
          </w:tcPr>
          <w:p>
            <w:pPr>
              <w:spacing w:after="40" w:before="40"/>
              <w:jc w:val="center"/>
            </w:pPr>
            <w:r>
              <w:rPr>
                <w:rFonts w:ascii="Arial" w:hAnsi="Arial"/>
                <w:b w:val="0"/>
                <w:i w:val="0"/>
                <w:color w:val="222222"/>
                <w:sz w:val="20"/>
              </w:rPr>
              <w:t>25</w:t>
            </w:r>
          </w:p>
        </w:tc>
        <w:tc>
          <w:tcPr>
            <w:tcW w:type="dxa" w:w="1134"/>
          </w:tcPr>
          <w:p>
            <w:pPr>
              <w:spacing w:after="40" w:before="40"/>
              <w:jc w:val="center"/>
            </w:pPr>
            <w:r>
              <w:rPr>
                <w:rFonts w:ascii="Arial" w:hAnsi="Arial"/>
                <w:b w:val="0"/>
                <w:i w:val="0"/>
                <w:color w:val="222222"/>
                <w:sz w:val="20"/>
              </w:rPr>
              <w:t>7</w:t>
            </w:r>
          </w:p>
        </w:tc>
      </w:tr>
      <w:tr>
        <w:tc>
          <w:tcPr>
            <w:tcW w:type="dxa" w:w="6949"/>
            <w:shd w:val="clear" w:color="auto" w:fill="F2F5F9"/>
          </w:tcPr>
          <w:p>
            <w:pPr>
              <w:spacing w:after="40" w:before="40"/>
              <w:jc w:val="left"/>
            </w:pPr>
            <w:r>
              <w:rPr>
                <w:rFonts w:ascii="Arial" w:hAnsi="Arial"/>
                <w:b w:val="0"/>
                <w:i w:val="0"/>
                <w:color w:val="222222"/>
                <w:sz w:val="20"/>
              </w:rPr>
              <w:t>P14 Non-Functional (security / GDPR / QA / CI-CD)</w:t>
            </w:r>
          </w:p>
        </w:tc>
        <w:tc>
          <w:tcPr>
            <w:tcW w:type="dxa" w:w="1276"/>
            <w:shd w:val="clear" w:color="auto" w:fill="F2F5F9"/>
          </w:tcPr>
          <w:p>
            <w:pPr>
              <w:spacing w:after="40" w:before="40"/>
              <w:jc w:val="center"/>
            </w:pPr>
            <w:r>
              <w:rPr>
                <w:rFonts w:ascii="Arial" w:hAnsi="Arial"/>
                <w:b w:val="0"/>
                <w:i w:val="0"/>
                <w:color w:val="222222"/>
                <w:sz w:val="20"/>
              </w:rPr>
              <w:t>68</w:t>
            </w:r>
          </w:p>
        </w:tc>
        <w:tc>
          <w:tcPr>
            <w:tcW w:type="dxa" w:w="1134"/>
            <w:shd w:val="clear" w:color="auto" w:fill="F2F5F9"/>
          </w:tcPr>
          <w:p>
            <w:pPr>
              <w:spacing w:after="40" w:before="40"/>
              <w:jc w:val="center"/>
            </w:pPr>
            <w:r>
              <w:rPr>
                <w:rFonts w:ascii="Arial" w:hAnsi="Arial"/>
                <w:b w:val="0"/>
                <w:i w:val="0"/>
                <w:color w:val="222222"/>
                <w:sz w:val="20"/>
              </w:rPr>
              <w:t>59</w:t>
            </w:r>
          </w:p>
        </w:tc>
      </w:tr>
      <w:tr>
        <w:tc>
          <w:tcPr>
            <w:tcW w:type="dxa" w:w="6949"/>
          </w:tcPr>
          <w:p>
            <w:pPr>
              <w:spacing w:after="40" w:before="40"/>
              <w:jc w:val="left"/>
            </w:pPr>
            <w:r>
              <w:rPr>
                <w:rFonts w:ascii="Arial" w:hAnsi="Arial"/>
                <w:b w:val="0"/>
                <w:i w:val="0"/>
                <w:color w:val="222222"/>
                <w:sz w:val="20"/>
              </w:rPr>
              <w:t>Development subtotal</w:t>
            </w:r>
          </w:p>
        </w:tc>
        <w:tc>
          <w:tcPr>
            <w:tcW w:type="dxa" w:w="1276"/>
          </w:tcPr>
          <w:p>
            <w:pPr>
              <w:spacing w:after="40" w:before="40"/>
              <w:jc w:val="center"/>
            </w:pPr>
            <w:r>
              <w:rPr>
                <w:rFonts w:ascii="Arial" w:hAnsi="Arial"/>
                <w:b w:val="0"/>
                <w:i w:val="0"/>
                <w:color w:val="222222"/>
                <w:sz w:val="20"/>
              </w:rPr>
              <w:t>618</w:t>
            </w:r>
          </w:p>
        </w:tc>
        <w:tc>
          <w:tcPr>
            <w:tcW w:type="dxa" w:w="1134"/>
          </w:tcPr>
          <w:p>
            <w:pPr>
              <w:spacing w:after="40" w:before="40"/>
              <w:jc w:val="center"/>
            </w:pPr>
            <w:r>
              <w:rPr>
                <w:rFonts w:ascii="Arial" w:hAnsi="Arial"/>
                <w:b w:val="0"/>
                <w:i w:val="0"/>
                <w:color w:val="222222"/>
                <w:sz w:val="20"/>
              </w:rPr>
              <w:t>462</w:t>
            </w:r>
          </w:p>
        </w:tc>
      </w:tr>
      <w:tr>
        <w:tc>
          <w:tcPr>
            <w:tcW w:type="dxa" w:w="6949"/>
            <w:shd w:val="clear" w:color="auto" w:fill="F2F5F9"/>
          </w:tcPr>
          <w:p>
            <w:pPr>
              <w:spacing w:after="40" w:before="40"/>
              <w:jc w:val="left"/>
            </w:pPr>
            <w:r>
              <w:rPr>
                <w:rFonts w:ascii="Arial" w:hAnsi="Arial"/>
                <w:b w:val="0"/>
                <w:i w:val="0"/>
                <w:color w:val="222222"/>
                <w:sz w:val="20"/>
              </w:rPr>
              <w:t>+ Overlay (discovery/audit, UI-UX, foundation)</w:t>
            </w:r>
          </w:p>
        </w:tc>
        <w:tc>
          <w:tcPr>
            <w:tcW w:type="dxa" w:w="1276"/>
            <w:shd w:val="clear" w:color="auto" w:fill="F2F5F9"/>
          </w:tcPr>
          <w:p>
            <w:pPr>
              <w:spacing w:after="40" w:before="40"/>
              <w:jc w:val="center"/>
            </w:pPr>
            <w:r>
              <w:rPr>
                <w:rFonts w:ascii="Arial" w:hAnsi="Arial"/>
                <w:b w:val="0"/>
                <w:i w:val="0"/>
                <w:color w:val="222222"/>
                <w:sz w:val="20"/>
              </w:rPr>
              <w:t>50</w:t>
            </w:r>
          </w:p>
        </w:tc>
        <w:tc>
          <w:tcPr>
            <w:tcW w:type="dxa" w:w="1134"/>
            <w:shd w:val="clear" w:color="auto" w:fill="F2F5F9"/>
          </w:tcPr>
          <w:p>
            <w:pPr>
              <w:spacing w:after="40" w:before="40"/>
              <w:jc w:val="center"/>
            </w:pPr>
            <w:r>
              <w:rPr>
                <w:rFonts w:ascii="Arial" w:hAnsi="Arial"/>
                <w:b w:val="0"/>
                <w:i w:val="0"/>
                <w:color w:val="222222"/>
                <w:sz w:val="20"/>
              </w:rPr>
              <w:t>50</w:t>
            </w:r>
          </w:p>
        </w:tc>
      </w:tr>
      <w:tr>
        <w:tc>
          <w:tcPr>
            <w:tcW w:type="dxa" w:w="6949"/>
          </w:tcPr>
          <w:p>
            <w:pPr>
              <w:spacing w:after="40" w:before="40"/>
              <w:jc w:val="left"/>
            </w:pPr>
            <w:r>
              <w:rPr>
                <w:rFonts w:ascii="Arial" w:hAnsi="Arial"/>
                <w:b w:val="0"/>
                <w:i w:val="0"/>
                <w:color w:val="222222"/>
                <w:sz w:val="20"/>
              </w:rPr>
              <w:t>+ PM + contingency (included)</w:t>
            </w:r>
          </w:p>
        </w:tc>
        <w:tc>
          <w:tcPr>
            <w:tcW w:type="dxa" w:w="1276"/>
          </w:tcPr>
          <w:p>
            <w:pPr>
              <w:spacing w:after="40" w:before="40"/>
              <w:jc w:val="center"/>
            </w:pPr>
            <w:r>
              <w:rPr>
                <w:rFonts w:ascii="Arial" w:hAnsi="Arial"/>
                <w:b w:val="0"/>
                <w:i w:val="0"/>
                <w:color w:val="222222"/>
                <w:sz w:val="20"/>
              </w:rPr>
              <w:t>—</w:t>
            </w:r>
          </w:p>
        </w:tc>
        <w:tc>
          <w:tcPr>
            <w:tcW w:type="dxa" w:w="1134"/>
          </w:tcPr>
          <w:p>
            <w:pPr>
              <w:spacing w:after="40" w:before="40"/>
              <w:jc w:val="center"/>
            </w:pPr>
            <w:r>
              <w:rPr>
                <w:rFonts w:ascii="Arial" w:hAnsi="Arial"/>
                <w:b w:val="0"/>
                <w:i w:val="0"/>
                <w:color w:val="222222"/>
                <w:sz w:val="20"/>
              </w:rPr>
              <w:t>—</w:t>
            </w:r>
          </w:p>
        </w:tc>
      </w:tr>
      <w:tr>
        <w:tc>
          <w:tcPr>
            <w:tcW w:type="dxa" w:w="6949"/>
            <w:shd w:val="clear" w:color="auto" w:fill="F2F5F9"/>
          </w:tcPr>
          <w:p>
            <w:pPr>
              <w:spacing w:after="40" w:before="40"/>
              <w:jc w:val="left"/>
            </w:pPr>
            <w:r>
              <w:rPr>
                <w:rFonts w:ascii="Arial" w:hAnsi="Arial"/>
                <w:b w:val="0"/>
                <w:i w:val="0"/>
                <w:color w:val="222222"/>
                <w:sz w:val="20"/>
              </w:rPr>
              <w:t>TOTAL (rounded)</w:t>
            </w:r>
          </w:p>
        </w:tc>
        <w:tc>
          <w:tcPr>
            <w:tcW w:type="dxa" w:w="1276"/>
            <w:shd w:val="clear" w:color="auto" w:fill="F2F5F9"/>
          </w:tcPr>
          <w:p>
            <w:pPr>
              <w:spacing w:after="40" w:before="40"/>
              <w:jc w:val="center"/>
            </w:pPr>
            <w:r>
              <w:rPr>
                <w:rFonts w:ascii="Arial" w:hAnsi="Arial"/>
                <w:b w:val="0"/>
                <w:i w:val="0"/>
                <w:color w:val="222222"/>
                <w:sz w:val="20"/>
              </w:rPr>
              <w:t>~870</w:t>
            </w:r>
          </w:p>
        </w:tc>
        <w:tc>
          <w:tcPr>
            <w:tcW w:type="dxa" w:w="1134"/>
            <w:shd w:val="clear" w:color="auto" w:fill="F2F5F9"/>
          </w:tcPr>
          <w:p>
            <w:pPr>
              <w:spacing w:after="40" w:before="40"/>
              <w:jc w:val="center"/>
            </w:pPr>
            <w:r>
              <w:rPr>
                <w:rFonts w:ascii="Arial" w:hAnsi="Arial"/>
                <w:b w:val="0"/>
                <w:i w:val="0"/>
                <w:color w:val="222222"/>
                <w:sz w:val="20"/>
              </w:rPr>
              <w:t>~660</w:t>
            </w:r>
          </w:p>
        </w:tc>
      </w:tr>
    </w:tbl>
    <w:p>
      <w:pPr>
        <w:spacing w:after="120"/>
      </w:pPr>
      <w:r>
        <w:rPr>
          <w:rFonts w:ascii="Arial" w:hAnsi="Arial"/>
          <w:b w:val="0"/>
          <w:i/>
          <w:color w:val="555555"/>
          <w:sz w:val="18"/>
        </w:rPr>
        <w:t>Yedi education delta: +40–70 md beyond the baseline.</w:t>
      </w:r>
    </w:p>
    <w:p>
      <w:pPr>
        <w:pStyle w:val="Heading2"/>
      </w:pPr>
      <w:r>
        <w:t>6.3 Team Structure &amp; Cost Breakdown</w:t>
      </w:r>
    </w:p>
    <w:p>
      <w:pPr>
        <w:spacing w:after="120"/>
      </w:pPr>
      <w:r>
        <w:rPr>
          <w:rFonts w:ascii="Arial" w:hAnsi="Arial"/>
          <w:b/>
          <w:i w:val="0"/>
          <w:color w:val="222222"/>
          <w:sz w:val="22"/>
        </w:rPr>
        <w:t>6.3.1 Tranche 1 (MVP) — ~4 months, team peaking at ~9–10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1170"/>
        <w:gridCol w:w="1170"/>
        <w:gridCol w:w="1170"/>
        <w:gridCol w:w="1170"/>
        <w:gridCol w:w="1170"/>
        <w:gridCol w:w="1170"/>
        <w:gridCol w:w="1170"/>
        <w:gridCol w:w="1170"/>
      </w:tblGrid>
      <w:tr>
        <w:tc>
          <w:tcPr>
            <w:tcW w:type="dxa" w:w="2853"/>
            <w:shd w:val="clear" w:color="auto" w:fill="1A2B4A"/>
          </w:tcPr>
          <w:p>
            <w:pPr>
              <w:spacing w:after="40" w:before="40"/>
              <w:jc w:val="left"/>
            </w:pPr>
            <w:r>
              <w:rPr>
                <w:rFonts w:ascii="Arial" w:hAnsi="Arial"/>
                <w:b/>
                <w:i w:val="0"/>
                <w:color w:val="FFFFFF"/>
                <w:sz w:val="20"/>
              </w:rPr>
              <w:t>Position</w:t>
            </w:r>
          </w:p>
        </w:tc>
        <w:tc>
          <w:tcPr>
            <w:tcW w:type="dxa" w:w="604"/>
            <w:shd w:val="clear" w:color="auto" w:fill="1A2B4A"/>
          </w:tcPr>
          <w:p>
            <w:pPr>
              <w:spacing w:after="40" w:before="40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20"/>
              </w:rPr>
              <w:t>M1</w:t>
            </w:r>
          </w:p>
        </w:tc>
        <w:tc>
          <w:tcPr>
            <w:tcW w:type="dxa" w:w="604"/>
            <w:shd w:val="clear" w:color="auto" w:fill="1A2B4A"/>
          </w:tcPr>
          <w:p>
            <w:pPr>
              <w:spacing w:after="40" w:before="40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20"/>
              </w:rPr>
              <w:t>M2</w:t>
            </w:r>
          </w:p>
        </w:tc>
        <w:tc>
          <w:tcPr>
            <w:tcW w:type="dxa" w:w="604"/>
            <w:shd w:val="clear" w:color="auto" w:fill="1A2B4A"/>
          </w:tcPr>
          <w:p>
            <w:pPr>
              <w:spacing w:after="40" w:before="40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20"/>
              </w:rPr>
              <w:t>M3</w:t>
            </w:r>
          </w:p>
        </w:tc>
        <w:tc>
          <w:tcPr>
            <w:tcW w:type="dxa" w:w="604"/>
            <w:shd w:val="clear" w:color="auto" w:fill="1A2B4A"/>
          </w:tcPr>
          <w:p>
            <w:pPr>
              <w:spacing w:after="40" w:before="40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20"/>
              </w:rPr>
              <w:t>M4</w:t>
            </w:r>
          </w:p>
        </w:tc>
        <w:tc>
          <w:tcPr>
            <w:tcW w:type="dxa" w:w="1046"/>
            <w:shd w:val="clear" w:color="auto" w:fill="1A2B4A"/>
          </w:tcPr>
          <w:p>
            <w:pPr>
              <w:spacing w:after="40" w:before="40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20"/>
              </w:rPr>
              <w:t>Total (M/M)</w:t>
            </w:r>
          </w:p>
        </w:tc>
        <w:tc>
          <w:tcPr>
            <w:tcW w:type="dxa" w:w="1521"/>
            <w:shd w:val="clear" w:color="auto" w:fill="1A2B4A"/>
          </w:tcPr>
          <w:p>
            <w:pPr>
              <w:spacing w:after="40" w:before="40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20"/>
              </w:rPr>
              <w:t>Unit Price (USD)</w:t>
            </w:r>
          </w:p>
        </w:tc>
        <w:tc>
          <w:tcPr>
            <w:tcW w:type="dxa" w:w="1521"/>
            <w:shd w:val="clear" w:color="auto" w:fill="1A2B4A"/>
          </w:tcPr>
          <w:p>
            <w:pPr>
              <w:spacing w:after="40" w:before="40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20"/>
              </w:rPr>
              <w:t>Total Cost (USD)</w:t>
            </w:r>
          </w:p>
        </w:tc>
      </w:tr>
      <w:tr>
        <w:tc>
          <w:tcPr>
            <w:tcW w:type="dxa" w:w="2853"/>
          </w:tcPr>
          <w:p>
            <w:pPr>
              <w:spacing w:after="40" w:before="40"/>
              <w:jc w:val="left"/>
            </w:pPr>
            <w:r>
              <w:rPr>
                <w:rFonts w:ascii="Arial" w:hAnsi="Arial"/>
                <w:b w:val="0"/>
                <w:i w:val="0"/>
                <w:color w:val="222222"/>
                <w:sz w:val="20"/>
              </w:rPr>
              <w:t>PM</w:t>
            </w:r>
          </w:p>
        </w:tc>
        <w:tc>
          <w:tcPr>
            <w:tcW w:type="dxa" w:w="604"/>
          </w:tcPr>
          <w:p>
            <w:pPr>
              <w:spacing w:after="40" w:before="40"/>
              <w:jc w:val="center"/>
            </w:pPr>
            <w:r>
              <w:rPr>
                <w:rFonts w:ascii="Arial" w:hAnsi="Arial"/>
                <w:b w:val="0"/>
                <w:i w:val="0"/>
                <w:color w:val="222222"/>
                <w:sz w:val="20"/>
              </w:rPr>
              <w:t>1</w:t>
            </w:r>
          </w:p>
        </w:tc>
        <w:tc>
          <w:tcPr>
            <w:tcW w:type="dxa" w:w="604"/>
          </w:tcPr>
          <w:p>
            <w:pPr>
              <w:spacing w:after="40" w:before="40"/>
              <w:jc w:val="center"/>
            </w:pPr>
            <w:r>
              <w:rPr>
                <w:rFonts w:ascii="Arial" w:hAnsi="Arial"/>
                <w:b w:val="0"/>
                <w:i w:val="0"/>
                <w:color w:val="222222"/>
                <w:sz w:val="20"/>
              </w:rPr>
              <w:t>1</w:t>
            </w:r>
          </w:p>
        </w:tc>
        <w:tc>
          <w:tcPr>
            <w:tcW w:type="dxa" w:w="604"/>
          </w:tcPr>
          <w:p>
            <w:pPr>
              <w:spacing w:after="40" w:before="40"/>
              <w:jc w:val="center"/>
            </w:pPr>
            <w:r>
              <w:rPr>
                <w:rFonts w:ascii="Arial" w:hAnsi="Arial"/>
                <w:b w:val="0"/>
                <w:i w:val="0"/>
                <w:color w:val="222222"/>
                <w:sz w:val="20"/>
              </w:rPr>
              <w:t>1</w:t>
            </w:r>
          </w:p>
        </w:tc>
        <w:tc>
          <w:tcPr>
            <w:tcW w:type="dxa" w:w="604"/>
          </w:tcPr>
          <w:p>
            <w:pPr>
              <w:spacing w:after="40" w:before="40"/>
              <w:jc w:val="center"/>
            </w:pPr>
            <w:r>
              <w:rPr>
                <w:rFonts w:ascii="Arial" w:hAnsi="Arial"/>
                <w:b w:val="0"/>
                <w:i w:val="0"/>
                <w:color w:val="222222"/>
                <w:sz w:val="20"/>
              </w:rPr>
              <w:t>0.5</w:t>
            </w:r>
          </w:p>
        </w:tc>
        <w:tc>
          <w:tcPr>
            <w:tcW w:type="dxa" w:w="1046"/>
          </w:tcPr>
          <w:p>
            <w:pPr>
              <w:spacing w:after="40" w:before="40"/>
              <w:jc w:val="center"/>
            </w:pPr>
            <w:r>
              <w:rPr>
                <w:rFonts w:ascii="Arial" w:hAnsi="Arial"/>
                <w:b w:val="0"/>
                <w:i w:val="0"/>
                <w:color w:val="222222"/>
                <w:sz w:val="20"/>
              </w:rPr>
              <w:t>3.5</w:t>
            </w:r>
          </w:p>
        </w:tc>
        <w:tc>
          <w:tcPr>
            <w:tcW w:type="dxa" w:w="1521"/>
          </w:tcPr>
          <w:p>
            <w:pPr>
              <w:spacing w:after="40" w:before="40"/>
              <w:jc w:val="center"/>
            </w:pPr>
            <w:r>
              <w:rPr>
                <w:rFonts w:ascii="Arial" w:hAnsi="Arial"/>
                <w:b w:val="0"/>
                <w:i w:val="0"/>
                <w:color w:val="222222"/>
                <w:sz w:val="20"/>
              </w:rPr>
              <w:t>$5,000</w:t>
            </w:r>
          </w:p>
        </w:tc>
        <w:tc>
          <w:tcPr>
            <w:tcW w:type="dxa" w:w="1521"/>
          </w:tcPr>
          <w:p>
            <w:pPr>
              <w:spacing w:after="40" w:before="40"/>
              <w:jc w:val="center"/>
            </w:pPr>
            <w:r>
              <w:rPr>
                <w:rFonts w:ascii="Arial" w:hAnsi="Arial"/>
                <w:b w:val="0"/>
                <w:i w:val="0"/>
                <w:color w:val="222222"/>
                <w:sz w:val="20"/>
              </w:rPr>
              <w:t>$17,500</w:t>
            </w:r>
          </w:p>
        </w:tc>
      </w:tr>
      <w:tr>
        <w:tc>
          <w:tcPr>
            <w:tcW w:type="dxa" w:w="2853"/>
            <w:shd w:val="clear" w:color="auto" w:fill="F2F5F9"/>
          </w:tcPr>
          <w:p>
            <w:pPr>
              <w:spacing w:after="40" w:before="40"/>
              <w:jc w:val="left"/>
            </w:pPr>
            <w:r>
              <w:rPr>
                <w:rFonts w:ascii="Arial" w:hAnsi="Arial"/>
                <w:b w:val="0"/>
                <w:i w:val="0"/>
                <w:color w:val="222222"/>
                <w:sz w:val="20"/>
              </w:rPr>
              <w:t>BA &amp; UI/UX Designer</w:t>
            </w:r>
          </w:p>
        </w:tc>
        <w:tc>
          <w:tcPr>
            <w:tcW w:type="dxa" w:w="604"/>
            <w:shd w:val="clear" w:color="auto" w:fill="F2F5F9"/>
          </w:tcPr>
          <w:p>
            <w:pPr>
              <w:spacing w:after="40" w:before="40"/>
              <w:jc w:val="center"/>
            </w:pPr>
            <w:r>
              <w:rPr>
                <w:rFonts w:ascii="Arial" w:hAnsi="Arial"/>
                <w:b w:val="0"/>
                <w:i w:val="0"/>
                <w:color w:val="222222"/>
                <w:sz w:val="20"/>
              </w:rPr>
              <w:t>1</w:t>
            </w:r>
          </w:p>
        </w:tc>
        <w:tc>
          <w:tcPr>
            <w:tcW w:type="dxa" w:w="604"/>
            <w:shd w:val="clear" w:color="auto" w:fill="F2F5F9"/>
          </w:tcPr>
          <w:p>
            <w:pPr>
              <w:spacing w:after="40" w:before="40"/>
              <w:jc w:val="center"/>
            </w:pPr>
            <w:r>
              <w:rPr>
                <w:rFonts w:ascii="Arial" w:hAnsi="Arial"/>
                <w:b w:val="0"/>
                <w:i w:val="0"/>
                <w:color w:val="222222"/>
                <w:sz w:val="20"/>
              </w:rPr>
              <w:t>1</w:t>
            </w:r>
          </w:p>
        </w:tc>
        <w:tc>
          <w:tcPr>
            <w:tcW w:type="dxa" w:w="604"/>
            <w:shd w:val="clear" w:color="auto" w:fill="F2F5F9"/>
          </w:tcPr>
          <w:p>
            <w:pPr>
              <w:spacing w:after="40" w:before="40"/>
              <w:jc w:val="center"/>
            </w:pPr>
            <w:r>
              <w:rPr>
                <w:rFonts w:ascii="Arial" w:hAnsi="Arial"/>
                <w:b w:val="0"/>
                <w:i w:val="0"/>
                <w:color w:val="222222"/>
                <w:sz w:val="20"/>
              </w:rPr>
              <w:t>0.5</w:t>
            </w:r>
          </w:p>
        </w:tc>
        <w:tc>
          <w:tcPr>
            <w:tcW w:type="dxa" w:w="604"/>
            <w:shd w:val="clear" w:color="auto" w:fill="F2F5F9"/>
          </w:tcPr>
          <w:p>
            <w:pPr>
              <w:spacing w:after="40" w:before="40"/>
              <w:jc w:val="center"/>
            </w:pPr>
            <w:r>
              <w:rPr>
                <w:rFonts w:ascii="Arial" w:hAnsi="Arial"/>
                <w:b w:val="0"/>
                <w:i w:val="0"/>
                <w:color w:val="222222"/>
                <w:sz w:val="20"/>
              </w:rPr>
              <w:t>0.5</w:t>
            </w:r>
          </w:p>
        </w:tc>
        <w:tc>
          <w:tcPr>
            <w:tcW w:type="dxa" w:w="1046"/>
            <w:shd w:val="clear" w:color="auto" w:fill="F2F5F9"/>
          </w:tcPr>
          <w:p>
            <w:pPr>
              <w:spacing w:after="40" w:before="40"/>
              <w:jc w:val="center"/>
            </w:pPr>
            <w:r>
              <w:rPr>
                <w:rFonts w:ascii="Arial" w:hAnsi="Arial"/>
                <w:b w:val="0"/>
                <w:i w:val="0"/>
                <w:color w:val="222222"/>
                <w:sz w:val="20"/>
              </w:rPr>
              <w:t>3.0</w:t>
            </w:r>
          </w:p>
        </w:tc>
        <w:tc>
          <w:tcPr>
            <w:tcW w:type="dxa" w:w="1521"/>
            <w:shd w:val="clear" w:color="auto" w:fill="F2F5F9"/>
          </w:tcPr>
          <w:p>
            <w:pPr>
              <w:spacing w:after="40" w:before="40"/>
              <w:jc w:val="center"/>
            </w:pPr>
            <w:r>
              <w:rPr>
                <w:rFonts w:ascii="Arial" w:hAnsi="Arial"/>
                <w:b w:val="0"/>
                <w:i w:val="0"/>
                <w:color w:val="222222"/>
                <w:sz w:val="20"/>
              </w:rPr>
              <w:t>$4,500</w:t>
            </w:r>
          </w:p>
        </w:tc>
        <w:tc>
          <w:tcPr>
            <w:tcW w:type="dxa" w:w="1521"/>
            <w:shd w:val="clear" w:color="auto" w:fill="F2F5F9"/>
          </w:tcPr>
          <w:p>
            <w:pPr>
              <w:spacing w:after="40" w:before="40"/>
              <w:jc w:val="center"/>
            </w:pPr>
            <w:r>
              <w:rPr>
                <w:rFonts w:ascii="Arial" w:hAnsi="Arial"/>
                <w:b w:val="0"/>
                <w:i w:val="0"/>
                <w:color w:val="222222"/>
                <w:sz w:val="20"/>
              </w:rPr>
              <w:t>$13,500</w:t>
            </w:r>
          </w:p>
        </w:tc>
      </w:tr>
      <w:tr>
        <w:tc>
          <w:tcPr>
            <w:tcW w:type="dxa" w:w="2853"/>
          </w:tcPr>
          <w:p>
            <w:pPr>
              <w:spacing w:after="40" w:before="40"/>
              <w:jc w:val="left"/>
            </w:pPr>
            <w:r>
              <w:rPr>
                <w:rFonts w:ascii="Arial" w:hAnsi="Arial"/>
                <w:b w:val="0"/>
                <w:i w:val="0"/>
                <w:color w:val="222222"/>
                <w:sz w:val="20"/>
              </w:rPr>
              <w:t>Tech Lead / Solution Architect</w:t>
            </w:r>
          </w:p>
        </w:tc>
        <w:tc>
          <w:tcPr>
            <w:tcW w:type="dxa" w:w="604"/>
          </w:tcPr>
          <w:p>
            <w:pPr>
              <w:spacing w:after="40" w:before="40"/>
              <w:jc w:val="center"/>
            </w:pPr>
            <w:r>
              <w:rPr>
                <w:rFonts w:ascii="Arial" w:hAnsi="Arial"/>
                <w:b w:val="0"/>
                <w:i w:val="0"/>
                <w:color w:val="222222"/>
                <w:sz w:val="20"/>
              </w:rPr>
              <w:t>1</w:t>
            </w:r>
          </w:p>
        </w:tc>
        <w:tc>
          <w:tcPr>
            <w:tcW w:type="dxa" w:w="604"/>
          </w:tcPr>
          <w:p>
            <w:pPr>
              <w:spacing w:after="40" w:before="40"/>
              <w:jc w:val="center"/>
            </w:pPr>
            <w:r>
              <w:rPr>
                <w:rFonts w:ascii="Arial" w:hAnsi="Arial"/>
                <w:b w:val="0"/>
                <w:i w:val="0"/>
                <w:color w:val="222222"/>
                <w:sz w:val="20"/>
              </w:rPr>
              <w:t>1</w:t>
            </w:r>
          </w:p>
        </w:tc>
        <w:tc>
          <w:tcPr>
            <w:tcW w:type="dxa" w:w="604"/>
          </w:tcPr>
          <w:p>
            <w:pPr>
              <w:spacing w:after="40" w:before="40"/>
              <w:jc w:val="center"/>
            </w:pPr>
            <w:r>
              <w:rPr>
                <w:rFonts w:ascii="Arial" w:hAnsi="Arial"/>
                <w:b w:val="0"/>
                <w:i w:val="0"/>
                <w:color w:val="222222"/>
                <w:sz w:val="20"/>
              </w:rPr>
              <w:t>1</w:t>
            </w:r>
          </w:p>
        </w:tc>
        <w:tc>
          <w:tcPr>
            <w:tcW w:type="dxa" w:w="604"/>
          </w:tcPr>
          <w:p>
            <w:pPr>
              <w:spacing w:after="40" w:before="40"/>
              <w:jc w:val="center"/>
            </w:pPr>
            <w:r>
              <w:rPr>
                <w:rFonts w:ascii="Arial" w:hAnsi="Arial"/>
                <w:b w:val="0"/>
                <w:i w:val="0"/>
                <w:color w:val="222222"/>
                <w:sz w:val="20"/>
              </w:rPr>
              <w:t>1</w:t>
            </w:r>
          </w:p>
        </w:tc>
        <w:tc>
          <w:tcPr>
            <w:tcW w:type="dxa" w:w="1046"/>
          </w:tcPr>
          <w:p>
            <w:pPr>
              <w:spacing w:after="40" w:before="40"/>
              <w:jc w:val="center"/>
            </w:pPr>
            <w:r>
              <w:rPr>
                <w:rFonts w:ascii="Arial" w:hAnsi="Arial"/>
                <w:b w:val="0"/>
                <w:i w:val="0"/>
                <w:color w:val="222222"/>
                <w:sz w:val="20"/>
              </w:rPr>
              <w:t>4.0</w:t>
            </w:r>
          </w:p>
        </w:tc>
        <w:tc>
          <w:tcPr>
            <w:tcW w:type="dxa" w:w="1521"/>
          </w:tcPr>
          <w:p>
            <w:pPr>
              <w:spacing w:after="40" w:before="40"/>
              <w:jc w:val="center"/>
            </w:pPr>
            <w:r>
              <w:rPr>
                <w:rFonts w:ascii="Arial" w:hAnsi="Arial"/>
                <w:b w:val="0"/>
                <w:i w:val="0"/>
                <w:color w:val="222222"/>
                <w:sz w:val="20"/>
              </w:rPr>
              <w:t>$6,500</w:t>
            </w:r>
          </w:p>
        </w:tc>
        <w:tc>
          <w:tcPr>
            <w:tcW w:type="dxa" w:w="1521"/>
          </w:tcPr>
          <w:p>
            <w:pPr>
              <w:spacing w:after="40" w:before="40"/>
              <w:jc w:val="center"/>
            </w:pPr>
            <w:r>
              <w:rPr>
                <w:rFonts w:ascii="Arial" w:hAnsi="Arial"/>
                <w:b w:val="0"/>
                <w:i w:val="0"/>
                <w:color w:val="222222"/>
                <w:sz w:val="20"/>
              </w:rPr>
              <w:t>$26,000</w:t>
            </w:r>
          </w:p>
        </w:tc>
      </w:tr>
      <w:tr>
        <w:tc>
          <w:tcPr>
            <w:tcW w:type="dxa" w:w="2853"/>
            <w:shd w:val="clear" w:color="auto" w:fill="F2F5F9"/>
          </w:tcPr>
          <w:p>
            <w:pPr>
              <w:spacing w:after="40" w:before="40"/>
              <w:jc w:val="left"/>
            </w:pPr>
            <w:r>
              <w:rPr>
                <w:rFonts w:ascii="Arial" w:hAnsi="Arial"/>
                <w:b w:val="0"/>
                <w:i w:val="0"/>
                <w:color w:val="222222"/>
                <w:sz w:val="20"/>
              </w:rPr>
              <w:t>Senior Backend Engineer</w:t>
            </w:r>
          </w:p>
        </w:tc>
        <w:tc>
          <w:tcPr>
            <w:tcW w:type="dxa" w:w="604"/>
            <w:shd w:val="clear" w:color="auto" w:fill="F2F5F9"/>
          </w:tcPr>
          <w:p>
            <w:pPr>
              <w:spacing w:after="40" w:before="40"/>
              <w:jc w:val="center"/>
            </w:pPr>
            <w:r>
              <w:rPr>
                <w:rFonts w:ascii="Arial" w:hAnsi="Arial"/>
                <w:b w:val="0"/>
                <w:i w:val="0"/>
                <w:color w:val="222222"/>
                <w:sz w:val="20"/>
              </w:rPr>
              <w:t>2</w:t>
            </w:r>
          </w:p>
        </w:tc>
        <w:tc>
          <w:tcPr>
            <w:tcW w:type="dxa" w:w="604"/>
            <w:shd w:val="clear" w:color="auto" w:fill="F2F5F9"/>
          </w:tcPr>
          <w:p>
            <w:pPr>
              <w:spacing w:after="40" w:before="40"/>
              <w:jc w:val="center"/>
            </w:pPr>
            <w:r>
              <w:rPr>
                <w:rFonts w:ascii="Arial" w:hAnsi="Arial"/>
                <w:b w:val="0"/>
                <w:i w:val="0"/>
                <w:color w:val="222222"/>
                <w:sz w:val="20"/>
              </w:rPr>
              <w:t>2</w:t>
            </w:r>
          </w:p>
        </w:tc>
        <w:tc>
          <w:tcPr>
            <w:tcW w:type="dxa" w:w="604"/>
            <w:shd w:val="clear" w:color="auto" w:fill="F2F5F9"/>
          </w:tcPr>
          <w:p>
            <w:pPr>
              <w:spacing w:after="40" w:before="40"/>
              <w:jc w:val="center"/>
            </w:pPr>
            <w:r>
              <w:rPr>
                <w:rFonts w:ascii="Arial" w:hAnsi="Arial"/>
                <w:b w:val="0"/>
                <w:i w:val="0"/>
                <w:color w:val="222222"/>
                <w:sz w:val="20"/>
              </w:rPr>
              <w:t>2</w:t>
            </w:r>
          </w:p>
        </w:tc>
        <w:tc>
          <w:tcPr>
            <w:tcW w:type="dxa" w:w="604"/>
            <w:shd w:val="clear" w:color="auto" w:fill="F2F5F9"/>
          </w:tcPr>
          <w:p>
            <w:pPr>
              <w:spacing w:after="40" w:before="40"/>
              <w:jc w:val="center"/>
            </w:pPr>
            <w:r>
              <w:rPr>
                <w:rFonts w:ascii="Arial" w:hAnsi="Arial"/>
                <w:b w:val="0"/>
                <w:i w:val="0"/>
                <w:color w:val="222222"/>
                <w:sz w:val="20"/>
              </w:rPr>
              <w:t>1.5</w:t>
            </w:r>
          </w:p>
        </w:tc>
        <w:tc>
          <w:tcPr>
            <w:tcW w:type="dxa" w:w="1046"/>
            <w:shd w:val="clear" w:color="auto" w:fill="F2F5F9"/>
          </w:tcPr>
          <w:p>
            <w:pPr>
              <w:spacing w:after="40" w:before="40"/>
              <w:jc w:val="center"/>
            </w:pPr>
            <w:r>
              <w:rPr>
                <w:rFonts w:ascii="Arial" w:hAnsi="Arial"/>
                <w:b w:val="0"/>
                <w:i w:val="0"/>
                <w:color w:val="222222"/>
                <w:sz w:val="20"/>
              </w:rPr>
              <w:t>7.5</w:t>
            </w:r>
          </w:p>
        </w:tc>
        <w:tc>
          <w:tcPr>
            <w:tcW w:type="dxa" w:w="1521"/>
            <w:shd w:val="clear" w:color="auto" w:fill="F2F5F9"/>
          </w:tcPr>
          <w:p>
            <w:pPr>
              <w:spacing w:after="40" w:before="40"/>
              <w:jc w:val="center"/>
            </w:pPr>
            <w:r>
              <w:rPr>
                <w:rFonts w:ascii="Arial" w:hAnsi="Arial"/>
                <w:b w:val="0"/>
                <w:i w:val="0"/>
                <w:color w:val="222222"/>
                <w:sz w:val="20"/>
              </w:rPr>
              <w:t>$5,200</w:t>
            </w:r>
          </w:p>
        </w:tc>
        <w:tc>
          <w:tcPr>
            <w:tcW w:type="dxa" w:w="1521"/>
            <w:shd w:val="clear" w:color="auto" w:fill="F2F5F9"/>
          </w:tcPr>
          <w:p>
            <w:pPr>
              <w:spacing w:after="40" w:before="40"/>
              <w:jc w:val="center"/>
            </w:pPr>
            <w:r>
              <w:rPr>
                <w:rFonts w:ascii="Arial" w:hAnsi="Arial"/>
                <w:b w:val="0"/>
                <w:i w:val="0"/>
                <w:color w:val="222222"/>
                <w:sz w:val="20"/>
              </w:rPr>
              <w:t>$39,000</w:t>
            </w:r>
          </w:p>
        </w:tc>
      </w:tr>
      <w:tr>
        <w:tc>
          <w:tcPr>
            <w:tcW w:type="dxa" w:w="2853"/>
          </w:tcPr>
          <w:p>
            <w:pPr>
              <w:spacing w:after="40" w:before="40"/>
              <w:jc w:val="left"/>
            </w:pPr>
            <w:r>
              <w:rPr>
                <w:rFonts w:ascii="Arial" w:hAnsi="Arial"/>
                <w:b w:val="0"/>
                <w:i w:val="0"/>
                <w:color w:val="222222"/>
                <w:sz w:val="20"/>
              </w:rPr>
              <w:t>Senior Frontend Engineer</w:t>
            </w:r>
          </w:p>
        </w:tc>
        <w:tc>
          <w:tcPr>
            <w:tcW w:type="dxa" w:w="604"/>
          </w:tcPr>
          <w:p>
            <w:pPr>
              <w:spacing w:after="40" w:before="40"/>
              <w:jc w:val="center"/>
            </w:pPr>
            <w:r>
              <w:rPr>
                <w:rFonts w:ascii="Arial" w:hAnsi="Arial"/>
                <w:b w:val="0"/>
                <w:i w:val="0"/>
                <w:color w:val="222222"/>
                <w:sz w:val="20"/>
              </w:rPr>
              <w:t>2</w:t>
            </w:r>
          </w:p>
        </w:tc>
        <w:tc>
          <w:tcPr>
            <w:tcW w:type="dxa" w:w="604"/>
          </w:tcPr>
          <w:p>
            <w:pPr>
              <w:spacing w:after="40" w:before="40"/>
              <w:jc w:val="center"/>
            </w:pPr>
            <w:r>
              <w:rPr>
                <w:rFonts w:ascii="Arial" w:hAnsi="Arial"/>
                <w:b w:val="0"/>
                <w:i w:val="0"/>
                <w:color w:val="222222"/>
                <w:sz w:val="20"/>
              </w:rPr>
              <w:t>2</w:t>
            </w:r>
          </w:p>
        </w:tc>
        <w:tc>
          <w:tcPr>
            <w:tcW w:type="dxa" w:w="604"/>
          </w:tcPr>
          <w:p>
            <w:pPr>
              <w:spacing w:after="40" w:before="40"/>
              <w:jc w:val="center"/>
            </w:pPr>
            <w:r>
              <w:rPr>
                <w:rFonts w:ascii="Arial" w:hAnsi="Arial"/>
                <w:b w:val="0"/>
                <w:i w:val="0"/>
                <w:color w:val="222222"/>
                <w:sz w:val="20"/>
              </w:rPr>
              <w:t>2</w:t>
            </w:r>
          </w:p>
        </w:tc>
        <w:tc>
          <w:tcPr>
            <w:tcW w:type="dxa" w:w="604"/>
          </w:tcPr>
          <w:p>
            <w:pPr>
              <w:spacing w:after="40" w:before="40"/>
              <w:jc w:val="center"/>
            </w:pPr>
            <w:r>
              <w:rPr>
                <w:rFonts w:ascii="Arial" w:hAnsi="Arial"/>
                <w:b w:val="0"/>
                <w:i w:val="0"/>
                <w:color w:val="222222"/>
                <w:sz w:val="20"/>
              </w:rPr>
              <w:t>1.5</w:t>
            </w:r>
          </w:p>
        </w:tc>
        <w:tc>
          <w:tcPr>
            <w:tcW w:type="dxa" w:w="1046"/>
          </w:tcPr>
          <w:p>
            <w:pPr>
              <w:spacing w:after="40" w:before="40"/>
              <w:jc w:val="center"/>
            </w:pPr>
            <w:r>
              <w:rPr>
                <w:rFonts w:ascii="Arial" w:hAnsi="Arial"/>
                <w:b w:val="0"/>
                <w:i w:val="0"/>
                <w:color w:val="222222"/>
                <w:sz w:val="20"/>
              </w:rPr>
              <w:t>7.5</w:t>
            </w:r>
          </w:p>
        </w:tc>
        <w:tc>
          <w:tcPr>
            <w:tcW w:type="dxa" w:w="1521"/>
          </w:tcPr>
          <w:p>
            <w:pPr>
              <w:spacing w:after="40" w:before="40"/>
              <w:jc w:val="center"/>
            </w:pPr>
            <w:r>
              <w:rPr>
                <w:rFonts w:ascii="Arial" w:hAnsi="Arial"/>
                <w:b w:val="0"/>
                <w:i w:val="0"/>
                <w:color w:val="222222"/>
                <w:sz w:val="20"/>
              </w:rPr>
              <w:t>$5,200</w:t>
            </w:r>
          </w:p>
        </w:tc>
        <w:tc>
          <w:tcPr>
            <w:tcW w:type="dxa" w:w="1521"/>
          </w:tcPr>
          <w:p>
            <w:pPr>
              <w:spacing w:after="40" w:before="40"/>
              <w:jc w:val="center"/>
            </w:pPr>
            <w:r>
              <w:rPr>
                <w:rFonts w:ascii="Arial" w:hAnsi="Arial"/>
                <w:b w:val="0"/>
                <w:i w:val="0"/>
                <w:color w:val="222222"/>
                <w:sz w:val="20"/>
              </w:rPr>
              <w:t>$39,000</w:t>
            </w:r>
          </w:p>
        </w:tc>
      </w:tr>
      <w:tr>
        <w:tc>
          <w:tcPr>
            <w:tcW w:type="dxa" w:w="2853"/>
            <w:shd w:val="clear" w:color="auto" w:fill="F2F5F9"/>
          </w:tcPr>
          <w:p>
            <w:pPr>
              <w:spacing w:after="40" w:before="40"/>
              <w:jc w:val="left"/>
            </w:pPr>
            <w:r>
              <w:rPr>
                <w:rFonts w:ascii="Arial" w:hAnsi="Arial"/>
                <w:b w:val="0"/>
                <w:i w:val="0"/>
                <w:color w:val="222222"/>
                <w:sz w:val="20"/>
              </w:rPr>
              <w:t>DevOps Engineer</w:t>
            </w:r>
          </w:p>
        </w:tc>
        <w:tc>
          <w:tcPr>
            <w:tcW w:type="dxa" w:w="604"/>
            <w:shd w:val="clear" w:color="auto" w:fill="F2F5F9"/>
          </w:tcPr>
          <w:p>
            <w:pPr>
              <w:spacing w:after="40" w:before="40"/>
              <w:jc w:val="center"/>
            </w:pPr>
            <w:r>
              <w:rPr>
                <w:rFonts w:ascii="Arial" w:hAnsi="Arial"/>
                <w:b w:val="0"/>
                <w:i w:val="0"/>
                <w:color w:val="222222"/>
                <w:sz w:val="20"/>
              </w:rPr>
              <w:t>0.5</w:t>
            </w:r>
          </w:p>
        </w:tc>
        <w:tc>
          <w:tcPr>
            <w:tcW w:type="dxa" w:w="604"/>
            <w:shd w:val="clear" w:color="auto" w:fill="F2F5F9"/>
          </w:tcPr>
          <w:p>
            <w:pPr>
              <w:spacing w:after="40" w:before="40"/>
              <w:jc w:val="center"/>
            </w:pPr>
            <w:r>
              <w:rPr>
                <w:rFonts w:ascii="Arial" w:hAnsi="Arial"/>
                <w:b w:val="0"/>
                <w:i w:val="0"/>
                <w:color w:val="222222"/>
                <w:sz w:val="20"/>
              </w:rPr>
              <w:t>0.5</w:t>
            </w:r>
          </w:p>
        </w:tc>
        <w:tc>
          <w:tcPr>
            <w:tcW w:type="dxa" w:w="604"/>
            <w:shd w:val="clear" w:color="auto" w:fill="F2F5F9"/>
          </w:tcPr>
          <w:p>
            <w:pPr>
              <w:spacing w:after="40" w:before="40"/>
              <w:jc w:val="center"/>
            </w:pPr>
            <w:r>
              <w:rPr>
                <w:rFonts w:ascii="Arial" w:hAnsi="Arial"/>
                <w:b w:val="0"/>
                <w:i w:val="0"/>
                <w:color w:val="222222"/>
                <w:sz w:val="20"/>
              </w:rPr>
              <w:t>0.5</w:t>
            </w:r>
          </w:p>
        </w:tc>
        <w:tc>
          <w:tcPr>
            <w:tcW w:type="dxa" w:w="604"/>
            <w:shd w:val="clear" w:color="auto" w:fill="F2F5F9"/>
          </w:tcPr>
          <w:p>
            <w:pPr>
              <w:spacing w:after="40" w:before="40"/>
              <w:jc w:val="center"/>
            </w:pPr>
            <w:r>
              <w:rPr>
                <w:rFonts w:ascii="Arial" w:hAnsi="Arial"/>
                <w:b w:val="0"/>
                <w:i w:val="0"/>
                <w:color w:val="222222"/>
                <w:sz w:val="20"/>
              </w:rPr>
              <w:t>0.5</w:t>
            </w:r>
          </w:p>
        </w:tc>
        <w:tc>
          <w:tcPr>
            <w:tcW w:type="dxa" w:w="1046"/>
            <w:shd w:val="clear" w:color="auto" w:fill="F2F5F9"/>
          </w:tcPr>
          <w:p>
            <w:pPr>
              <w:spacing w:after="40" w:before="40"/>
              <w:jc w:val="center"/>
            </w:pPr>
            <w:r>
              <w:rPr>
                <w:rFonts w:ascii="Arial" w:hAnsi="Arial"/>
                <w:b w:val="0"/>
                <w:i w:val="0"/>
                <w:color w:val="222222"/>
                <w:sz w:val="20"/>
              </w:rPr>
              <w:t>2.0</w:t>
            </w:r>
          </w:p>
        </w:tc>
        <w:tc>
          <w:tcPr>
            <w:tcW w:type="dxa" w:w="1521"/>
            <w:shd w:val="clear" w:color="auto" w:fill="F2F5F9"/>
          </w:tcPr>
          <w:p>
            <w:pPr>
              <w:spacing w:after="40" w:before="40"/>
              <w:jc w:val="center"/>
            </w:pPr>
            <w:r>
              <w:rPr>
                <w:rFonts w:ascii="Arial" w:hAnsi="Arial"/>
                <w:b w:val="0"/>
                <w:i w:val="0"/>
                <w:color w:val="222222"/>
                <w:sz w:val="20"/>
              </w:rPr>
              <w:t>$5,500</w:t>
            </w:r>
          </w:p>
        </w:tc>
        <w:tc>
          <w:tcPr>
            <w:tcW w:type="dxa" w:w="1521"/>
            <w:shd w:val="clear" w:color="auto" w:fill="F2F5F9"/>
          </w:tcPr>
          <w:p>
            <w:pPr>
              <w:spacing w:after="40" w:before="40"/>
              <w:jc w:val="center"/>
            </w:pPr>
            <w:r>
              <w:rPr>
                <w:rFonts w:ascii="Arial" w:hAnsi="Arial"/>
                <w:b w:val="0"/>
                <w:i w:val="0"/>
                <w:color w:val="222222"/>
                <w:sz w:val="20"/>
              </w:rPr>
              <w:t>$11,000</w:t>
            </w:r>
          </w:p>
        </w:tc>
      </w:tr>
      <w:tr>
        <w:tc>
          <w:tcPr>
            <w:tcW w:type="dxa" w:w="2853"/>
          </w:tcPr>
          <w:p>
            <w:pPr>
              <w:spacing w:after="40" w:before="40"/>
              <w:jc w:val="left"/>
            </w:pPr>
            <w:r>
              <w:rPr>
                <w:rFonts w:ascii="Arial" w:hAnsi="Arial"/>
                <w:b w:val="0"/>
                <w:i w:val="0"/>
                <w:color w:val="222222"/>
                <w:sz w:val="20"/>
              </w:rPr>
              <w:t>QC Engineer</w:t>
            </w:r>
          </w:p>
        </w:tc>
        <w:tc>
          <w:tcPr>
            <w:tcW w:type="dxa" w:w="604"/>
          </w:tcPr>
          <w:p>
            <w:pPr>
              <w:spacing w:after="40" w:before="40"/>
              <w:jc w:val="center"/>
            </w:pPr>
            <w:r>
              <w:rPr>
                <w:rFonts w:ascii="Arial" w:hAnsi="Arial"/>
                <w:b w:val="0"/>
                <w:i w:val="0"/>
                <w:color w:val="222222"/>
                <w:sz w:val="20"/>
              </w:rPr>
              <w:t>1</w:t>
            </w:r>
          </w:p>
        </w:tc>
        <w:tc>
          <w:tcPr>
            <w:tcW w:type="dxa" w:w="604"/>
          </w:tcPr>
          <w:p>
            <w:pPr>
              <w:spacing w:after="40" w:before="40"/>
              <w:jc w:val="center"/>
            </w:pPr>
            <w:r>
              <w:rPr>
                <w:rFonts w:ascii="Arial" w:hAnsi="Arial"/>
                <w:b w:val="0"/>
                <w:i w:val="0"/>
                <w:color w:val="222222"/>
                <w:sz w:val="20"/>
              </w:rPr>
              <w:t>2</w:t>
            </w:r>
          </w:p>
        </w:tc>
        <w:tc>
          <w:tcPr>
            <w:tcW w:type="dxa" w:w="604"/>
          </w:tcPr>
          <w:p>
            <w:pPr>
              <w:spacing w:after="40" w:before="40"/>
              <w:jc w:val="center"/>
            </w:pPr>
            <w:r>
              <w:rPr>
                <w:rFonts w:ascii="Arial" w:hAnsi="Arial"/>
                <w:b w:val="0"/>
                <w:i w:val="0"/>
                <w:color w:val="222222"/>
                <w:sz w:val="20"/>
              </w:rPr>
              <w:t>2</w:t>
            </w:r>
          </w:p>
        </w:tc>
        <w:tc>
          <w:tcPr>
            <w:tcW w:type="dxa" w:w="604"/>
          </w:tcPr>
          <w:p>
            <w:pPr>
              <w:spacing w:after="40" w:before="40"/>
              <w:jc w:val="center"/>
            </w:pPr>
            <w:r>
              <w:rPr>
                <w:rFonts w:ascii="Arial" w:hAnsi="Arial"/>
                <w:b w:val="0"/>
                <w:i w:val="0"/>
                <w:color w:val="222222"/>
                <w:sz w:val="20"/>
              </w:rPr>
              <w:t>1.5</w:t>
            </w:r>
          </w:p>
        </w:tc>
        <w:tc>
          <w:tcPr>
            <w:tcW w:type="dxa" w:w="1046"/>
          </w:tcPr>
          <w:p>
            <w:pPr>
              <w:spacing w:after="40" w:before="40"/>
              <w:jc w:val="center"/>
            </w:pPr>
            <w:r>
              <w:rPr>
                <w:rFonts w:ascii="Arial" w:hAnsi="Arial"/>
                <w:b w:val="0"/>
                <w:i w:val="0"/>
                <w:color w:val="222222"/>
                <w:sz w:val="20"/>
              </w:rPr>
              <w:t>6.5</w:t>
            </w:r>
          </w:p>
        </w:tc>
        <w:tc>
          <w:tcPr>
            <w:tcW w:type="dxa" w:w="1521"/>
          </w:tcPr>
          <w:p>
            <w:pPr>
              <w:spacing w:after="40" w:before="40"/>
              <w:jc w:val="center"/>
            </w:pPr>
            <w:r>
              <w:rPr>
                <w:rFonts w:ascii="Arial" w:hAnsi="Arial"/>
                <w:b w:val="0"/>
                <w:i w:val="0"/>
                <w:color w:val="222222"/>
                <w:sz w:val="20"/>
              </w:rPr>
              <w:t>$4,200</w:t>
            </w:r>
          </w:p>
        </w:tc>
        <w:tc>
          <w:tcPr>
            <w:tcW w:type="dxa" w:w="1521"/>
          </w:tcPr>
          <w:p>
            <w:pPr>
              <w:spacing w:after="40" w:before="40"/>
              <w:jc w:val="center"/>
            </w:pPr>
            <w:r>
              <w:rPr>
                <w:rFonts w:ascii="Arial" w:hAnsi="Arial"/>
                <w:b w:val="0"/>
                <w:i w:val="0"/>
                <w:color w:val="222222"/>
                <w:sz w:val="20"/>
              </w:rPr>
              <w:t>$27,300</w:t>
            </w:r>
          </w:p>
        </w:tc>
      </w:tr>
      <w:tr>
        <w:tc>
          <w:tcPr>
            <w:tcW w:type="dxa" w:w="2853"/>
            <w:shd w:val="clear" w:color="auto" w:fill="F2F5F9"/>
          </w:tcPr>
          <w:p>
            <w:pPr>
              <w:spacing w:after="40" w:before="40"/>
              <w:jc w:val="left"/>
            </w:pPr>
            <w:r>
              <w:rPr>
                <w:rFonts w:ascii="Arial" w:hAnsi="Arial"/>
                <w:b w:val="0"/>
                <w:i w:val="0"/>
                <w:color w:val="222222"/>
                <w:sz w:val="20"/>
              </w:rPr>
              <w:t>TOTAL</w:t>
            </w:r>
          </w:p>
        </w:tc>
        <w:tc>
          <w:tcPr>
            <w:tcW w:type="dxa" w:w="604"/>
            <w:shd w:val="clear" w:color="auto" w:fill="F2F5F9"/>
          </w:tcPr>
          <w:p>
            <w:pPr>
              <w:spacing w:after="40" w:before="40"/>
              <w:jc w:val="center"/>
            </w:pPr>
            <w:r>
              <w:rPr>
                <w:rFonts w:ascii="Arial" w:hAnsi="Arial"/>
                <w:b w:val="0"/>
                <w:i w:val="0"/>
                <w:color w:val="222222"/>
                <w:sz w:val="20"/>
              </w:rPr>
              <w:t>8.5</w:t>
            </w:r>
          </w:p>
        </w:tc>
        <w:tc>
          <w:tcPr>
            <w:tcW w:type="dxa" w:w="604"/>
            <w:shd w:val="clear" w:color="auto" w:fill="F2F5F9"/>
          </w:tcPr>
          <w:p>
            <w:pPr>
              <w:spacing w:after="40" w:before="40"/>
              <w:jc w:val="center"/>
            </w:pPr>
            <w:r>
              <w:rPr>
                <w:rFonts w:ascii="Arial" w:hAnsi="Arial"/>
                <w:b w:val="0"/>
                <w:i w:val="0"/>
                <w:color w:val="222222"/>
                <w:sz w:val="20"/>
              </w:rPr>
              <w:t>9.5</w:t>
            </w:r>
          </w:p>
        </w:tc>
        <w:tc>
          <w:tcPr>
            <w:tcW w:type="dxa" w:w="604"/>
            <w:shd w:val="clear" w:color="auto" w:fill="F2F5F9"/>
          </w:tcPr>
          <w:p>
            <w:pPr>
              <w:spacing w:after="40" w:before="40"/>
              <w:jc w:val="center"/>
            </w:pPr>
            <w:r>
              <w:rPr>
                <w:rFonts w:ascii="Arial" w:hAnsi="Arial"/>
                <w:b w:val="0"/>
                <w:i w:val="0"/>
                <w:color w:val="222222"/>
                <w:sz w:val="20"/>
              </w:rPr>
              <w:t>9.0</w:t>
            </w:r>
          </w:p>
        </w:tc>
        <w:tc>
          <w:tcPr>
            <w:tcW w:type="dxa" w:w="604"/>
            <w:shd w:val="clear" w:color="auto" w:fill="F2F5F9"/>
          </w:tcPr>
          <w:p>
            <w:pPr>
              <w:spacing w:after="40" w:before="40"/>
              <w:jc w:val="center"/>
            </w:pPr>
            <w:r>
              <w:rPr>
                <w:rFonts w:ascii="Arial" w:hAnsi="Arial"/>
                <w:b w:val="0"/>
                <w:i w:val="0"/>
                <w:color w:val="222222"/>
                <w:sz w:val="20"/>
              </w:rPr>
              <w:t>7.0</w:t>
            </w:r>
          </w:p>
        </w:tc>
        <w:tc>
          <w:tcPr>
            <w:tcW w:type="dxa" w:w="1046"/>
            <w:shd w:val="clear" w:color="auto" w:fill="F2F5F9"/>
          </w:tcPr>
          <w:p>
            <w:pPr>
              <w:spacing w:after="40" w:before="40"/>
              <w:jc w:val="center"/>
            </w:pPr>
            <w:r>
              <w:rPr>
                <w:rFonts w:ascii="Arial" w:hAnsi="Arial"/>
                <w:b w:val="0"/>
                <w:i w:val="0"/>
                <w:color w:val="222222"/>
                <w:sz w:val="20"/>
              </w:rPr>
              <w:t>34.0</w:t>
            </w:r>
          </w:p>
        </w:tc>
        <w:tc>
          <w:tcPr>
            <w:tcW w:type="dxa" w:w="1521"/>
            <w:shd w:val="clear" w:color="auto" w:fill="F2F5F9"/>
          </w:tcPr>
          <w:p>
            <w:pPr>
              <w:spacing w:after="40" w:before="40"/>
              <w:jc w:val="center"/>
            </w:pPr>
          </w:p>
        </w:tc>
        <w:tc>
          <w:tcPr>
            <w:tcW w:type="dxa" w:w="1521"/>
            <w:shd w:val="clear" w:color="auto" w:fill="F2F5F9"/>
          </w:tcPr>
          <w:p>
            <w:pPr>
              <w:spacing w:after="40" w:before="40"/>
              <w:jc w:val="center"/>
            </w:pPr>
            <w:r>
              <w:rPr>
                <w:rFonts w:ascii="Arial" w:hAnsi="Arial"/>
                <w:b w:val="0"/>
                <w:i w:val="0"/>
                <w:color w:val="222222"/>
                <w:sz w:val="20"/>
              </w:rPr>
              <w:t>$173,300</w:t>
            </w:r>
          </w:p>
        </w:tc>
      </w:tr>
    </w:tbl>
    <w:p>
      <w:pPr>
        <w:spacing w:after="120"/>
      </w:pPr>
      <w:r>
        <w:rPr>
          <w:rFonts w:ascii="Arial" w:hAnsi="Arial"/>
          <w:b w:val="0"/>
          <w:i/>
          <w:color w:val="555555"/>
          <w:sz w:val="18"/>
        </w:rPr>
        <w:t>Indicative; fixed price issued after Phase 0, within the Tranche 1 range (~$158k–198k). Yedi education delta adds +2–3 weeks and +$10k–21k.</w:t>
      </w:r>
    </w:p>
    <w:p>
      <w:pPr>
        <w:spacing w:after="120"/>
      </w:pPr>
      <w:r>
        <w:rPr>
          <w:rFonts w:ascii="Arial" w:hAnsi="Arial"/>
          <w:b/>
          <w:i w:val="0"/>
          <w:color w:val="222222"/>
          <w:sz w:val="22"/>
        </w:rPr>
        <w:t>6.3.2 Tranche 2 (Enhancement) — ~2 months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2639"/>
            <w:shd w:val="clear" w:color="auto" w:fill="1A2B4A"/>
          </w:tcPr>
          <w:p>
            <w:pPr>
              <w:spacing w:after="40" w:before="40"/>
              <w:jc w:val="left"/>
            </w:pPr>
            <w:r>
              <w:rPr>
                <w:rFonts w:ascii="Arial" w:hAnsi="Arial"/>
                <w:b/>
                <w:i w:val="0"/>
                <w:color w:val="FFFFFF"/>
                <w:sz w:val="20"/>
              </w:rPr>
              <w:t>Position</w:t>
            </w:r>
          </w:p>
        </w:tc>
        <w:tc>
          <w:tcPr>
            <w:tcW w:type="dxa" w:w="658"/>
            <w:shd w:val="clear" w:color="auto" w:fill="1A2B4A"/>
          </w:tcPr>
          <w:p>
            <w:pPr>
              <w:spacing w:after="40" w:before="40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20"/>
              </w:rPr>
              <w:t>M1</w:t>
            </w:r>
          </w:p>
        </w:tc>
        <w:tc>
          <w:tcPr>
            <w:tcW w:type="dxa" w:w="658"/>
            <w:shd w:val="clear" w:color="auto" w:fill="1A2B4A"/>
          </w:tcPr>
          <w:p>
            <w:pPr>
              <w:spacing w:after="40" w:before="40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20"/>
              </w:rPr>
              <w:t>M2</w:t>
            </w:r>
          </w:p>
        </w:tc>
        <w:tc>
          <w:tcPr>
            <w:tcW w:type="dxa" w:w="1382"/>
            <w:shd w:val="clear" w:color="auto" w:fill="1A2B4A"/>
          </w:tcPr>
          <w:p>
            <w:pPr>
              <w:spacing w:after="40" w:before="40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20"/>
              </w:rPr>
              <w:t>Total (M/M)</w:t>
            </w:r>
          </w:p>
        </w:tc>
        <w:tc>
          <w:tcPr>
            <w:tcW w:type="dxa" w:w="2010"/>
            <w:shd w:val="clear" w:color="auto" w:fill="1A2B4A"/>
          </w:tcPr>
          <w:p>
            <w:pPr>
              <w:spacing w:after="40" w:before="40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20"/>
              </w:rPr>
              <w:t>Unit Price (USD)</w:t>
            </w:r>
          </w:p>
        </w:tc>
        <w:tc>
          <w:tcPr>
            <w:tcW w:type="dxa" w:w="2010"/>
            <w:shd w:val="clear" w:color="auto" w:fill="1A2B4A"/>
          </w:tcPr>
          <w:p>
            <w:pPr>
              <w:spacing w:after="40" w:before="40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20"/>
              </w:rPr>
              <w:t>Total Cost (USD)</w:t>
            </w:r>
          </w:p>
        </w:tc>
      </w:tr>
      <w:tr>
        <w:tc>
          <w:tcPr>
            <w:tcW w:type="dxa" w:w="2639"/>
          </w:tcPr>
          <w:p>
            <w:pPr>
              <w:spacing w:after="40" w:before="40"/>
              <w:jc w:val="left"/>
            </w:pPr>
            <w:r>
              <w:rPr>
                <w:rFonts w:ascii="Arial" w:hAnsi="Arial"/>
                <w:b w:val="0"/>
                <w:i w:val="0"/>
                <w:color w:val="222222"/>
                <w:sz w:val="20"/>
              </w:rPr>
              <w:t>PM</w:t>
            </w:r>
          </w:p>
        </w:tc>
        <w:tc>
          <w:tcPr>
            <w:tcW w:type="dxa" w:w="658"/>
          </w:tcPr>
          <w:p>
            <w:pPr>
              <w:spacing w:after="40" w:before="40"/>
              <w:jc w:val="center"/>
            </w:pPr>
            <w:r>
              <w:rPr>
                <w:rFonts w:ascii="Arial" w:hAnsi="Arial"/>
                <w:b w:val="0"/>
                <w:i w:val="0"/>
                <w:color w:val="222222"/>
                <w:sz w:val="20"/>
              </w:rPr>
              <w:t>0.5</w:t>
            </w:r>
          </w:p>
        </w:tc>
        <w:tc>
          <w:tcPr>
            <w:tcW w:type="dxa" w:w="658"/>
          </w:tcPr>
          <w:p>
            <w:pPr>
              <w:spacing w:after="40" w:before="40"/>
              <w:jc w:val="center"/>
            </w:pPr>
            <w:r>
              <w:rPr>
                <w:rFonts w:ascii="Arial" w:hAnsi="Arial"/>
                <w:b w:val="0"/>
                <w:i w:val="0"/>
                <w:color w:val="222222"/>
                <w:sz w:val="20"/>
              </w:rPr>
              <w:t>0.5</w:t>
            </w:r>
          </w:p>
        </w:tc>
        <w:tc>
          <w:tcPr>
            <w:tcW w:type="dxa" w:w="1382"/>
          </w:tcPr>
          <w:p>
            <w:pPr>
              <w:spacing w:after="40" w:before="40"/>
              <w:jc w:val="center"/>
            </w:pPr>
            <w:r>
              <w:rPr>
                <w:rFonts w:ascii="Arial" w:hAnsi="Arial"/>
                <w:b w:val="0"/>
                <w:i w:val="0"/>
                <w:color w:val="222222"/>
                <w:sz w:val="20"/>
              </w:rPr>
              <w:t>1.0</w:t>
            </w:r>
          </w:p>
        </w:tc>
        <w:tc>
          <w:tcPr>
            <w:tcW w:type="dxa" w:w="2010"/>
          </w:tcPr>
          <w:p>
            <w:pPr>
              <w:spacing w:after="40" w:before="40"/>
              <w:jc w:val="center"/>
            </w:pPr>
            <w:r>
              <w:rPr>
                <w:rFonts w:ascii="Arial" w:hAnsi="Arial"/>
                <w:b w:val="0"/>
                <w:i w:val="0"/>
                <w:color w:val="222222"/>
                <w:sz w:val="20"/>
              </w:rPr>
              <w:t>$5,000</w:t>
            </w:r>
          </w:p>
        </w:tc>
        <w:tc>
          <w:tcPr>
            <w:tcW w:type="dxa" w:w="2010"/>
          </w:tcPr>
          <w:p>
            <w:pPr>
              <w:spacing w:after="40" w:before="40"/>
              <w:jc w:val="center"/>
            </w:pPr>
            <w:r>
              <w:rPr>
                <w:rFonts w:ascii="Arial" w:hAnsi="Arial"/>
                <w:b w:val="0"/>
                <w:i w:val="0"/>
                <w:color w:val="222222"/>
                <w:sz w:val="20"/>
              </w:rPr>
              <w:t>$5,000</w:t>
            </w:r>
          </w:p>
        </w:tc>
      </w:tr>
      <w:tr>
        <w:tc>
          <w:tcPr>
            <w:tcW w:type="dxa" w:w="2639"/>
            <w:shd w:val="clear" w:color="auto" w:fill="F2F5F9"/>
          </w:tcPr>
          <w:p>
            <w:pPr>
              <w:spacing w:after="40" w:before="40"/>
              <w:jc w:val="left"/>
            </w:pPr>
            <w:r>
              <w:rPr>
                <w:rFonts w:ascii="Arial" w:hAnsi="Arial"/>
                <w:b w:val="0"/>
                <w:i w:val="0"/>
                <w:color w:val="222222"/>
                <w:sz w:val="20"/>
              </w:rPr>
              <w:t>BA &amp; UI/UX Designer</w:t>
            </w:r>
          </w:p>
        </w:tc>
        <w:tc>
          <w:tcPr>
            <w:tcW w:type="dxa" w:w="658"/>
            <w:shd w:val="clear" w:color="auto" w:fill="F2F5F9"/>
          </w:tcPr>
          <w:p>
            <w:pPr>
              <w:spacing w:after="40" w:before="40"/>
              <w:jc w:val="center"/>
            </w:pPr>
            <w:r>
              <w:rPr>
                <w:rFonts w:ascii="Arial" w:hAnsi="Arial"/>
                <w:b w:val="0"/>
                <w:i w:val="0"/>
                <w:color w:val="222222"/>
                <w:sz w:val="20"/>
              </w:rPr>
              <w:t>0.5</w:t>
            </w:r>
          </w:p>
        </w:tc>
        <w:tc>
          <w:tcPr>
            <w:tcW w:type="dxa" w:w="658"/>
            <w:shd w:val="clear" w:color="auto" w:fill="F2F5F9"/>
          </w:tcPr>
          <w:p>
            <w:pPr>
              <w:spacing w:after="40" w:before="40"/>
              <w:jc w:val="center"/>
            </w:pPr>
            <w:r>
              <w:rPr>
                <w:rFonts w:ascii="Arial" w:hAnsi="Arial"/>
                <w:b w:val="0"/>
                <w:i w:val="0"/>
                <w:color w:val="222222"/>
                <w:sz w:val="20"/>
              </w:rPr>
              <w:t>0.5</w:t>
            </w:r>
          </w:p>
        </w:tc>
        <w:tc>
          <w:tcPr>
            <w:tcW w:type="dxa" w:w="1382"/>
            <w:shd w:val="clear" w:color="auto" w:fill="F2F5F9"/>
          </w:tcPr>
          <w:p>
            <w:pPr>
              <w:spacing w:after="40" w:before="40"/>
              <w:jc w:val="center"/>
            </w:pPr>
            <w:r>
              <w:rPr>
                <w:rFonts w:ascii="Arial" w:hAnsi="Arial"/>
                <w:b w:val="0"/>
                <w:i w:val="0"/>
                <w:color w:val="222222"/>
                <w:sz w:val="20"/>
              </w:rPr>
              <w:t>1.0</w:t>
            </w:r>
          </w:p>
        </w:tc>
        <w:tc>
          <w:tcPr>
            <w:tcW w:type="dxa" w:w="2010"/>
            <w:shd w:val="clear" w:color="auto" w:fill="F2F5F9"/>
          </w:tcPr>
          <w:p>
            <w:pPr>
              <w:spacing w:after="40" w:before="40"/>
              <w:jc w:val="center"/>
            </w:pPr>
            <w:r>
              <w:rPr>
                <w:rFonts w:ascii="Arial" w:hAnsi="Arial"/>
                <w:b w:val="0"/>
                <w:i w:val="0"/>
                <w:color w:val="222222"/>
                <w:sz w:val="20"/>
              </w:rPr>
              <w:t>$4,500</w:t>
            </w:r>
          </w:p>
        </w:tc>
        <w:tc>
          <w:tcPr>
            <w:tcW w:type="dxa" w:w="2010"/>
            <w:shd w:val="clear" w:color="auto" w:fill="F2F5F9"/>
          </w:tcPr>
          <w:p>
            <w:pPr>
              <w:spacing w:after="40" w:before="40"/>
              <w:jc w:val="center"/>
            </w:pPr>
            <w:r>
              <w:rPr>
                <w:rFonts w:ascii="Arial" w:hAnsi="Arial"/>
                <w:b w:val="0"/>
                <w:i w:val="0"/>
                <w:color w:val="222222"/>
                <w:sz w:val="20"/>
              </w:rPr>
              <w:t>$4,500</w:t>
            </w:r>
          </w:p>
        </w:tc>
      </w:tr>
      <w:tr>
        <w:tc>
          <w:tcPr>
            <w:tcW w:type="dxa" w:w="2639"/>
          </w:tcPr>
          <w:p>
            <w:pPr>
              <w:spacing w:after="40" w:before="40"/>
              <w:jc w:val="left"/>
            </w:pPr>
            <w:r>
              <w:rPr>
                <w:rFonts w:ascii="Arial" w:hAnsi="Arial"/>
                <w:b w:val="0"/>
                <w:i w:val="0"/>
                <w:color w:val="222222"/>
                <w:sz w:val="20"/>
              </w:rPr>
              <w:t>Senior BE/FE Engineer</w:t>
            </w:r>
          </w:p>
        </w:tc>
        <w:tc>
          <w:tcPr>
            <w:tcW w:type="dxa" w:w="658"/>
          </w:tcPr>
          <w:p>
            <w:pPr>
              <w:spacing w:after="40" w:before="40"/>
              <w:jc w:val="center"/>
            </w:pPr>
            <w:r>
              <w:rPr>
                <w:rFonts w:ascii="Arial" w:hAnsi="Arial"/>
                <w:b w:val="0"/>
                <w:i w:val="0"/>
                <w:color w:val="222222"/>
                <w:sz w:val="20"/>
              </w:rPr>
              <w:t>3</w:t>
            </w:r>
          </w:p>
        </w:tc>
        <w:tc>
          <w:tcPr>
            <w:tcW w:type="dxa" w:w="658"/>
          </w:tcPr>
          <w:p>
            <w:pPr>
              <w:spacing w:after="40" w:before="40"/>
              <w:jc w:val="center"/>
            </w:pPr>
            <w:r>
              <w:rPr>
                <w:rFonts w:ascii="Arial" w:hAnsi="Arial"/>
                <w:b w:val="0"/>
                <w:i w:val="0"/>
                <w:color w:val="222222"/>
                <w:sz w:val="20"/>
              </w:rPr>
              <w:t>3</w:t>
            </w:r>
          </w:p>
        </w:tc>
        <w:tc>
          <w:tcPr>
            <w:tcW w:type="dxa" w:w="1382"/>
          </w:tcPr>
          <w:p>
            <w:pPr>
              <w:spacing w:after="40" w:before="40"/>
              <w:jc w:val="center"/>
            </w:pPr>
            <w:r>
              <w:rPr>
                <w:rFonts w:ascii="Arial" w:hAnsi="Arial"/>
                <w:b w:val="0"/>
                <w:i w:val="0"/>
                <w:color w:val="222222"/>
                <w:sz w:val="20"/>
              </w:rPr>
              <w:t>6.0</w:t>
            </w:r>
          </w:p>
        </w:tc>
        <w:tc>
          <w:tcPr>
            <w:tcW w:type="dxa" w:w="2010"/>
          </w:tcPr>
          <w:p>
            <w:pPr>
              <w:spacing w:after="40" w:before="40"/>
              <w:jc w:val="center"/>
            </w:pPr>
            <w:r>
              <w:rPr>
                <w:rFonts w:ascii="Arial" w:hAnsi="Arial"/>
                <w:b w:val="0"/>
                <w:i w:val="0"/>
                <w:color w:val="222222"/>
                <w:sz w:val="20"/>
              </w:rPr>
              <w:t>$5,200</w:t>
            </w:r>
          </w:p>
        </w:tc>
        <w:tc>
          <w:tcPr>
            <w:tcW w:type="dxa" w:w="2010"/>
          </w:tcPr>
          <w:p>
            <w:pPr>
              <w:spacing w:after="40" w:before="40"/>
              <w:jc w:val="center"/>
            </w:pPr>
            <w:r>
              <w:rPr>
                <w:rFonts w:ascii="Arial" w:hAnsi="Arial"/>
                <w:b w:val="0"/>
                <w:i w:val="0"/>
                <w:color w:val="222222"/>
                <w:sz w:val="20"/>
              </w:rPr>
              <w:t>$31,200</w:t>
            </w:r>
          </w:p>
        </w:tc>
      </w:tr>
      <w:tr>
        <w:tc>
          <w:tcPr>
            <w:tcW w:type="dxa" w:w="2639"/>
            <w:shd w:val="clear" w:color="auto" w:fill="F2F5F9"/>
          </w:tcPr>
          <w:p>
            <w:pPr>
              <w:spacing w:after="40" w:before="40"/>
              <w:jc w:val="left"/>
            </w:pPr>
            <w:r>
              <w:rPr>
                <w:rFonts w:ascii="Arial" w:hAnsi="Arial"/>
                <w:b w:val="0"/>
                <w:i w:val="0"/>
                <w:color w:val="222222"/>
                <w:sz w:val="20"/>
              </w:rPr>
              <w:t>DevOps Engineer</w:t>
            </w:r>
          </w:p>
        </w:tc>
        <w:tc>
          <w:tcPr>
            <w:tcW w:type="dxa" w:w="658"/>
            <w:shd w:val="clear" w:color="auto" w:fill="F2F5F9"/>
          </w:tcPr>
          <w:p>
            <w:pPr>
              <w:spacing w:after="40" w:before="40"/>
              <w:jc w:val="center"/>
            </w:pPr>
            <w:r>
              <w:rPr>
                <w:rFonts w:ascii="Arial" w:hAnsi="Arial"/>
                <w:b w:val="0"/>
                <w:i w:val="0"/>
                <w:color w:val="222222"/>
                <w:sz w:val="20"/>
              </w:rPr>
              <w:t>0.5</w:t>
            </w:r>
          </w:p>
        </w:tc>
        <w:tc>
          <w:tcPr>
            <w:tcW w:type="dxa" w:w="658"/>
            <w:shd w:val="clear" w:color="auto" w:fill="F2F5F9"/>
          </w:tcPr>
          <w:p>
            <w:pPr>
              <w:spacing w:after="40" w:before="40"/>
              <w:jc w:val="center"/>
            </w:pPr>
            <w:r>
              <w:rPr>
                <w:rFonts w:ascii="Arial" w:hAnsi="Arial"/>
                <w:b w:val="0"/>
                <w:i w:val="0"/>
                <w:color w:val="222222"/>
                <w:sz w:val="20"/>
              </w:rPr>
              <w:t>0.5</w:t>
            </w:r>
          </w:p>
        </w:tc>
        <w:tc>
          <w:tcPr>
            <w:tcW w:type="dxa" w:w="1382"/>
            <w:shd w:val="clear" w:color="auto" w:fill="F2F5F9"/>
          </w:tcPr>
          <w:p>
            <w:pPr>
              <w:spacing w:after="40" w:before="40"/>
              <w:jc w:val="center"/>
            </w:pPr>
            <w:r>
              <w:rPr>
                <w:rFonts w:ascii="Arial" w:hAnsi="Arial"/>
                <w:b w:val="0"/>
                <w:i w:val="0"/>
                <w:color w:val="222222"/>
                <w:sz w:val="20"/>
              </w:rPr>
              <w:t>1.0</w:t>
            </w:r>
          </w:p>
        </w:tc>
        <w:tc>
          <w:tcPr>
            <w:tcW w:type="dxa" w:w="2010"/>
            <w:shd w:val="clear" w:color="auto" w:fill="F2F5F9"/>
          </w:tcPr>
          <w:p>
            <w:pPr>
              <w:spacing w:after="40" w:before="40"/>
              <w:jc w:val="center"/>
            </w:pPr>
            <w:r>
              <w:rPr>
                <w:rFonts w:ascii="Arial" w:hAnsi="Arial"/>
                <w:b w:val="0"/>
                <w:i w:val="0"/>
                <w:color w:val="222222"/>
                <w:sz w:val="20"/>
              </w:rPr>
              <w:t>$5,500</w:t>
            </w:r>
          </w:p>
        </w:tc>
        <w:tc>
          <w:tcPr>
            <w:tcW w:type="dxa" w:w="2010"/>
            <w:shd w:val="clear" w:color="auto" w:fill="F2F5F9"/>
          </w:tcPr>
          <w:p>
            <w:pPr>
              <w:spacing w:after="40" w:before="40"/>
              <w:jc w:val="center"/>
            </w:pPr>
            <w:r>
              <w:rPr>
                <w:rFonts w:ascii="Arial" w:hAnsi="Arial"/>
                <w:b w:val="0"/>
                <w:i w:val="0"/>
                <w:color w:val="222222"/>
                <w:sz w:val="20"/>
              </w:rPr>
              <w:t>$5,500</w:t>
            </w:r>
          </w:p>
        </w:tc>
      </w:tr>
      <w:tr>
        <w:tc>
          <w:tcPr>
            <w:tcW w:type="dxa" w:w="2639"/>
          </w:tcPr>
          <w:p>
            <w:pPr>
              <w:spacing w:after="40" w:before="40"/>
              <w:jc w:val="left"/>
            </w:pPr>
            <w:r>
              <w:rPr>
                <w:rFonts w:ascii="Arial" w:hAnsi="Arial"/>
                <w:b w:val="0"/>
                <w:i w:val="0"/>
                <w:color w:val="222222"/>
                <w:sz w:val="20"/>
              </w:rPr>
              <w:t>QC Engineer</w:t>
            </w:r>
          </w:p>
        </w:tc>
        <w:tc>
          <w:tcPr>
            <w:tcW w:type="dxa" w:w="658"/>
          </w:tcPr>
          <w:p>
            <w:pPr>
              <w:spacing w:after="40" w:before="40"/>
              <w:jc w:val="center"/>
            </w:pPr>
            <w:r>
              <w:rPr>
                <w:rFonts w:ascii="Arial" w:hAnsi="Arial"/>
                <w:b w:val="0"/>
                <w:i w:val="0"/>
                <w:color w:val="222222"/>
                <w:sz w:val="20"/>
              </w:rPr>
              <w:t>1</w:t>
            </w:r>
          </w:p>
        </w:tc>
        <w:tc>
          <w:tcPr>
            <w:tcW w:type="dxa" w:w="658"/>
          </w:tcPr>
          <w:p>
            <w:pPr>
              <w:spacing w:after="40" w:before="40"/>
              <w:jc w:val="center"/>
            </w:pPr>
            <w:r>
              <w:rPr>
                <w:rFonts w:ascii="Arial" w:hAnsi="Arial"/>
                <w:b w:val="0"/>
                <w:i w:val="0"/>
                <w:color w:val="222222"/>
                <w:sz w:val="20"/>
              </w:rPr>
              <w:t>1.5</w:t>
            </w:r>
          </w:p>
        </w:tc>
        <w:tc>
          <w:tcPr>
            <w:tcW w:type="dxa" w:w="1382"/>
          </w:tcPr>
          <w:p>
            <w:pPr>
              <w:spacing w:after="40" w:before="40"/>
              <w:jc w:val="center"/>
            </w:pPr>
            <w:r>
              <w:rPr>
                <w:rFonts w:ascii="Arial" w:hAnsi="Arial"/>
                <w:b w:val="0"/>
                <w:i w:val="0"/>
                <w:color w:val="222222"/>
                <w:sz w:val="20"/>
              </w:rPr>
              <w:t>2.5</w:t>
            </w:r>
          </w:p>
        </w:tc>
        <w:tc>
          <w:tcPr>
            <w:tcW w:type="dxa" w:w="2010"/>
          </w:tcPr>
          <w:p>
            <w:pPr>
              <w:spacing w:after="40" w:before="40"/>
              <w:jc w:val="center"/>
            </w:pPr>
            <w:r>
              <w:rPr>
                <w:rFonts w:ascii="Arial" w:hAnsi="Arial"/>
                <w:b w:val="0"/>
                <w:i w:val="0"/>
                <w:color w:val="222222"/>
                <w:sz w:val="20"/>
              </w:rPr>
              <w:t>$4,200</w:t>
            </w:r>
          </w:p>
        </w:tc>
        <w:tc>
          <w:tcPr>
            <w:tcW w:type="dxa" w:w="2010"/>
          </w:tcPr>
          <w:p>
            <w:pPr>
              <w:spacing w:after="40" w:before="40"/>
              <w:jc w:val="center"/>
            </w:pPr>
            <w:r>
              <w:rPr>
                <w:rFonts w:ascii="Arial" w:hAnsi="Arial"/>
                <w:b w:val="0"/>
                <w:i w:val="0"/>
                <w:color w:val="222222"/>
                <w:sz w:val="20"/>
              </w:rPr>
              <w:t>$10,500</w:t>
            </w:r>
          </w:p>
        </w:tc>
      </w:tr>
      <w:tr>
        <w:tc>
          <w:tcPr>
            <w:tcW w:type="dxa" w:w="2639"/>
            <w:shd w:val="clear" w:color="auto" w:fill="F2F5F9"/>
          </w:tcPr>
          <w:p>
            <w:pPr>
              <w:spacing w:after="40" w:before="40"/>
              <w:jc w:val="left"/>
            </w:pPr>
            <w:r>
              <w:rPr>
                <w:rFonts w:ascii="Arial" w:hAnsi="Arial"/>
                <w:b w:val="0"/>
                <w:i w:val="0"/>
                <w:color w:val="222222"/>
                <w:sz w:val="20"/>
              </w:rPr>
              <w:t>TOTAL</w:t>
            </w:r>
          </w:p>
        </w:tc>
        <w:tc>
          <w:tcPr>
            <w:tcW w:type="dxa" w:w="658"/>
            <w:shd w:val="clear" w:color="auto" w:fill="F2F5F9"/>
          </w:tcPr>
          <w:p>
            <w:pPr>
              <w:spacing w:after="40" w:before="40"/>
              <w:jc w:val="center"/>
            </w:pPr>
            <w:r>
              <w:rPr>
                <w:rFonts w:ascii="Arial" w:hAnsi="Arial"/>
                <w:b w:val="0"/>
                <w:i w:val="0"/>
                <w:color w:val="222222"/>
                <w:sz w:val="20"/>
              </w:rPr>
              <w:t>5.5</w:t>
            </w:r>
          </w:p>
        </w:tc>
        <w:tc>
          <w:tcPr>
            <w:tcW w:type="dxa" w:w="658"/>
            <w:shd w:val="clear" w:color="auto" w:fill="F2F5F9"/>
          </w:tcPr>
          <w:p>
            <w:pPr>
              <w:spacing w:after="40" w:before="40"/>
              <w:jc w:val="center"/>
            </w:pPr>
            <w:r>
              <w:rPr>
                <w:rFonts w:ascii="Arial" w:hAnsi="Arial"/>
                <w:b w:val="0"/>
                <w:i w:val="0"/>
                <w:color w:val="222222"/>
                <w:sz w:val="20"/>
              </w:rPr>
              <w:t>6.0</w:t>
            </w:r>
          </w:p>
        </w:tc>
        <w:tc>
          <w:tcPr>
            <w:tcW w:type="dxa" w:w="1382"/>
            <w:shd w:val="clear" w:color="auto" w:fill="F2F5F9"/>
          </w:tcPr>
          <w:p>
            <w:pPr>
              <w:spacing w:after="40" w:before="40"/>
              <w:jc w:val="center"/>
            </w:pPr>
            <w:r>
              <w:rPr>
                <w:rFonts w:ascii="Arial" w:hAnsi="Arial"/>
                <w:b w:val="0"/>
                <w:i w:val="0"/>
                <w:color w:val="222222"/>
                <w:sz w:val="20"/>
              </w:rPr>
              <w:t>11.5</w:t>
            </w:r>
          </w:p>
        </w:tc>
        <w:tc>
          <w:tcPr>
            <w:tcW w:type="dxa" w:w="2010"/>
            <w:shd w:val="clear" w:color="auto" w:fill="F2F5F9"/>
          </w:tcPr>
          <w:p>
            <w:pPr>
              <w:spacing w:after="40" w:before="40"/>
              <w:jc w:val="center"/>
            </w:pPr>
          </w:p>
        </w:tc>
        <w:tc>
          <w:tcPr>
            <w:tcW w:type="dxa" w:w="2010"/>
            <w:shd w:val="clear" w:color="auto" w:fill="F2F5F9"/>
          </w:tcPr>
          <w:p>
            <w:pPr>
              <w:spacing w:after="40" w:before="40"/>
              <w:jc w:val="center"/>
            </w:pPr>
            <w:r>
              <w:rPr>
                <w:rFonts w:ascii="Arial" w:hAnsi="Arial"/>
                <w:b w:val="0"/>
                <w:i w:val="0"/>
                <w:color w:val="222222"/>
                <w:sz w:val="20"/>
              </w:rPr>
              <w:t>$56,700</w:t>
            </w:r>
          </w:p>
        </w:tc>
      </w:tr>
    </w:tbl>
    <w:p>
      <w:pPr>
        <w:pStyle w:val="Heading2"/>
      </w:pPr>
      <w:r>
        <w:t>6.4 Payment Milestones</w:t>
      </w:r>
    </w:p>
    <w:p>
      <w:pPr>
        <w:spacing w:after="120"/>
      </w:pPr>
      <w:r>
        <w:rPr>
          <w:rFonts w:ascii="Arial" w:hAnsi="Arial"/>
          <w:b/>
          <w:i w:val="0"/>
          <w:color w:val="222222"/>
          <w:sz w:val="22"/>
        </w:rPr>
        <w:t>6.4.1 Tranche 1 (MVP)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2340"/>
        <w:gridCol w:w="2340"/>
        <w:gridCol w:w="2340"/>
        <w:gridCol w:w="2340"/>
      </w:tblGrid>
      <w:tr>
        <w:tc>
          <w:tcPr>
            <w:tcW w:type="dxa" w:w="2176"/>
            <w:shd w:val="clear" w:color="auto" w:fill="1A2B4A"/>
          </w:tcPr>
          <w:p>
            <w:pPr>
              <w:spacing w:after="40" w:before="40"/>
              <w:jc w:val="left"/>
            </w:pPr>
            <w:r>
              <w:rPr>
                <w:rFonts w:ascii="Arial" w:hAnsi="Arial"/>
                <w:b/>
                <w:i w:val="0"/>
                <w:color w:val="FFFFFF"/>
                <w:sz w:val="20"/>
              </w:rPr>
              <w:t>Milestone</w:t>
            </w:r>
          </w:p>
        </w:tc>
        <w:tc>
          <w:tcPr>
            <w:tcW w:type="dxa" w:w="5442"/>
            <w:shd w:val="clear" w:color="auto" w:fill="1A2B4A"/>
          </w:tcPr>
          <w:p>
            <w:pPr>
              <w:spacing w:after="40" w:before="40"/>
              <w:jc w:val="left"/>
            </w:pPr>
            <w:r>
              <w:rPr>
                <w:rFonts w:ascii="Arial" w:hAnsi="Arial"/>
                <w:b/>
                <w:i w:val="0"/>
                <w:color w:val="FFFFFF"/>
                <w:sz w:val="20"/>
              </w:rPr>
              <w:t>Deliverables</w:t>
            </w:r>
          </w:p>
        </w:tc>
        <w:tc>
          <w:tcPr>
            <w:tcW w:type="dxa" w:w="725"/>
            <w:shd w:val="clear" w:color="auto" w:fill="1A2B4A"/>
          </w:tcPr>
          <w:p>
            <w:pPr>
              <w:spacing w:after="40" w:before="40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20"/>
              </w:rPr>
              <w:t>Percentage</w:t>
            </w:r>
          </w:p>
        </w:tc>
        <w:tc>
          <w:tcPr>
            <w:tcW w:type="dxa" w:w="1015"/>
            <w:shd w:val="clear" w:color="auto" w:fill="1A2B4A"/>
          </w:tcPr>
          <w:p>
            <w:pPr>
              <w:spacing w:after="40" w:before="40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20"/>
              </w:rPr>
              <w:t>Timeline</w:t>
            </w:r>
          </w:p>
        </w:tc>
      </w:tr>
      <w:tr>
        <w:tc>
          <w:tcPr>
            <w:tcW w:type="dxa" w:w="2176"/>
          </w:tcPr>
          <w:p>
            <w:pPr>
              <w:spacing w:after="40" w:before="40"/>
              <w:jc w:val="left"/>
            </w:pPr>
            <w:r>
              <w:rPr>
                <w:rFonts w:ascii="Arial" w:hAnsi="Arial"/>
                <w:b w:val="0"/>
                <w:i w:val="0"/>
                <w:color w:val="222222"/>
                <w:sz w:val="20"/>
              </w:rPr>
              <w:t>M1: Contract &amp; Phase 0</w:t>
            </w:r>
          </w:p>
        </w:tc>
        <w:tc>
          <w:tcPr>
            <w:tcW w:type="dxa" w:w="5442"/>
          </w:tcPr>
          <w:p>
            <w:pPr>
              <w:spacing w:after="40" w:before="40"/>
              <w:jc w:val="left"/>
            </w:pPr>
            <w:r>
              <w:rPr>
                <w:rFonts w:ascii="Arial" w:hAnsi="Arial"/>
                <w:b w:val="0"/>
                <w:i w:val="0"/>
                <w:color w:val="222222"/>
                <w:sz w:val="20"/>
              </w:rPr>
              <w:t>Signed SOW, fixed price issued, environment provisioned, foundation started</w:t>
            </w:r>
          </w:p>
        </w:tc>
        <w:tc>
          <w:tcPr>
            <w:tcW w:type="dxa" w:w="725"/>
          </w:tcPr>
          <w:p>
            <w:pPr>
              <w:spacing w:after="40" w:before="40"/>
              <w:jc w:val="center"/>
            </w:pPr>
            <w:r>
              <w:rPr>
                <w:rFonts w:ascii="Arial" w:hAnsi="Arial"/>
                <w:b w:val="0"/>
                <w:i w:val="0"/>
                <w:color w:val="222222"/>
                <w:sz w:val="20"/>
              </w:rPr>
              <w:t>40%</w:t>
            </w:r>
          </w:p>
        </w:tc>
        <w:tc>
          <w:tcPr>
            <w:tcW w:type="dxa" w:w="1015"/>
          </w:tcPr>
          <w:p>
            <w:pPr>
              <w:spacing w:after="40" w:before="40"/>
              <w:jc w:val="center"/>
            </w:pPr>
            <w:r>
              <w:rPr>
                <w:rFonts w:ascii="Arial" w:hAnsi="Arial"/>
                <w:b w:val="0"/>
                <w:i w:val="0"/>
                <w:color w:val="222222"/>
                <w:sz w:val="20"/>
              </w:rPr>
              <w:t>Upon execution</w:t>
            </w:r>
          </w:p>
        </w:tc>
      </w:tr>
      <w:tr>
        <w:tc>
          <w:tcPr>
            <w:tcW w:type="dxa" w:w="2176"/>
            <w:shd w:val="clear" w:color="auto" w:fill="F2F5F9"/>
          </w:tcPr>
          <w:p>
            <w:pPr>
              <w:spacing w:after="40" w:before="40"/>
              <w:jc w:val="left"/>
            </w:pPr>
            <w:r>
              <w:rPr>
                <w:rFonts w:ascii="Arial" w:hAnsi="Arial"/>
                <w:b w:val="0"/>
                <w:i w:val="0"/>
                <w:color w:val="222222"/>
                <w:sz w:val="20"/>
              </w:rPr>
              <w:t>M2: Core Booking Demo</w:t>
            </w:r>
          </w:p>
        </w:tc>
        <w:tc>
          <w:tcPr>
            <w:tcW w:type="dxa" w:w="5442"/>
            <w:shd w:val="clear" w:color="auto" w:fill="F2F5F9"/>
          </w:tcPr>
          <w:p>
            <w:pPr>
              <w:spacing w:after="40" w:before="40"/>
              <w:jc w:val="left"/>
            </w:pPr>
            <w:r>
              <w:rPr>
                <w:rFonts w:ascii="Arial" w:hAnsi="Arial"/>
                <w:b w:val="0"/>
                <w:i w:val="0"/>
                <w:color w:val="222222"/>
                <w:sz w:val="20"/>
              </w:rPr>
              <w:t>Auth + RBAC, portals, adverts, and core booking loop working</w:t>
            </w:r>
          </w:p>
        </w:tc>
        <w:tc>
          <w:tcPr>
            <w:tcW w:type="dxa" w:w="725"/>
            <w:shd w:val="clear" w:color="auto" w:fill="F2F5F9"/>
          </w:tcPr>
          <w:p>
            <w:pPr>
              <w:spacing w:after="40" w:before="40"/>
              <w:jc w:val="center"/>
            </w:pPr>
            <w:r>
              <w:rPr>
                <w:rFonts w:ascii="Arial" w:hAnsi="Arial"/>
                <w:b w:val="0"/>
                <w:i w:val="0"/>
                <w:color w:val="222222"/>
                <w:sz w:val="20"/>
              </w:rPr>
              <w:t>25%</w:t>
            </w:r>
          </w:p>
        </w:tc>
        <w:tc>
          <w:tcPr>
            <w:tcW w:type="dxa" w:w="1015"/>
            <w:shd w:val="clear" w:color="auto" w:fill="F2F5F9"/>
          </w:tcPr>
          <w:p>
            <w:pPr>
              <w:spacing w:after="40" w:before="40"/>
              <w:jc w:val="center"/>
            </w:pPr>
            <w:r>
              <w:rPr>
                <w:rFonts w:ascii="Arial" w:hAnsi="Arial"/>
                <w:b w:val="0"/>
                <w:i w:val="0"/>
                <w:color w:val="222222"/>
                <w:sz w:val="20"/>
              </w:rPr>
              <w:t>Week 8</w:t>
            </w:r>
          </w:p>
        </w:tc>
      </w:tr>
      <w:tr>
        <w:tc>
          <w:tcPr>
            <w:tcW w:type="dxa" w:w="2176"/>
          </w:tcPr>
          <w:p>
            <w:pPr>
              <w:spacing w:after="40" w:before="40"/>
              <w:jc w:val="left"/>
            </w:pPr>
            <w:r>
              <w:rPr>
                <w:rFonts w:ascii="Arial" w:hAnsi="Arial"/>
                <w:b w:val="0"/>
                <w:i w:val="0"/>
                <w:color w:val="222222"/>
                <w:sz w:val="20"/>
              </w:rPr>
              <w:t>M3: UAT (Compliance &amp; Billing)</w:t>
            </w:r>
          </w:p>
        </w:tc>
        <w:tc>
          <w:tcPr>
            <w:tcW w:type="dxa" w:w="5442"/>
          </w:tcPr>
          <w:p>
            <w:pPr>
              <w:spacing w:after="40" w:before="40"/>
              <w:jc w:val="left"/>
            </w:pPr>
            <w:r>
              <w:rPr>
                <w:rFonts w:ascii="Arial" w:hAnsi="Arial"/>
                <w:b w:val="0"/>
                <w:i w:val="0"/>
                <w:color w:val="222222"/>
                <w:sz w:val="20"/>
              </w:rPr>
              <w:t>Compliance, timesheets, billing and notifications complete; Tidal UAT</w:t>
            </w:r>
          </w:p>
        </w:tc>
        <w:tc>
          <w:tcPr>
            <w:tcW w:type="dxa" w:w="725"/>
          </w:tcPr>
          <w:p>
            <w:pPr>
              <w:spacing w:after="40" w:before="40"/>
              <w:jc w:val="center"/>
            </w:pPr>
            <w:r>
              <w:rPr>
                <w:rFonts w:ascii="Arial" w:hAnsi="Arial"/>
                <w:b w:val="0"/>
                <w:i w:val="0"/>
                <w:color w:val="222222"/>
                <w:sz w:val="20"/>
              </w:rPr>
              <w:t>25%</w:t>
            </w:r>
          </w:p>
        </w:tc>
        <w:tc>
          <w:tcPr>
            <w:tcW w:type="dxa" w:w="1015"/>
          </w:tcPr>
          <w:p>
            <w:pPr>
              <w:spacing w:after="40" w:before="40"/>
              <w:jc w:val="center"/>
            </w:pPr>
            <w:r>
              <w:rPr>
                <w:rFonts w:ascii="Arial" w:hAnsi="Arial"/>
                <w:b w:val="0"/>
                <w:i w:val="0"/>
                <w:color w:val="222222"/>
                <w:sz w:val="20"/>
              </w:rPr>
              <w:t>Week 14</w:t>
            </w:r>
          </w:p>
        </w:tc>
      </w:tr>
      <w:tr>
        <w:tc>
          <w:tcPr>
            <w:tcW w:type="dxa" w:w="2176"/>
            <w:shd w:val="clear" w:color="auto" w:fill="F2F5F9"/>
          </w:tcPr>
          <w:p>
            <w:pPr>
              <w:spacing w:after="40" w:before="40"/>
              <w:jc w:val="left"/>
            </w:pPr>
            <w:r>
              <w:rPr>
                <w:rFonts w:ascii="Arial" w:hAnsi="Arial"/>
                <w:b w:val="0"/>
                <w:i w:val="0"/>
                <w:color w:val="222222"/>
                <w:sz w:val="20"/>
              </w:rPr>
              <w:t>M4: Go-Live</w:t>
            </w:r>
          </w:p>
        </w:tc>
        <w:tc>
          <w:tcPr>
            <w:tcW w:type="dxa" w:w="5442"/>
            <w:shd w:val="clear" w:color="auto" w:fill="F2F5F9"/>
          </w:tcPr>
          <w:p>
            <w:pPr>
              <w:spacing w:after="40" w:before="40"/>
              <w:jc w:val="left"/>
            </w:pPr>
            <w:r>
              <w:rPr>
                <w:rFonts w:ascii="Arial" w:hAnsi="Arial"/>
                <w:b w:val="0"/>
                <w:i w:val="0"/>
                <w:color w:val="222222"/>
                <w:sz w:val="20"/>
              </w:rPr>
              <w:t>Tidal production launch, Yedi enabled, documentation + source transfer</w:t>
            </w:r>
          </w:p>
        </w:tc>
        <w:tc>
          <w:tcPr>
            <w:tcW w:type="dxa" w:w="725"/>
            <w:shd w:val="clear" w:color="auto" w:fill="F2F5F9"/>
          </w:tcPr>
          <w:p>
            <w:pPr>
              <w:spacing w:after="40" w:before="40"/>
              <w:jc w:val="center"/>
            </w:pPr>
            <w:r>
              <w:rPr>
                <w:rFonts w:ascii="Arial" w:hAnsi="Arial"/>
                <w:b w:val="0"/>
                <w:i w:val="0"/>
                <w:color w:val="222222"/>
                <w:sz w:val="20"/>
              </w:rPr>
              <w:t>10%</w:t>
            </w:r>
          </w:p>
        </w:tc>
        <w:tc>
          <w:tcPr>
            <w:tcW w:type="dxa" w:w="1015"/>
            <w:shd w:val="clear" w:color="auto" w:fill="F2F5F9"/>
          </w:tcPr>
          <w:p>
            <w:pPr>
              <w:spacing w:after="40" w:before="40"/>
              <w:jc w:val="center"/>
            </w:pPr>
            <w:r>
              <w:rPr>
                <w:rFonts w:ascii="Arial" w:hAnsi="Arial"/>
                <w:b w:val="0"/>
                <w:i w:val="0"/>
                <w:color w:val="222222"/>
                <w:sz w:val="20"/>
              </w:rPr>
              <w:t>Week 16</w:t>
            </w:r>
          </w:p>
        </w:tc>
      </w:tr>
    </w:tbl>
    <w:p>
      <w:pPr>
        <w:spacing w:after="120"/>
      </w:pPr>
      <w:r>
        <w:rPr>
          <w:rFonts w:ascii="Arial" w:hAnsi="Arial"/>
          <w:b/>
          <w:i w:val="0"/>
          <w:color w:val="222222"/>
          <w:sz w:val="22"/>
        </w:rPr>
        <w:t>6.4.2 Tranche 2 (Enhancement)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2340"/>
        <w:gridCol w:w="2340"/>
        <w:gridCol w:w="2340"/>
        <w:gridCol w:w="2340"/>
      </w:tblGrid>
      <w:tr>
        <w:tc>
          <w:tcPr>
            <w:tcW w:type="dxa" w:w="1745"/>
            <w:shd w:val="clear" w:color="auto" w:fill="1A2B4A"/>
          </w:tcPr>
          <w:p>
            <w:pPr>
              <w:spacing w:after="40" w:before="40"/>
              <w:jc w:val="left"/>
            </w:pPr>
            <w:r>
              <w:rPr>
                <w:rFonts w:ascii="Arial" w:hAnsi="Arial"/>
                <w:b/>
                <w:i w:val="0"/>
                <w:color w:val="FFFFFF"/>
                <w:sz w:val="20"/>
              </w:rPr>
              <w:t>Milestone</w:t>
            </w:r>
          </w:p>
        </w:tc>
        <w:tc>
          <w:tcPr>
            <w:tcW w:type="dxa" w:w="5711"/>
            <w:shd w:val="clear" w:color="auto" w:fill="1A2B4A"/>
          </w:tcPr>
          <w:p>
            <w:pPr>
              <w:spacing w:after="40" w:before="40"/>
              <w:jc w:val="left"/>
            </w:pPr>
            <w:r>
              <w:rPr>
                <w:rFonts w:ascii="Arial" w:hAnsi="Arial"/>
                <w:b/>
                <w:i w:val="0"/>
                <w:color w:val="FFFFFF"/>
                <w:sz w:val="20"/>
              </w:rPr>
              <w:t>Deliverables</w:t>
            </w:r>
          </w:p>
        </w:tc>
        <w:tc>
          <w:tcPr>
            <w:tcW w:type="dxa" w:w="793"/>
            <w:shd w:val="clear" w:color="auto" w:fill="1A2B4A"/>
          </w:tcPr>
          <w:p>
            <w:pPr>
              <w:spacing w:after="40" w:before="40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20"/>
              </w:rPr>
              <w:t>Percentage</w:t>
            </w:r>
          </w:p>
        </w:tc>
        <w:tc>
          <w:tcPr>
            <w:tcW w:type="dxa" w:w="1110"/>
            <w:shd w:val="clear" w:color="auto" w:fill="1A2B4A"/>
          </w:tcPr>
          <w:p>
            <w:pPr>
              <w:spacing w:after="40" w:before="40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20"/>
              </w:rPr>
              <w:t>Timeline</w:t>
            </w:r>
          </w:p>
        </w:tc>
      </w:tr>
      <w:tr>
        <w:tc>
          <w:tcPr>
            <w:tcW w:type="dxa" w:w="1745"/>
          </w:tcPr>
          <w:p>
            <w:pPr>
              <w:spacing w:after="40" w:before="40"/>
              <w:jc w:val="left"/>
            </w:pPr>
            <w:r>
              <w:rPr>
                <w:rFonts w:ascii="Arial" w:hAnsi="Arial"/>
                <w:b w:val="0"/>
                <w:i w:val="0"/>
                <w:color w:val="222222"/>
                <w:sz w:val="20"/>
              </w:rPr>
              <w:t>M1: Kickoff</w:t>
            </w:r>
          </w:p>
        </w:tc>
        <w:tc>
          <w:tcPr>
            <w:tcW w:type="dxa" w:w="5711"/>
          </w:tcPr>
          <w:p>
            <w:pPr>
              <w:spacing w:after="40" w:before="40"/>
              <w:jc w:val="left"/>
            </w:pPr>
            <w:r>
              <w:rPr>
                <w:rFonts w:ascii="Arial" w:hAnsi="Arial"/>
                <w:b w:val="0"/>
                <w:i w:val="0"/>
                <w:color w:val="222222"/>
                <w:sz w:val="20"/>
              </w:rPr>
              <w:t>Scope confirmation, sprint planning</w:t>
            </w:r>
          </w:p>
        </w:tc>
        <w:tc>
          <w:tcPr>
            <w:tcW w:type="dxa" w:w="793"/>
          </w:tcPr>
          <w:p>
            <w:pPr>
              <w:spacing w:after="40" w:before="40"/>
              <w:jc w:val="center"/>
            </w:pPr>
            <w:r>
              <w:rPr>
                <w:rFonts w:ascii="Arial" w:hAnsi="Arial"/>
                <w:b w:val="0"/>
                <w:i w:val="0"/>
                <w:color w:val="222222"/>
                <w:sz w:val="20"/>
              </w:rPr>
              <w:t>50%</w:t>
            </w:r>
          </w:p>
        </w:tc>
        <w:tc>
          <w:tcPr>
            <w:tcW w:type="dxa" w:w="1110"/>
          </w:tcPr>
          <w:p>
            <w:pPr>
              <w:spacing w:after="40" w:before="40"/>
              <w:jc w:val="center"/>
            </w:pPr>
            <w:r>
              <w:rPr>
                <w:rFonts w:ascii="Arial" w:hAnsi="Arial"/>
                <w:b w:val="0"/>
                <w:i w:val="0"/>
                <w:color w:val="222222"/>
                <w:sz w:val="20"/>
              </w:rPr>
              <w:t>Upon execution</w:t>
            </w:r>
          </w:p>
        </w:tc>
      </w:tr>
      <w:tr>
        <w:tc>
          <w:tcPr>
            <w:tcW w:type="dxa" w:w="1745"/>
            <w:shd w:val="clear" w:color="auto" w:fill="F2F5F9"/>
          </w:tcPr>
          <w:p>
            <w:pPr>
              <w:spacing w:after="40" w:before="40"/>
              <w:jc w:val="left"/>
            </w:pPr>
            <w:r>
              <w:rPr>
                <w:rFonts w:ascii="Arial" w:hAnsi="Arial"/>
                <w:b w:val="0"/>
                <w:i w:val="0"/>
                <w:color w:val="222222"/>
                <w:sz w:val="20"/>
              </w:rPr>
              <w:t>M2: Automation Demo</w:t>
            </w:r>
          </w:p>
        </w:tc>
        <w:tc>
          <w:tcPr>
            <w:tcW w:type="dxa" w:w="5711"/>
            <w:shd w:val="clear" w:color="auto" w:fill="F2F5F9"/>
          </w:tcPr>
          <w:p>
            <w:pPr>
              <w:spacing w:after="40" w:before="40"/>
              <w:jc w:val="left"/>
            </w:pPr>
            <w:r>
              <w:rPr>
                <w:rFonts w:ascii="Arial" w:hAnsi="Arial"/>
                <w:b w:val="0"/>
                <w:i w:val="0"/>
                <w:color w:val="222222"/>
                <w:sz w:val="20"/>
              </w:rPr>
              <w:t>Payments, ID verification, e-sign, notification centre</w:t>
            </w:r>
          </w:p>
        </w:tc>
        <w:tc>
          <w:tcPr>
            <w:tcW w:type="dxa" w:w="793"/>
            <w:shd w:val="clear" w:color="auto" w:fill="F2F5F9"/>
          </w:tcPr>
          <w:p>
            <w:pPr>
              <w:spacing w:after="40" w:before="40"/>
              <w:jc w:val="center"/>
            </w:pPr>
            <w:r>
              <w:rPr>
                <w:rFonts w:ascii="Arial" w:hAnsi="Arial"/>
                <w:b w:val="0"/>
                <w:i w:val="0"/>
                <w:color w:val="222222"/>
                <w:sz w:val="20"/>
              </w:rPr>
              <w:t>25%</w:t>
            </w:r>
          </w:p>
        </w:tc>
        <w:tc>
          <w:tcPr>
            <w:tcW w:type="dxa" w:w="1110"/>
            <w:shd w:val="clear" w:color="auto" w:fill="F2F5F9"/>
          </w:tcPr>
          <w:p>
            <w:pPr>
              <w:spacing w:after="40" w:before="40"/>
              <w:jc w:val="center"/>
            </w:pPr>
            <w:r>
              <w:rPr>
                <w:rFonts w:ascii="Arial" w:hAnsi="Arial"/>
                <w:b w:val="0"/>
                <w:i w:val="0"/>
                <w:color w:val="222222"/>
                <w:sz w:val="20"/>
              </w:rPr>
              <w:t>Week 4</w:t>
            </w:r>
          </w:p>
        </w:tc>
      </w:tr>
      <w:tr>
        <w:tc>
          <w:tcPr>
            <w:tcW w:type="dxa" w:w="1745"/>
          </w:tcPr>
          <w:p>
            <w:pPr>
              <w:spacing w:after="40" w:before="40"/>
              <w:jc w:val="left"/>
            </w:pPr>
            <w:r>
              <w:rPr>
                <w:rFonts w:ascii="Arial" w:hAnsi="Arial"/>
                <w:b w:val="0"/>
                <w:i w:val="0"/>
                <w:color w:val="222222"/>
                <w:sz w:val="20"/>
              </w:rPr>
              <w:t>M3: Full Feature &amp; UAT</w:t>
            </w:r>
          </w:p>
        </w:tc>
        <w:tc>
          <w:tcPr>
            <w:tcW w:type="dxa" w:w="5711"/>
          </w:tcPr>
          <w:p>
            <w:pPr>
              <w:spacing w:after="40" w:before="40"/>
              <w:jc w:val="left"/>
            </w:pPr>
            <w:r>
              <w:rPr>
                <w:rFonts w:ascii="Arial" w:hAnsi="Arial"/>
                <w:b w:val="0"/>
                <w:i w:val="0"/>
                <w:color w:val="222222"/>
                <w:sz w:val="20"/>
              </w:rPr>
              <w:t>Ratings, referral, training, reporting, full Yedi, Tidal OS</w:t>
            </w:r>
          </w:p>
        </w:tc>
        <w:tc>
          <w:tcPr>
            <w:tcW w:type="dxa" w:w="793"/>
          </w:tcPr>
          <w:p>
            <w:pPr>
              <w:spacing w:after="40" w:before="40"/>
              <w:jc w:val="center"/>
            </w:pPr>
            <w:r>
              <w:rPr>
                <w:rFonts w:ascii="Arial" w:hAnsi="Arial"/>
                <w:b w:val="0"/>
                <w:i w:val="0"/>
                <w:color w:val="222222"/>
                <w:sz w:val="20"/>
              </w:rPr>
              <w:t>15%</w:t>
            </w:r>
          </w:p>
        </w:tc>
        <w:tc>
          <w:tcPr>
            <w:tcW w:type="dxa" w:w="1110"/>
          </w:tcPr>
          <w:p>
            <w:pPr>
              <w:spacing w:after="40" w:before="40"/>
              <w:jc w:val="center"/>
            </w:pPr>
            <w:r>
              <w:rPr>
                <w:rFonts w:ascii="Arial" w:hAnsi="Arial"/>
                <w:b w:val="0"/>
                <w:i w:val="0"/>
                <w:color w:val="222222"/>
                <w:sz w:val="20"/>
              </w:rPr>
              <w:t>Week 7</w:t>
            </w:r>
          </w:p>
        </w:tc>
      </w:tr>
      <w:tr>
        <w:tc>
          <w:tcPr>
            <w:tcW w:type="dxa" w:w="1745"/>
            <w:shd w:val="clear" w:color="auto" w:fill="F2F5F9"/>
          </w:tcPr>
          <w:p>
            <w:pPr>
              <w:spacing w:after="40" w:before="40"/>
              <w:jc w:val="left"/>
            </w:pPr>
            <w:r>
              <w:rPr>
                <w:rFonts w:ascii="Arial" w:hAnsi="Arial"/>
                <w:b w:val="0"/>
                <w:i w:val="0"/>
                <w:color w:val="222222"/>
                <w:sz w:val="20"/>
              </w:rPr>
              <w:t>M4: Launch</w:t>
            </w:r>
          </w:p>
        </w:tc>
        <w:tc>
          <w:tcPr>
            <w:tcW w:type="dxa" w:w="5711"/>
            <w:shd w:val="clear" w:color="auto" w:fill="F2F5F9"/>
          </w:tcPr>
          <w:p>
            <w:pPr>
              <w:spacing w:after="40" w:before="40"/>
              <w:jc w:val="left"/>
            </w:pPr>
            <w:r>
              <w:rPr>
                <w:rFonts w:ascii="Arial" w:hAnsi="Arial"/>
                <w:b w:val="0"/>
                <w:i w:val="0"/>
                <w:color w:val="222222"/>
                <w:sz w:val="20"/>
              </w:rPr>
              <w:t>Production deployment, docs, source transfer, 2-week post-launch support</w:t>
            </w:r>
          </w:p>
        </w:tc>
        <w:tc>
          <w:tcPr>
            <w:tcW w:type="dxa" w:w="793"/>
            <w:shd w:val="clear" w:color="auto" w:fill="F2F5F9"/>
          </w:tcPr>
          <w:p>
            <w:pPr>
              <w:spacing w:after="40" w:before="40"/>
              <w:jc w:val="center"/>
            </w:pPr>
            <w:r>
              <w:rPr>
                <w:rFonts w:ascii="Arial" w:hAnsi="Arial"/>
                <w:b w:val="0"/>
                <w:i w:val="0"/>
                <w:color w:val="222222"/>
                <w:sz w:val="20"/>
              </w:rPr>
              <w:t>10%</w:t>
            </w:r>
          </w:p>
        </w:tc>
        <w:tc>
          <w:tcPr>
            <w:tcW w:type="dxa" w:w="1110"/>
            <w:shd w:val="clear" w:color="auto" w:fill="F2F5F9"/>
          </w:tcPr>
          <w:p>
            <w:pPr>
              <w:spacing w:after="40" w:before="40"/>
              <w:jc w:val="center"/>
            </w:pPr>
            <w:r>
              <w:rPr>
                <w:rFonts w:ascii="Arial" w:hAnsi="Arial"/>
                <w:b w:val="0"/>
                <w:i w:val="0"/>
                <w:color w:val="222222"/>
                <w:sz w:val="20"/>
              </w:rPr>
              <w:t>Week 8</w:t>
            </w:r>
          </w:p>
        </w:tc>
      </w:tr>
    </w:tbl>
    <w:p>
      <w:pPr>
        <w:pStyle w:val="Heading1"/>
      </w:pPr>
      <w:r>
        <w:t>7. Future Enhancements Roadmap</w:t>
      </w:r>
    </w:p>
    <w:p>
      <w:pPr>
        <w:spacing w:after="120"/>
      </w:pPr>
      <w:r>
        <w:rPr>
          <w:rFonts w:ascii="Arial" w:hAnsi="Arial"/>
          <w:b w:val="0"/>
          <w:i w:val="0"/>
          <w:color w:val="222222"/>
          <w:sz w:val="22"/>
        </w:rPr>
        <w:t>The following are planned for future phases, subject to Tranche 1–2 feedback and client priorities.</w:t>
      </w:r>
    </w:p>
    <w:p>
      <w:pPr>
        <w:numPr>
          <w:ilvl w:val="0"/>
          <w:numId w:val="5"/>
        </w:numPr>
        <w:spacing w:after="60"/>
        <w:ind w:left="720" w:hanging="360"/>
      </w:pPr>
      <w:r>
        <w:rPr>
          <w:rFonts w:ascii="Arial" w:hAnsi="Arial"/>
          <w:b w:val="0"/>
          <w:i w:val="0"/>
          <w:color w:val="222222"/>
          <w:sz w:val="22"/>
        </w:rPr>
        <w:t>Native mobile apps (candidate / brand) — separate track.</w:t>
      </w:r>
    </w:p>
    <w:p>
      <w:pPr>
        <w:numPr>
          <w:ilvl w:val="0"/>
          <w:numId w:val="5"/>
        </w:numPr>
        <w:spacing w:after="60"/>
        <w:ind w:left="720" w:hanging="360"/>
      </w:pPr>
      <w:r>
        <w:rPr>
          <w:rFonts w:ascii="Arial" w:hAnsi="Arial"/>
          <w:b w:val="0"/>
          <w:i w:val="0"/>
          <w:color w:val="222222"/>
          <w:sz w:val="22"/>
        </w:rPr>
        <w:t>Advanced matching (AI/ML ranking on reliability, distance and ratings).</w:t>
      </w:r>
    </w:p>
    <w:p>
      <w:pPr>
        <w:numPr>
          <w:ilvl w:val="0"/>
          <w:numId w:val="5"/>
        </w:numPr>
        <w:spacing w:after="60"/>
        <w:ind w:left="720" w:hanging="360"/>
      </w:pPr>
      <w:r>
        <w:rPr>
          <w:rFonts w:ascii="Arial" w:hAnsi="Arial"/>
          <w:b w:val="0"/>
          <w:i w:val="0"/>
          <w:color w:val="222222"/>
          <w:sz w:val="22"/>
        </w:rPr>
        <w:t>Analytics / BI depth — expansion of the "Tidal OS" coverage / fill / spend / ratings dashboards.</w:t>
      </w:r>
    </w:p>
    <w:p>
      <w:pPr>
        <w:numPr>
          <w:ilvl w:val="0"/>
          <w:numId w:val="5"/>
        </w:numPr>
        <w:spacing w:after="60"/>
        <w:ind w:left="720" w:hanging="360"/>
      </w:pPr>
      <w:r>
        <w:rPr>
          <w:rFonts w:ascii="Arial" w:hAnsi="Arial"/>
          <w:b w:val="0"/>
          <w:i w:val="0"/>
          <w:color w:val="222222"/>
          <w:sz w:val="22"/>
        </w:rPr>
        <w:t>Integrations marketplace (accounting, HR, background-check providers).</w:t>
      </w:r>
    </w:p>
    <w:p>
      <w:pPr>
        <w:numPr>
          <w:ilvl w:val="0"/>
          <w:numId w:val="5"/>
        </w:numPr>
        <w:spacing w:after="60"/>
        <w:ind w:left="720" w:hanging="360"/>
      </w:pPr>
      <w:r>
        <w:rPr>
          <w:rFonts w:ascii="Arial" w:hAnsi="Arial"/>
          <w:b w:val="0"/>
          <w:i w:val="0"/>
          <w:color w:val="222222"/>
          <w:sz w:val="22"/>
        </w:rPr>
        <w:t>Data migration tooling for historical records.</w:t>
      </w:r>
    </w:p>
    <w:p>
      <w:pPr>
        <w:numPr>
          <w:ilvl w:val="0"/>
          <w:numId w:val="5"/>
        </w:numPr>
        <w:spacing w:after="60"/>
        <w:ind w:left="720" w:hanging="360"/>
      </w:pPr>
      <w:r>
        <w:rPr>
          <w:rFonts w:ascii="Arial" w:hAnsi="Arial"/>
          <w:b w:val="0"/>
          <w:i w:val="0"/>
          <w:color w:val="222222"/>
          <w:sz w:val="22"/>
        </w:rPr>
        <w:t>Additional industry verticals on the same multi-tenant core.</w:t>
      </w:r>
    </w:p>
    <w:p>
      <w:pPr>
        <w:pStyle w:val="Heading1"/>
      </w:pPr>
      <w:r>
        <w:t>8. Q&amp;A, Commercial Model &amp; Next Steps</w:t>
      </w:r>
    </w:p>
    <w:p>
      <w:pPr>
        <w:spacing w:after="120"/>
      </w:pPr>
      <w:r>
        <w:rPr>
          <w:rFonts w:ascii="Arial" w:hAnsi="Arial"/>
          <w:b/>
          <w:i w:val="0"/>
          <w:color w:val="222222"/>
          <w:sz w:val="22"/>
        </w:rPr>
        <w:t>Q1 — Is the estimate firm?</w:t>
      </w:r>
    </w:p>
    <w:p>
      <w:pPr>
        <w:spacing w:after="120"/>
      </w:pPr>
      <w:r>
        <w:rPr>
          <w:rFonts w:ascii="Arial" w:hAnsi="Arial"/>
          <w:b w:val="0"/>
          <w:i w:val="0"/>
          <w:color w:val="222222"/>
          <w:sz w:val="22"/>
        </w:rPr>
        <w:t>No — the figures are indicative (black-box assessment). A ~2-week Phase 0 audit reviews the repository and converts the estimate into a fixed price within (or below) the ranges, so there are no mid-project surprises for either side.</w:t>
      </w:r>
    </w:p>
    <w:p>
      <w:pPr>
        <w:spacing w:after="120"/>
      </w:pPr>
      <w:r>
        <w:rPr>
          <w:rFonts w:ascii="Arial" w:hAnsi="Arial"/>
          <w:b/>
          <w:i w:val="0"/>
          <w:color w:val="222222"/>
          <w:sz w:val="22"/>
        </w:rPr>
        <w:t>Q2 — Why a shared multi-tenant build?</w:t>
      </w:r>
    </w:p>
    <w:p>
      <w:pPr>
        <w:spacing w:after="120"/>
      </w:pPr>
      <w:r>
        <w:rPr>
          <w:rFonts w:ascii="Arial" w:hAnsi="Arial"/>
          <w:b w:val="0"/>
          <w:i w:val="0"/>
          <w:color w:val="222222"/>
          <w:sz w:val="22"/>
        </w:rPr>
        <w:t>Every missing engine is identical for both platforms. Building once and switching the industry layer via configuration is ~40–45% cheaper than two separate builds, while per-tenant compliance isolation keeps Yedi safeguarding separate from Tidal.</w:t>
      </w:r>
    </w:p>
    <w:p>
      <w:pPr>
        <w:spacing w:after="120"/>
      </w:pPr>
      <w:r>
        <w:rPr>
          <w:rFonts w:ascii="Arial" w:hAnsi="Arial"/>
          <w:b/>
          <w:i w:val="0"/>
          <w:color w:val="222222"/>
          <w:sz w:val="22"/>
        </w:rPr>
        <w:t>Q3 — What makes the MVP launchable in ~4 months?</w:t>
      </w:r>
    </w:p>
    <w:p>
      <w:pPr>
        <w:spacing w:after="120"/>
      </w:pPr>
      <w:r>
        <w:rPr>
          <w:rFonts w:ascii="Arial" w:hAnsi="Arial"/>
          <w:b w:val="0"/>
          <w:i w:val="0"/>
          <w:color w:val="222222"/>
          <w:sz w:val="22"/>
        </w:rPr>
        <w:t>A larger, parallelised team (peaking at ~9–10) delivers the same ~660 md of scope in ~4 months instead of ~7. Foundation, portals, booking, compliance, timesheets and billing are built in parallel streams rather than sequentially. Total effort — and therefore cost — is unchanged.</w:t>
      </w:r>
    </w:p>
    <w:p>
      <w:pPr>
        <w:spacing w:after="120"/>
      </w:pPr>
      <w:r>
        <w:rPr>
          <w:rFonts w:ascii="Arial" w:hAnsi="Arial"/>
          <w:b/>
          <w:i w:val="0"/>
          <w:color w:val="222222"/>
          <w:sz w:val="22"/>
        </w:rPr>
        <w:t>Q4 — What is the biggest risk?</w:t>
      </w:r>
    </w:p>
    <w:p>
      <w:pPr>
        <w:spacing w:after="120"/>
      </w:pPr>
      <w:r>
        <w:rPr>
          <w:rFonts w:ascii="Arial" w:hAnsi="Arial"/>
          <w:b w:val="0"/>
          <w:i w:val="0"/>
          <w:color w:val="222222"/>
          <w:sz w:val="22"/>
        </w:rPr>
        <w:t>Source-code / Git access and the candidate employment model. Both are resolved during Phase 0 before any fixed price is committed.</w:t>
      </w:r>
    </w:p>
    <w:p>
      <w:pPr>
        <w:spacing w:after="120"/>
      </w:pPr>
      <w:r>
        <w:rPr>
          <w:rFonts w:ascii="Arial" w:hAnsi="Arial"/>
          <w:b w:val="0"/>
          <w:i/>
          <w:color w:val="222222"/>
          <w:sz w:val="22"/>
        </w:rPr>
        <w:t>Goodwill note: during the assessment we identified a production bug — Declaration creation fails on upload (Livewire) — present on both platforms (shared code). We are happy to share the details at no charge.</w:t>
      </w:r>
    </w:p>
    <w:p>
      <w:pPr>
        <w:pStyle w:val="Heading2"/>
      </w:pPr>
      <w:r>
        <w:t>Next Steps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4680"/>
        <w:gridCol w:w="4680"/>
      </w:tblGrid>
      <w:tr>
        <w:tc>
          <w:tcPr>
            <w:tcW w:type="dxa" w:w="658"/>
            <w:shd w:val="clear" w:color="auto" w:fill="1A2B4A"/>
          </w:tcPr>
          <w:p>
            <w:pPr>
              <w:spacing w:after="40" w:before="40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20"/>
              </w:rPr>
              <w:t>#</w:t>
            </w:r>
          </w:p>
        </w:tc>
        <w:tc>
          <w:tcPr>
            <w:tcW w:type="dxa" w:w="8701"/>
            <w:shd w:val="clear" w:color="auto" w:fill="1A2B4A"/>
          </w:tcPr>
          <w:p>
            <w:pPr>
              <w:spacing w:after="40" w:before="40"/>
              <w:jc w:val="left"/>
            </w:pPr>
            <w:r>
              <w:rPr>
                <w:rFonts w:ascii="Arial" w:hAnsi="Arial"/>
                <w:b/>
                <w:i w:val="0"/>
                <w:color w:val="FFFFFF"/>
                <w:sz w:val="20"/>
              </w:rPr>
              <w:t>Step</w:t>
            </w:r>
          </w:p>
        </w:tc>
      </w:tr>
      <w:tr>
        <w:tc>
          <w:tcPr>
            <w:tcW w:type="dxa" w:w="658"/>
          </w:tcPr>
          <w:p>
            <w:pPr>
              <w:spacing w:after="40" w:before="40"/>
              <w:jc w:val="center"/>
            </w:pPr>
            <w:r>
              <w:rPr>
                <w:rFonts w:ascii="Arial" w:hAnsi="Arial"/>
                <w:b w:val="0"/>
                <w:i w:val="0"/>
                <w:color w:val="222222"/>
                <w:sz w:val="20"/>
              </w:rPr>
              <w:t>1</w:t>
            </w:r>
          </w:p>
        </w:tc>
        <w:tc>
          <w:tcPr>
            <w:tcW w:type="dxa" w:w="8701"/>
          </w:tcPr>
          <w:p>
            <w:pPr>
              <w:spacing w:after="40" w:before="40"/>
              <w:jc w:val="left"/>
            </w:pPr>
            <w:r>
              <w:rPr>
                <w:rFonts w:ascii="Arial" w:hAnsi="Arial"/>
                <w:b w:val="0"/>
                <w:i w:val="0"/>
                <w:color w:val="222222"/>
                <w:sz w:val="20"/>
              </w:rPr>
              <w:t>Approve Phase 0 (audit).</w:t>
            </w:r>
          </w:p>
        </w:tc>
      </w:tr>
      <w:tr>
        <w:tc>
          <w:tcPr>
            <w:tcW w:type="dxa" w:w="658"/>
            <w:shd w:val="clear" w:color="auto" w:fill="F2F5F9"/>
          </w:tcPr>
          <w:p>
            <w:pPr>
              <w:spacing w:after="40" w:before="40"/>
              <w:jc w:val="center"/>
            </w:pPr>
            <w:r>
              <w:rPr>
                <w:rFonts w:ascii="Arial" w:hAnsi="Arial"/>
                <w:b w:val="0"/>
                <w:i w:val="0"/>
                <w:color w:val="222222"/>
                <w:sz w:val="20"/>
              </w:rPr>
              <w:t>2</w:t>
            </w:r>
          </w:p>
        </w:tc>
        <w:tc>
          <w:tcPr>
            <w:tcW w:type="dxa" w:w="8701"/>
            <w:shd w:val="clear" w:color="auto" w:fill="F2F5F9"/>
          </w:tcPr>
          <w:p>
            <w:pPr>
              <w:spacing w:after="40" w:before="40"/>
              <w:jc w:val="left"/>
            </w:pPr>
            <w:r>
              <w:rPr>
                <w:rFonts w:ascii="Arial" w:hAnsi="Arial"/>
                <w:b w:val="0"/>
                <w:i w:val="0"/>
                <w:color w:val="222222"/>
                <w:sz w:val="20"/>
              </w:rPr>
              <w:t>Provide source code + Yedi/Tidal access; confirm the assumptions in Section 2.3.</w:t>
            </w:r>
          </w:p>
        </w:tc>
      </w:tr>
      <w:tr>
        <w:tc>
          <w:tcPr>
            <w:tcW w:type="dxa" w:w="658"/>
          </w:tcPr>
          <w:p>
            <w:pPr>
              <w:spacing w:after="40" w:before="40"/>
              <w:jc w:val="center"/>
            </w:pPr>
            <w:r>
              <w:rPr>
                <w:rFonts w:ascii="Arial" w:hAnsi="Arial"/>
                <w:b w:val="0"/>
                <w:i w:val="0"/>
                <w:color w:val="222222"/>
                <w:sz w:val="20"/>
              </w:rPr>
              <w:t>3</w:t>
            </w:r>
          </w:p>
        </w:tc>
        <w:tc>
          <w:tcPr>
            <w:tcW w:type="dxa" w:w="8701"/>
          </w:tcPr>
          <w:p>
            <w:pPr>
              <w:spacing w:after="40" w:before="40"/>
              <w:jc w:val="left"/>
            </w:pPr>
            <w:r>
              <w:rPr>
                <w:rFonts w:ascii="Arial" w:hAnsi="Arial"/>
                <w:b w:val="0"/>
                <w:i w:val="0"/>
                <w:color w:val="222222"/>
                <w:sz w:val="20"/>
              </w:rPr>
              <w:t>Sotatek issues a fixed price for Tranche 1 within ~2 weeks.</w:t>
            </w:r>
          </w:p>
        </w:tc>
      </w:tr>
    </w:tbl>
    <w:p>
      <w:pPr>
        <w:spacing w:after="120"/>
      </w:pPr>
      <w:r>
        <w:rPr>
          <w:rFonts w:ascii="Arial" w:hAnsi="Arial"/>
          <w:b w:val="0"/>
          <w:i/>
          <w:color w:val="222222"/>
          <w:sz w:val="22"/>
        </w:rPr>
        <w:t>Appendices available on request: 14-domain gap analysis (EN + VI), black-box test pack (47 screenshots), per-feature effort WBS, requirements traceability matrix, and the Yedi↔Tidal cross-comparison.</w:t>
      </w:r>
    </w:p>
    <w:sectPr>
      <w:footerReference r:id="rId9" w:type="default"/>
      <w:type w:val="nextPage"/>
      <w:pgSz w:h="15840" w:w="12240" w:orient="portrait"/>
      <w:pgMar w:bottom="1440" w:top="1440" w:left="1440" w:right="1440" w:header="708" w:footer="708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Georgia"/>
  <w:font w:name="Times New Roman"/>
  <w:font w:name="Calibri"/>
  <w:font w:name="Card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7B2">
    <w:pPr>
      <w:pBdr>
        <w:top w:color="cccccc" w:space="4" w:sz="4" w:val="single"/>
      </w:pBdr>
      <w:jc w:val="center"/>
      <w:rPr/>
    </w:pPr>
    <w:r w:rsidDel="00000000" w:rsidR="00000000" w:rsidRPr="00000000">
      <w:rPr>
        <w:rFonts w:ascii="Arial" w:cs="Arial" w:eastAsia="Arial" w:hAnsi="Arial"/>
        <w:color w:val="666666"/>
        <w:sz w:val="18"/>
        <w:szCs w:val="18"/>
      </w:rPr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7B3">
    <w:pPr>
      <w:rPr/>
    </w:pPr>
    <w:r w:rsidDel="00000000" w:rsidR="00000000" w:rsidRPr="00000000">
      <w:rPr/>
      <w:pict>
        <v:shape id="WordPictureWatermark1" style="position:absolute;width:614.25pt;height:792.4170616113747pt;rotation:0;z-index:-503316481;mso-position-horizontal-relative:margin;mso-position-horizontal:absolute;margin-left:-72.75pt;mso-position-vertical-relative:margin;mso-position-vertical:absolute;margin-top:-71.625pt;" alt="" type="#_x0000_t75">
          <v:imagedata cropbottom="0f" cropleft="0f" cropright="0f" croptop="0f" r:id="rId1" o:title="image2.png"/>
        </v:shape>
      </w:pict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•"/>
      <w:lvlJc w:val="left"/>
      <w:pPr>
        <w:ind w:left="720" w:hanging="360"/>
      </w:pPr>
      <w:rPr/>
    </w:lvl>
    <w:lvl w:ilvl="1">
      <w:start w:val="1"/>
      <w:numFmt w:val="bullet"/>
      <w:lvlText w:val="◦"/>
      <w:lvlJc w:val="left"/>
      <w:pPr>
        <w:ind w:left="1440" w:hanging="36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color w:val="2d2d2d"/>
        <w:sz w:val="22"/>
        <w:szCs w:val="22"/>
      </w:rPr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200" w:before="360" w:line="240" w:lineRule="auto"/>
      <w:ind w:left="0" w:right="0" w:firstLine="0"/>
      <w:jc w:val="left"/>
    </w:pPr>
    <w:rPr>
      <w:rFonts w:ascii="Arial" w:cs="Arial" w:eastAsia="Arial" w:hAnsi="Arial"/>
      <w:b w:val="1"/>
      <w:bCs w:val="1"/>
      <w:i w:val="0"/>
      <w:iCs w:val="0"/>
      <w:smallCaps w:val="0"/>
      <w:strike w:val="0"/>
      <w:color w:val="1a2b4a"/>
      <w:sz w:val="36"/>
      <w:szCs w:val="36"/>
      <w:u w:val="none"/>
      <w:shd w:fill="auto" w:val="clear"/>
      <w:vertAlign w:val="baseline"/>
    </w:rPr>
  </w:style>
  <w:style w:type="paragraph" w:styleId="Heading2">
    <w:name w:val="heading 2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160" w:before="280" w:line="240" w:lineRule="auto"/>
      <w:ind w:left="0" w:right="0" w:firstLine="0"/>
      <w:jc w:val="left"/>
    </w:pPr>
    <w:rPr>
      <w:rFonts w:ascii="Arial" w:cs="Arial" w:eastAsia="Arial" w:hAnsi="Arial"/>
      <w:b w:val="1"/>
      <w:bCs w:val="1"/>
      <w:i w:val="0"/>
      <w:iCs w:val="0"/>
      <w:smallCaps w:val="0"/>
      <w:strike w:val="0"/>
      <w:color w:val="2e75b6"/>
      <w:sz w:val="28"/>
      <w:szCs w:val="28"/>
      <w:u w:val="none"/>
      <w:shd w:fill="auto" w:val="clear"/>
      <w:vertAlign w:val="baseline"/>
    </w:rPr>
  </w:style>
  <w:style w:type="paragraph" w:styleId="Heading3">
    <w:name w:val="heading 3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120" w:before="200" w:line="240" w:lineRule="auto"/>
      <w:ind w:left="0" w:right="0" w:firstLine="0"/>
      <w:jc w:val="left"/>
    </w:pPr>
    <w:rPr>
      <w:rFonts w:ascii="Arial" w:cs="Arial" w:eastAsia="Arial" w:hAnsi="Arial"/>
      <w:b w:val="1"/>
      <w:bCs w:val="1"/>
      <w:i w:val="0"/>
      <w:iCs w:val="0"/>
      <w:smallCaps w:val="0"/>
      <w:strike w:val="0"/>
      <w:color w:val="d4740e"/>
      <w:sz w:val="24"/>
      <w:szCs w:val="24"/>
      <w:u w:val="none"/>
      <w:shd w:fill="auto" w:val="clear"/>
      <w:vertAlign w:val="baseline"/>
    </w:rPr>
  </w:style>
  <w:style w:type="paragraph" w:styleId="Heading4">
    <w:name w:val="heading 4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1"/>
      <w:iCs w:val="1"/>
      <w:smallCaps w:val="0"/>
      <w:strike w:val="0"/>
      <w:color w:val="2e74b5"/>
      <w:sz w:val="22"/>
      <w:szCs w:val="22"/>
      <w:u w:val="none"/>
      <w:shd w:fill="auto" w:val="clear"/>
      <w:vertAlign w:val="baseline"/>
    </w:rPr>
  </w:style>
  <w:style w:type="paragraph" w:styleId="Heading5">
    <w:name w:val="heading 5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2e74b5"/>
      <w:sz w:val="22"/>
      <w:szCs w:val="22"/>
      <w:u w:val="none"/>
      <w:shd w:fill="auto" w:val="clear"/>
      <w:vertAlign w:val="baseline"/>
    </w:rPr>
  </w:style>
  <w:style w:type="paragraph" w:styleId="Heading6">
    <w:name w:val="heading 6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1f4d78"/>
      <w:sz w:val="22"/>
      <w:szCs w:val="22"/>
      <w:u w:val="none"/>
      <w:shd w:fill="auto" w:val="clear"/>
      <w:vertAlign w:val="baseline"/>
    </w:rPr>
  </w:style>
  <w:style w:type="paragraph" w:styleId="Title">
    <w:name w:val="Title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2d2d2d"/>
      <w:sz w:val="56"/>
      <w:szCs w:val="56"/>
      <w:u w:val="none"/>
      <w:shd w:fill="auto" w:val="clear"/>
      <w:vertAlign w:val="baseline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  <w:tcPr>
      <w:shd w:fill="ffffff" w:val="clear"/>
    </w:tcPr>
  </w:style>
  <w:style w:type="table" w:styleId="Table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  <w:tcPr>
      <w:shd w:fill="ffffff" w:val="clear"/>
    </w:tcPr>
  </w:style>
  <w:style w:type="table" w:styleId="Table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  <w:tcPr>
      <w:shd w:fill="ffffff" w:val="clear"/>
    </w:tcPr>
  </w:style>
  <w:style w:type="table" w:styleId="Table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6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7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8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9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0">
    <w:basedOn w:val="TableNormal"/>
    <w:tblPr>
      <w:tblStyleRowBandSize w:val="1"/>
      <w:tblStyleColBandSize w:val="1"/>
      <w:tblCellMar/>
    </w:tblPr>
  </w:style>
  <w:style w:type="table" w:styleId="Table11">
    <w:basedOn w:val="TableNormal"/>
    <w:tblPr>
      <w:tblStyleRowBandSize w:val="1"/>
      <w:tblStyleColBandSize w:val="1"/>
      <w:tblCellMar/>
    </w:tblPr>
  </w:style>
  <w:style w:type="table" w:styleId="Table1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6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7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8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9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hyperlink" Target="mailto:thanh.du@sotatek.com" TargetMode="External"/></Relationships>
</file>

<file path=word/_rels/fontTable.xml.rels><?xml version='1.0' encoding='UTF-8' standalone='yes'?>
<Relationships xmlns="http://schemas.openxmlformats.org/package/2006/relationships"><Relationship Id="rId1" Type="http://schemas.openxmlformats.org/officeDocument/2006/relationships/font" Target="fonts/Cardo-regular.ttf"/><Relationship Id="rId2" Type="http://schemas.openxmlformats.org/officeDocument/2006/relationships/font" Target="fonts/Cardo-bold.ttf"/><Relationship Id="rId3" Type="http://schemas.openxmlformats.org/officeDocument/2006/relationships/font" Target="fonts/Cardo-italic.ttf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