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0"/>
          <w:szCs w:val="30"/>
        </w:rPr>
      </w:pPr>
      <w:bookmarkStart w:colFirst="0" w:colLast="0" w:name="_doh3ytbzekb1" w:id="0"/>
      <w:bookmarkEnd w:id="0"/>
      <w:r w:rsidDel="00000000" w:rsidR="00000000" w:rsidRPr="00000000">
        <w:rPr>
          <w:sz w:val="30"/>
          <w:szCs w:val="30"/>
          <w:rtl w:val="0"/>
        </w:rPr>
        <w:t xml:space="preserve">Department of Technology Operations (DTO)</w:t>
      </w:r>
    </w:p>
    <w:p w:rsidR="00000000" w:rsidDel="00000000" w:rsidP="00000000" w:rsidRDefault="00000000" w:rsidRPr="00000000" w14:paraId="00000002">
      <w:pPr>
        <w:pStyle w:val="Heading2"/>
        <w:keepNext w:val="0"/>
        <w:keepLines w:val="0"/>
        <w:spacing w:after="80" w:lineRule="auto"/>
        <w:rPr>
          <w:sz w:val="30"/>
          <w:szCs w:val="30"/>
        </w:rPr>
      </w:pPr>
      <w:bookmarkStart w:colFirst="0" w:colLast="0" w:name="_lv7jw0184jlv" w:id="1"/>
      <w:bookmarkEnd w:id="1"/>
      <w:r w:rsidDel="00000000" w:rsidR="00000000" w:rsidRPr="00000000">
        <w:rPr>
          <w:sz w:val="30"/>
          <w:szCs w:val="30"/>
          <w:rtl w:val="0"/>
        </w:rPr>
        <w:t xml:space="preserve">Information Security Program Plan (ISPP)</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Identifier:</w:t>
      </w:r>
      <w:r w:rsidDel="00000000" w:rsidR="00000000" w:rsidRPr="00000000">
        <w:rPr>
          <w:rtl w:val="0"/>
        </w:rPr>
        <w:t xml:space="preserve"> DTO-SEC-ISPP-2026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5.2</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June 6,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Security Classification:</w:t>
      </w:r>
      <w:r w:rsidDel="00000000" w:rsidR="00000000" w:rsidRPr="00000000">
        <w:rPr>
          <w:rtl w:val="0"/>
        </w:rPr>
        <w:t xml:space="preserve"> Controlled Unclassified Information (CUI)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sz w:val="30"/>
          <w:szCs w:val="30"/>
        </w:rPr>
      </w:pPr>
      <w:bookmarkStart w:colFirst="0" w:colLast="0" w:name="_ikybvxfnud8d" w:id="2"/>
      <w:bookmarkEnd w:id="2"/>
      <w:r w:rsidDel="00000000" w:rsidR="00000000" w:rsidRPr="00000000">
        <w:rPr>
          <w:sz w:val="30"/>
          <w:szCs w:val="30"/>
          <w:rtl w:val="0"/>
        </w:rPr>
        <w:t xml:space="preserve">1. Introduction, Purpose, &amp; Authority</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pl0qxz83a8p5" w:id="3"/>
      <w:bookmarkEnd w:id="3"/>
      <w:r w:rsidDel="00000000" w:rsidR="00000000" w:rsidRPr="00000000">
        <w:rPr>
          <w:b w:val="1"/>
          <w:bCs w:val="1"/>
          <w:sz w:val="24"/>
          <w:szCs w:val="24"/>
          <w:rtl w:val="0"/>
        </w:rPr>
        <w:t xml:space="preserve">1.1 Program Overview</w:t>
      </w:r>
    </w:p>
    <w:p w:rsidR="00000000" w:rsidDel="00000000" w:rsidP="00000000" w:rsidRDefault="00000000" w:rsidRPr="00000000" w14:paraId="0000000A">
      <w:pPr>
        <w:spacing w:after="240" w:before="240" w:lineRule="auto"/>
        <w:rPr/>
      </w:pPr>
      <w:r w:rsidDel="00000000" w:rsidR="00000000" w:rsidRPr="00000000">
        <w:rPr>
          <w:rtl w:val="0"/>
        </w:rPr>
        <w:t xml:space="preserve">This document defines the organization-wide Information Security Program Plan for the </w:t>
      </w:r>
      <w:r w:rsidDel="00000000" w:rsidR="00000000" w:rsidRPr="00000000">
        <w:rPr>
          <w:b w:val="1"/>
          <w:bCs w:val="1"/>
          <w:rtl w:val="0"/>
        </w:rPr>
        <w:t xml:space="preserve">Department of Technology Operations (DTO)</w:t>
      </w:r>
      <w:r w:rsidDel="00000000" w:rsidR="00000000" w:rsidRPr="00000000">
        <w:rPr>
          <w:rtl w:val="0"/>
        </w:rPr>
        <w:t xml:space="preserve">. This plan codifies the management, operational, and technical controls required to safeguard DTO’s mission-critical assets, information systems, and data pipelines. [1]</w:t>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pd0sy5y2rbhx" w:id="4"/>
      <w:bookmarkEnd w:id="4"/>
      <w:r w:rsidDel="00000000" w:rsidR="00000000" w:rsidRPr="00000000">
        <w:rPr>
          <w:b w:val="1"/>
          <w:bCs w:val="1"/>
          <w:sz w:val="24"/>
          <w:szCs w:val="24"/>
          <w:rtl w:val="0"/>
        </w:rPr>
        <w:t xml:space="preserve">1.2 Regulatory Compliance &amp; Mandate</w:t>
      </w:r>
    </w:p>
    <w:p w:rsidR="00000000" w:rsidDel="00000000" w:rsidP="00000000" w:rsidRDefault="00000000" w:rsidRPr="00000000" w14:paraId="0000000C">
      <w:pPr>
        <w:spacing w:after="240" w:before="240" w:lineRule="auto"/>
        <w:rPr/>
      </w:pPr>
      <w:r w:rsidDel="00000000" w:rsidR="00000000" w:rsidRPr="00000000">
        <w:rPr>
          <w:rtl w:val="0"/>
        </w:rPr>
        <w:t xml:space="preserve">This plan directly satisfies the compliance mandate of </w:t>
      </w:r>
      <w:r w:rsidDel="00000000" w:rsidR="00000000" w:rsidRPr="00000000">
        <w:rPr>
          <w:b w:val="1"/>
          <w:bCs w:val="1"/>
          <w:rtl w:val="0"/>
        </w:rPr>
        <w:t xml:space="preserve">NIST SP 800-53 Revision 5, Control PM-1 (Information Security Program Plan)</w:t>
      </w:r>
      <w:r w:rsidDel="00000000" w:rsidR="00000000" w:rsidRPr="00000000">
        <w:rPr>
          <w:rtl w:val="0"/>
        </w:rPr>
        <w:t xml:space="preserve">. This program functions under the statutory authority of the </w:t>
      </w:r>
      <w:r w:rsidDel="00000000" w:rsidR="00000000" w:rsidRPr="00000000">
        <w:rPr>
          <w:i w:val="1"/>
          <w:iCs w:val="1"/>
          <w:rtl w:val="0"/>
        </w:rPr>
        <w:t xml:space="preserve">Federal Information Security Modernization Act (FISMA) of 2014</w:t>
      </w:r>
      <w:r w:rsidDel="00000000" w:rsidR="00000000" w:rsidRPr="00000000">
        <w:rPr>
          <w:rtl w:val="0"/>
        </w:rPr>
        <w:t xml:space="preserve"> and follows governance metrics outlined in </w:t>
      </w:r>
      <w:r w:rsidDel="00000000" w:rsidR="00000000" w:rsidRPr="00000000">
        <w:rPr>
          <w:i w:val="1"/>
          <w:iCs w:val="1"/>
          <w:rtl w:val="0"/>
        </w:rPr>
        <w:t xml:space="preserve">OMB Circular A-130</w:t>
      </w:r>
      <w:r w:rsidDel="00000000" w:rsidR="00000000" w:rsidRPr="00000000">
        <w:rPr>
          <w:rtl w:val="0"/>
        </w:rPr>
        <w:t xml:space="preserve">. [2, 3]</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o76o8jgm05lb" w:id="5"/>
      <w:bookmarkEnd w:id="5"/>
      <w:r w:rsidDel="00000000" w:rsidR="00000000" w:rsidRPr="00000000">
        <w:rPr>
          <w:b w:val="1"/>
          <w:bCs w:val="1"/>
          <w:sz w:val="24"/>
          <w:szCs w:val="24"/>
          <w:rtl w:val="0"/>
        </w:rPr>
        <w:t xml:space="preserve">1.3 Scope</w:t>
      </w:r>
    </w:p>
    <w:p w:rsidR="00000000" w:rsidDel="00000000" w:rsidP="00000000" w:rsidRDefault="00000000" w:rsidRPr="00000000" w14:paraId="0000000E">
      <w:pPr>
        <w:spacing w:after="240" w:before="240" w:lineRule="auto"/>
        <w:rPr/>
      </w:pPr>
      <w:r w:rsidDel="00000000" w:rsidR="00000000" w:rsidRPr="00000000">
        <w:rPr>
          <w:rtl w:val="0"/>
        </w:rPr>
        <w:t xml:space="preserve">The mandates of this ISPP apply to all corporate and production infrastructures, including multi-tenant cloud environments (AWS, Azure), physical data centers located at DTO Headquarters, operational technologies (OT), and any information system processing or storing DTO data. This plan is binding for all full-time employees, contractors, and third-party vendors.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sz w:val="30"/>
          <w:szCs w:val="30"/>
        </w:rPr>
      </w:pPr>
      <w:bookmarkStart w:colFirst="0" w:colLast="0" w:name="_jovhjakbbvhm" w:id="6"/>
      <w:bookmarkEnd w:id="6"/>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sz w:val="30"/>
          <w:szCs w:val="30"/>
        </w:rPr>
      </w:pPr>
      <w:bookmarkStart w:colFirst="0" w:colLast="0" w:name="_civfonei3kw0" w:id="7"/>
      <w:bookmarkEnd w:id="7"/>
      <w:r w:rsidDel="00000000" w:rsidR="00000000" w:rsidRPr="00000000">
        <w:rPr>
          <w:sz w:val="30"/>
          <w:szCs w:val="30"/>
          <w:rtl w:val="0"/>
        </w:rPr>
        <w:t xml:space="preserve">2. Program Governance &amp; Organizational Structure</w:t>
      </w:r>
    </w:p>
    <w:p w:rsidR="00000000" w:rsidDel="00000000" w:rsidP="00000000" w:rsidRDefault="00000000" w:rsidRPr="00000000" w14:paraId="00000012">
      <w:pPr>
        <w:spacing w:after="240" w:before="240" w:lineRule="auto"/>
        <w:rPr/>
      </w:pPr>
      <w:r w:rsidDel="00000000" w:rsidR="00000000" w:rsidRPr="00000000">
        <w:rPr>
          <w:rtl w:val="0"/>
        </w:rPr>
        <w:t xml:space="preserve">To successfully operationalize PM-1, DTO establishes a clear line of communication, authority, and accountability for risk management. [1, 4]</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DTO Director / Executive Sponsor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Chief Information Officer (CIO)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Chief Information Security Officer (CISO) ]</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SecOps &amp; Engineering ]   [ GRC &amp; Audit ]    [ Incident Response ]</w:t>
      </w:r>
    </w:p>
    <w:p w:rsidR="00000000" w:rsidDel="00000000" w:rsidP="00000000" w:rsidRDefault="00000000" w:rsidRPr="00000000" w14:paraId="0000001C">
      <w:pPr>
        <w:pStyle w:val="Heading2"/>
        <w:keepNext w:val="0"/>
        <w:keepLines w:val="0"/>
        <w:spacing w:after="80" w:lineRule="auto"/>
        <w:rPr>
          <w:b w:val="1"/>
          <w:bCs w:val="1"/>
          <w:sz w:val="24"/>
          <w:szCs w:val="24"/>
        </w:rPr>
      </w:pPr>
      <w:bookmarkStart w:colFirst="0" w:colLast="0" w:name="_9j5eybtnket7" w:id="8"/>
      <w:bookmarkEnd w:id="8"/>
      <w:r w:rsidDel="00000000" w:rsidR="00000000" w:rsidRPr="00000000">
        <w:rPr>
          <w:color w:val="188038"/>
          <w:sz w:val="22"/>
          <w:szCs w:val="22"/>
          <w:rtl w:val="0"/>
        </w:rPr>
        <w:t xml:space="preserve"></w:t>
      </w:r>
      <w:r w:rsidDel="00000000" w:rsidR="00000000" w:rsidRPr="00000000">
        <w:rPr>
          <w:b w:val="1"/>
          <w:bCs w:val="1"/>
          <w:sz w:val="24"/>
          <w:szCs w:val="24"/>
          <w:rtl w:val="0"/>
        </w:rPr>
        <w:t xml:space="preserve">2.1 Roles and Responsibilities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DTO Director (Executive Sponsor):</w:t>
      </w:r>
      <w:r w:rsidDel="00000000" w:rsidR="00000000" w:rsidRPr="00000000">
        <w:rPr>
          <w:rtl w:val="0"/>
        </w:rPr>
        <w:t xml:space="preserve"> Holds final accountability for organizational risk acceptance. Approves capital allocation for the information security program.</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Chief Information Officer (CIO):</w:t>
      </w:r>
      <w:r w:rsidDel="00000000" w:rsidR="00000000" w:rsidRPr="00000000">
        <w:rPr>
          <w:rtl w:val="0"/>
        </w:rPr>
        <w:t xml:space="preserve"> Ensures information technology architectures integrate securely with the core cybersecurity controls mandated by this plan.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Chief Information Security Officer (CISO):</w:t>
      </w:r>
      <w:r w:rsidDel="00000000" w:rsidR="00000000" w:rsidRPr="00000000">
        <w:rPr>
          <w:rtl w:val="0"/>
        </w:rPr>
        <w:t xml:space="preserve"> Designated by the DTO Director as the authoritative owner of this program plan. The CISO is responsible for implementing, maintaining, and certifying the effectiveness of organization-wide security controls. [4]</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Information System Owners (ISOs):</w:t>
      </w:r>
      <w:r w:rsidDel="00000000" w:rsidR="00000000" w:rsidRPr="00000000">
        <w:rPr>
          <w:rtl w:val="0"/>
        </w:rPr>
        <w:t xml:space="preserve"> Accountable for the overall procurement, functional operation, and maintenance of specific systems. ISOs ensure system-level alignment with this program plan.</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Common Control Providers (CCPs):</w:t>
      </w:r>
      <w:r w:rsidDel="00000000" w:rsidR="00000000" w:rsidRPr="00000000">
        <w:rPr>
          <w:rtl w:val="0"/>
        </w:rPr>
        <w:t xml:space="preserve"> Responsible for designing, implementing, and assessing specific security controls designated as inheritable by individual DTO systems.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sz w:val="30"/>
          <w:szCs w:val="30"/>
        </w:rPr>
      </w:pPr>
      <w:bookmarkStart w:colFirst="0" w:colLast="0" w:name="_yi3d2jsrxw8f" w:id="9"/>
      <w:bookmarkEnd w:id="9"/>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0"/>
          <w:szCs w:val="30"/>
        </w:rPr>
      </w:pPr>
      <w:bookmarkStart w:colFirst="0" w:colLast="0" w:name="_krjmgknj7952" w:id="10"/>
      <w:bookmarkEnd w:id="10"/>
      <w:r w:rsidDel="00000000" w:rsidR="00000000" w:rsidRPr="00000000">
        <w:rPr>
          <w:sz w:val="30"/>
          <w:szCs w:val="30"/>
          <w:rtl w:val="0"/>
        </w:rPr>
        <w:t xml:space="preserve">3. Risk Management &amp; RMF System Lifecycle Integration</w:t>
      </w:r>
    </w:p>
    <w:p w:rsidR="00000000" w:rsidDel="00000000" w:rsidP="00000000" w:rsidRDefault="00000000" w:rsidRPr="00000000" w14:paraId="00000025">
      <w:pPr>
        <w:spacing w:after="240" w:before="240" w:lineRule="auto"/>
        <w:rPr/>
      </w:pPr>
      <w:r w:rsidDel="00000000" w:rsidR="00000000" w:rsidRPr="00000000">
        <w:rPr>
          <w:rtl w:val="0"/>
        </w:rPr>
        <w:t xml:space="preserve">DTO embeds the 7-step Risk Management Framework (RMF) process directly into its systemic lifecycle, establishing standard operating baselines: [3]</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Prepare:</w:t>
      </w:r>
      <w:r w:rsidDel="00000000" w:rsidR="00000000" w:rsidRPr="00000000">
        <w:rPr>
          <w:rtl w:val="0"/>
        </w:rPr>
        <w:t xml:space="preserve"> The CISO maintains an organization-wide risk assessment register using </w:t>
      </w:r>
      <w:r w:rsidDel="00000000" w:rsidR="00000000" w:rsidRPr="00000000">
        <w:rPr>
          <w:i w:val="1"/>
          <w:iCs w:val="1"/>
          <w:rtl w:val="0"/>
        </w:rPr>
        <w:t xml:space="preserve">NIST SP 800-30 Rev. 1</w:t>
      </w:r>
      <w:r w:rsidDel="00000000" w:rsidR="00000000" w:rsidRPr="00000000">
        <w:rPr>
          <w:rtl w:val="0"/>
        </w:rPr>
        <w:t xml:space="preserve"> metrics to establish enterprise-level threat vectors before system procurement.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Categorize:</w:t>
      </w:r>
      <w:r w:rsidDel="00000000" w:rsidR="00000000" w:rsidRPr="00000000">
        <w:rPr>
          <w:rtl w:val="0"/>
        </w:rPr>
        <w:t xml:space="preserve"> ISOs categorize systems according to </w:t>
      </w:r>
      <w:r w:rsidDel="00000000" w:rsidR="00000000" w:rsidRPr="00000000">
        <w:rPr>
          <w:i w:val="1"/>
          <w:iCs w:val="1"/>
          <w:rtl w:val="0"/>
        </w:rPr>
        <w:t xml:space="preserve">FIPS 199</w:t>
      </w:r>
      <w:r w:rsidDel="00000000" w:rsidR="00000000" w:rsidRPr="00000000">
        <w:rPr>
          <w:rtl w:val="0"/>
        </w:rPr>
        <w:t xml:space="preserve"> standards based on Confidentiality, Integrity, and Availability impact levels (Low, Moderate, High).</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Select:</w:t>
      </w:r>
      <w:r w:rsidDel="00000000" w:rsidR="00000000" w:rsidRPr="00000000">
        <w:rPr>
          <w:rtl w:val="0"/>
        </w:rPr>
        <w:t xml:space="preserve"> DTO establishes a baseline tailorable set of controls derived from </w:t>
      </w:r>
      <w:r w:rsidDel="00000000" w:rsidR="00000000" w:rsidRPr="00000000">
        <w:rPr>
          <w:i w:val="1"/>
          <w:iCs w:val="1"/>
          <w:rtl w:val="0"/>
        </w:rPr>
        <w:t xml:space="preserve">NIST SP 800-53B</w:t>
      </w:r>
      <w:r w:rsidDel="00000000" w:rsidR="00000000" w:rsidRPr="00000000">
        <w:rPr>
          <w:rtl w:val="0"/>
        </w:rPr>
        <w:t xml:space="preserve">. Common controls are automatically allocated to system architectures.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Implement:</w:t>
      </w:r>
      <w:r w:rsidDel="00000000" w:rsidR="00000000" w:rsidRPr="00000000">
        <w:rPr>
          <w:rtl w:val="0"/>
        </w:rPr>
        <w:t xml:space="preserve"> Systems are built using established corporate hardening images (e.g., CIS Benchmarks). Control implementation must be documented within the system’s formal </w:t>
      </w:r>
      <w:r w:rsidDel="00000000" w:rsidR="00000000" w:rsidRPr="00000000">
        <w:rPr>
          <w:i w:val="1"/>
          <w:iCs w:val="1"/>
          <w:rtl w:val="0"/>
        </w:rPr>
        <w:t xml:space="preserve">System Security Plan (SSP)</w:t>
      </w:r>
      <w:r w:rsidDel="00000000" w:rsidR="00000000" w:rsidRPr="00000000">
        <w:rPr>
          <w:rtl w:val="0"/>
        </w:rPr>
        <w:t xml:space="preserv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Assess:</w:t>
      </w:r>
      <w:r w:rsidDel="00000000" w:rsidR="00000000" w:rsidRPr="00000000">
        <w:rPr>
          <w:rtl w:val="0"/>
        </w:rPr>
        <w:t xml:space="preserve"> Independent Third-Party Assessment Organizations (3PAOs) or internal GRC audit divisions test the controls to verify functional viability.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Authorize:</w:t>
      </w:r>
      <w:r w:rsidDel="00000000" w:rsidR="00000000" w:rsidRPr="00000000">
        <w:rPr>
          <w:rtl w:val="0"/>
        </w:rPr>
        <w:t xml:space="preserve"> The Authorizing Official (AO) reviews the resulting Security Assessment Report (SAR) and Plan of Action and Milestones (POA&amp;M) to issue an </w:t>
      </w:r>
      <w:r w:rsidDel="00000000" w:rsidR="00000000" w:rsidRPr="00000000">
        <w:rPr>
          <w:i w:val="1"/>
          <w:iCs w:val="1"/>
          <w:rtl w:val="0"/>
        </w:rPr>
        <w:t xml:space="preserve">Authority to Operate (ATO)</w:t>
      </w:r>
      <w:r w:rsidDel="00000000" w:rsidR="00000000" w:rsidRPr="00000000">
        <w:rPr>
          <w:rtl w:val="0"/>
        </w:rPr>
        <w:t xml:space="preserve">.</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Monitor:</w:t>
      </w:r>
      <w:r w:rsidDel="00000000" w:rsidR="00000000" w:rsidRPr="00000000">
        <w:rPr>
          <w:rtl w:val="0"/>
        </w:rPr>
        <w:t xml:space="preserve"> All systems participate in DTO's Continuous Monitoring program, leveraging automated toolsets to continuously evaluate control compliance states. [3, 4, 5, 6, 7]</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sz w:val="30"/>
          <w:szCs w:val="30"/>
        </w:rPr>
      </w:pPr>
      <w:bookmarkStart w:colFirst="0" w:colLast="0" w:name="_aikl1o2oo8lm" w:id="11"/>
      <w:bookmarkEnd w:id="1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0"/>
          <w:szCs w:val="30"/>
        </w:rPr>
      </w:pPr>
      <w:bookmarkStart w:colFirst="0" w:colLast="0" w:name="_vlx24wgvet4h" w:id="12"/>
      <w:bookmarkEnd w:id="12"/>
      <w:r w:rsidDel="00000000" w:rsidR="00000000" w:rsidRPr="00000000">
        <w:rPr>
          <w:sz w:val="30"/>
          <w:szCs w:val="30"/>
          <w:rtl w:val="0"/>
        </w:rPr>
        <w:t xml:space="preserve">4. Centralized Security Control Allocation (Inheritable Framework)</w:t>
      </w:r>
    </w:p>
    <w:p w:rsidR="00000000" w:rsidDel="00000000" w:rsidP="00000000" w:rsidRDefault="00000000" w:rsidRPr="00000000" w14:paraId="00000030">
      <w:pPr>
        <w:spacing w:after="240" w:before="240" w:lineRule="auto"/>
        <w:rPr/>
      </w:pPr>
      <w:r w:rsidDel="00000000" w:rsidR="00000000" w:rsidRPr="00000000">
        <w:rPr>
          <w:rtl w:val="0"/>
        </w:rPr>
        <w:t xml:space="preserve">The DTO Information Security Program centrally provides a set of common controls that individual information systems inherit to fulfill their compliance baselines. [2, 8]</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DTO Information Security Program Plan (PM-1)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(Centrally Managed Common Controls)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System A SSP  │        │ System B SSP  │        │ System C SSP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(Inherits AT) │        │ (Inherits IR) │        │ (Inherits IA)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gvxujhe23jvw" w:id="13"/>
      <w:bookmarkEnd w:id="13"/>
      <w:r w:rsidDel="00000000" w:rsidR="00000000" w:rsidRPr="00000000">
        <w:rPr>
          <w:color w:val="188038"/>
          <w:sz w:val="22"/>
          <w:szCs w:val="22"/>
          <w:rtl w:val="0"/>
        </w:rPr>
        <w:t xml:space="preserve"></w:t>
      </w:r>
      <w:r w:rsidDel="00000000" w:rsidR="00000000" w:rsidRPr="00000000">
        <w:rPr>
          <w:b w:val="1"/>
          <w:bCs w:val="1"/>
          <w:sz w:val="24"/>
          <w:szCs w:val="24"/>
          <w:rtl w:val="0"/>
        </w:rPr>
        <w:t xml:space="preserve">4.1 Access Control (AC) Baseline</w:t>
      </w:r>
    </w:p>
    <w:p w:rsidR="00000000" w:rsidDel="00000000" w:rsidP="00000000" w:rsidRDefault="00000000" w:rsidRPr="00000000" w14:paraId="0000003D">
      <w:pPr>
        <w:spacing w:after="240" w:before="240" w:lineRule="auto"/>
        <w:rPr/>
      </w:pPr>
      <w:r w:rsidDel="00000000" w:rsidR="00000000" w:rsidRPr="00000000">
        <w:rPr>
          <w:rtl w:val="0"/>
        </w:rPr>
        <w:t xml:space="preserve">DTO enforces centralized authentication via an Enterprise Identity Provider (IdP). All human-to-system connections require Multi-Factor Authentication (MFA) utilizing FIPS 140-3 validated cryptographic hardware tokens. Role-Based Access Control (RBAC) matrices are evaluated semi-annually.</w:t>
      </w:r>
    </w:p>
    <w:p w:rsidR="00000000" w:rsidDel="00000000" w:rsidP="00000000" w:rsidRDefault="00000000" w:rsidRPr="00000000" w14:paraId="0000003E">
      <w:pPr>
        <w:pStyle w:val="Heading2"/>
        <w:keepNext w:val="0"/>
        <w:keepLines w:val="0"/>
        <w:spacing w:after="80" w:lineRule="auto"/>
        <w:rPr>
          <w:b w:val="1"/>
          <w:bCs w:val="1"/>
          <w:sz w:val="24"/>
          <w:szCs w:val="24"/>
        </w:rPr>
      </w:pPr>
      <w:bookmarkStart w:colFirst="0" w:colLast="0" w:name="_fjfb5u7fpg43" w:id="14"/>
      <w:bookmarkEnd w:id="14"/>
      <w:r w:rsidDel="00000000" w:rsidR="00000000" w:rsidRPr="00000000">
        <w:rPr>
          <w:b w:val="1"/>
          <w:bCs w:val="1"/>
          <w:sz w:val="24"/>
          <w:szCs w:val="24"/>
          <w:rtl w:val="0"/>
        </w:rPr>
        <w:t xml:space="preserve">4.2 Awareness and Training (AT) Baseline</w:t>
      </w:r>
    </w:p>
    <w:p w:rsidR="00000000" w:rsidDel="00000000" w:rsidP="00000000" w:rsidRDefault="00000000" w:rsidRPr="00000000" w14:paraId="0000003F">
      <w:pPr>
        <w:spacing w:after="240" w:before="240" w:lineRule="auto"/>
        <w:rPr/>
      </w:pPr>
      <w:r w:rsidDel="00000000" w:rsidR="00000000" w:rsidRPr="00000000">
        <w:rPr>
          <w:rtl w:val="0"/>
        </w:rPr>
        <w:t xml:space="preserve">The GRC division hosts a centralized Learning Management System (LMS) to track and deliver educational modules. All active personnel must complete the </w:t>
      </w:r>
      <w:r w:rsidDel="00000000" w:rsidR="00000000" w:rsidRPr="00000000">
        <w:rPr>
          <w:i w:val="1"/>
          <w:iCs w:val="1"/>
          <w:rtl w:val="0"/>
        </w:rPr>
        <w:t xml:space="preserve">DTO Annual Cybersecurity Awareness Course</w:t>
      </w:r>
      <w:r w:rsidDel="00000000" w:rsidR="00000000" w:rsidRPr="00000000">
        <w:rPr>
          <w:rtl w:val="0"/>
        </w:rPr>
        <w:t xml:space="preserve"> within 30 days of onboarding and every 365 days thereafter. Failure to comply results in account suspension.</w:t>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ful5v4v83urj" w:id="15"/>
      <w:bookmarkEnd w:id="15"/>
      <w:r w:rsidDel="00000000" w:rsidR="00000000" w:rsidRPr="00000000">
        <w:rPr>
          <w:b w:val="1"/>
          <w:bCs w:val="1"/>
          <w:sz w:val="24"/>
          <w:szCs w:val="24"/>
          <w:rtl w:val="0"/>
        </w:rPr>
        <w:t xml:space="preserve">4.3 Incident Response (IR) Baseline</w:t>
      </w:r>
    </w:p>
    <w:p w:rsidR="00000000" w:rsidDel="00000000" w:rsidP="00000000" w:rsidRDefault="00000000" w:rsidRPr="00000000" w14:paraId="00000041">
      <w:pPr>
        <w:spacing w:after="240" w:before="240" w:lineRule="auto"/>
        <w:rPr/>
      </w:pPr>
      <w:r w:rsidDel="00000000" w:rsidR="00000000" w:rsidRPr="00000000">
        <w:rPr>
          <w:rtl w:val="0"/>
        </w:rPr>
        <w:t xml:space="preserve">The DTO Security Operations Center (SOC) operates 24/7/365 to handle incident management workflows. The SOC utilizes centralized Security Information and Event Management (SIEM) tools to ingest host-level and network-level logs. Incidents are classified into severity tiers (Category 1 through Category 6) following standard </w:t>
      </w:r>
      <w:r w:rsidDel="00000000" w:rsidR="00000000" w:rsidRPr="00000000">
        <w:rPr>
          <w:i w:val="1"/>
          <w:iCs w:val="1"/>
          <w:rtl w:val="0"/>
        </w:rPr>
        <w:t xml:space="preserve">NIST SP 800-61 Rev. 2</w:t>
      </w:r>
      <w:r w:rsidDel="00000000" w:rsidR="00000000" w:rsidRPr="00000000">
        <w:rPr>
          <w:rtl w:val="0"/>
        </w:rPr>
        <w:t xml:space="preserve"> procedures.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sz w:val="30"/>
          <w:szCs w:val="30"/>
        </w:rPr>
      </w:pPr>
      <w:bookmarkStart w:colFirst="0" w:colLast="0" w:name="_yyf30emhj63n" w:id="16"/>
      <w:bookmarkEnd w:id="1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sz w:val="30"/>
          <w:szCs w:val="30"/>
        </w:rPr>
      </w:pPr>
      <w:bookmarkStart w:colFirst="0" w:colLast="0" w:name="_j51ntnynqk6k" w:id="17"/>
      <w:bookmarkEnd w:id="17"/>
      <w:r w:rsidDel="00000000" w:rsidR="00000000" w:rsidRPr="00000000">
        <w:rPr>
          <w:sz w:val="30"/>
          <w:szCs w:val="30"/>
          <w:rtl w:val="0"/>
        </w:rPr>
        <w:t xml:space="preserve">5. Program Performance, Continuous Monitoring, &amp; Maintenance</w:t>
      </w:r>
    </w:p>
    <w:p w:rsidR="00000000" w:rsidDel="00000000" w:rsidP="00000000" w:rsidRDefault="00000000" w:rsidRPr="00000000" w14:paraId="00000045">
      <w:pPr>
        <w:pStyle w:val="Heading2"/>
        <w:keepNext w:val="0"/>
        <w:keepLines w:val="0"/>
        <w:spacing w:after="80" w:lineRule="auto"/>
        <w:rPr>
          <w:b w:val="1"/>
          <w:bCs w:val="1"/>
          <w:sz w:val="24"/>
          <w:szCs w:val="24"/>
        </w:rPr>
      </w:pPr>
      <w:bookmarkStart w:colFirst="0" w:colLast="0" w:name="_d6n7bpe1qx21" w:id="18"/>
      <w:bookmarkEnd w:id="18"/>
      <w:r w:rsidDel="00000000" w:rsidR="00000000" w:rsidRPr="00000000">
        <w:rPr>
          <w:b w:val="1"/>
          <w:bCs w:val="1"/>
          <w:sz w:val="24"/>
          <w:szCs w:val="24"/>
          <w:rtl w:val="0"/>
        </w:rPr>
        <w:t xml:space="preserve">5.1 Performance Metrics and KPIs</w:t>
      </w:r>
    </w:p>
    <w:p w:rsidR="00000000" w:rsidDel="00000000" w:rsidP="00000000" w:rsidRDefault="00000000" w:rsidRPr="00000000" w14:paraId="00000046">
      <w:pPr>
        <w:spacing w:after="240" w:before="240" w:lineRule="auto"/>
        <w:rPr/>
      </w:pPr>
      <w:r w:rsidDel="00000000" w:rsidR="00000000" w:rsidRPr="00000000">
        <w:rPr>
          <w:rtl w:val="0"/>
        </w:rPr>
        <w:t xml:space="preserve">To measure information security efficacy under control PM-6, the CISO aggregates quarterly metrics: [9]</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Vulnerability Remediation Window:</w:t>
      </w:r>
      <w:r w:rsidDel="00000000" w:rsidR="00000000" w:rsidRPr="00000000">
        <w:rPr>
          <w:rtl w:val="0"/>
        </w:rPr>
        <w:t xml:space="preserve"> Critical vulnerabilities must be remediated or mitigated via virtual patching within 15 calendar days of discovery. High vulnerabilities must be resolved within 30 days.</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bCs w:val="1"/>
          <w:rtl w:val="0"/>
        </w:rPr>
        <w:t xml:space="preserve">Phishing Fail Rate:</w:t>
      </w:r>
      <w:r w:rsidDel="00000000" w:rsidR="00000000" w:rsidRPr="00000000">
        <w:rPr>
          <w:rtl w:val="0"/>
        </w:rPr>
        <w:t xml:space="preserve"> The percentage of staff failing simulated quarterly internal phishing tests must remain below 4%.</w:t>
      </w:r>
    </w:p>
    <w:p w:rsidR="00000000" w:rsidDel="00000000" w:rsidP="00000000" w:rsidRDefault="00000000" w:rsidRPr="00000000" w14:paraId="00000049">
      <w:pPr>
        <w:pStyle w:val="Heading2"/>
        <w:keepNext w:val="0"/>
        <w:keepLines w:val="0"/>
        <w:spacing w:after="80" w:lineRule="auto"/>
        <w:rPr>
          <w:b w:val="1"/>
          <w:bCs w:val="1"/>
          <w:sz w:val="24"/>
          <w:szCs w:val="24"/>
        </w:rPr>
      </w:pPr>
      <w:bookmarkStart w:colFirst="0" w:colLast="0" w:name="_m6ovxilv94iq" w:id="19"/>
      <w:bookmarkEnd w:id="19"/>
      <w:r w:rsidDel="00000000" w:rsidR="00000000" w:rsidRPr="00000000">
        <w:rPr>
          <w:b w:val="1"/>
          <w:bCs w:val="1"/>
          <w:sz w:val="24"/>
          <w:szCs w:val="24"/>
          <w:rtl w:val="0"/>
        </w:rPr>
        <w:t xml:space="preserve">5.2 Plan Maintenance and Event-Driven Triggers</w:t>
      </w:r>
    </w:p>
    <w:p w:rsidR="00000000" w:rsidDel="00000000" w:rsidP="00000000" w:rsidRDefault="00000000" w:rsidRPr="00000000" w14:paraId="0000004A">
      <w:pPr>
        <w:spacing w:after="240" w:before="240" w:lineRule="auto"/>
        <w:rPr/>
      </w:pPr>
      <w:r w:rsidDel="00000000" w:rsidR="00000000" w:rsidRPr="00000000">
        <w:rPr>
          <w:rtl w:val="0"/>
        </w:rPr>
        <w:t xml:space="preserve">This ISPP is subject to systematic maintenance routines: [8]</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Annual Review:</w:t>
      </w:r>
      <w:r w:rsidDel="00000000" w:rsidR="00000000" w:rsidRPr="00000000">
        <w:rPr>
          <w:rtl w:val="0"/>
        </w:rPr>
        <w:t xml:space="preserve"> This plan is audited and revised every calendar year to reflect technical and environmental updates.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bCs w:val="1"/>
          <w:rtl w:val="0"/>
        </w:rPr>
        <w:t xml:space="preserve">Event-Driven Revisions:</w:t>
      </w:r>
      <w:r w:rsidDel="00000000" w:rsidR="00000000" w:rsidRPr="00000000">
        <w:rPr>
          <w:rtl w:val="0"/>
        </w:rPr>
        <w:t xml:space="preserve"> Immediate updates are triggered outside standard revision schedules if major organizational structure changes occur, massive architectural modifications take place, or a critical security breach occurs. [8]</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sz w:val="30"/>
          <w:szCs w:val="30"/>
        </w:rPr>
      </w:pPr>
      <w:bookmarkStart w:colFirst="0" w:colLast="0" w:name="_kagnxp2s9xq6" w:id="20"/>
      <w:bookmarkEnd w:id="2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sz w:val="30"/>
          <w:szCs w:val="30"/>
        </w:rPr>
      </w:pPr>
      <w:bookmarkStart w:colFirst="0" w:colLast="0" w:name="_k7zrjaapxayb" w:id="21"/>
      <w:bookmarkEnd w:id="21"/>
      <w:r w:rsidDel="00000000" w:rsidR="00000000" w:rsidRPr="00000000">
        <w:rPr>
          <w:sz w:val="30"/>
          <w:szCs w:val="30"/>
          <w:rtl w:val="0"/>
        </w:rPr>
        <w:t xml:space="preserve">6. Executive Sign-Off &amp; Approvals</w:t>
      </w:r>
    </w:p>
    <w:p w:rsidR="00000000" w:rsidDel="00000000" w:rsidP="00000000" w:rsidRDefault="00000000" w:rsidRPr="00000000" w14:paraId="00000050">
      <w:pPr>
        <w:spacing w:after="240" w:before="240" w:lineRule="auto"/>
        <w:rPr/>
      </w:pPr>
      <w:r w:rsidDel="00000000" w:rsidR="00000000" w:rsidRPr="00000000">
        <w:rPr>
          <w:rtl w:val="0"/>
        </w:rPr>
        <w:t xml:space="preserve">By signing below, the executive management team formally accepts the duties, programmatic structures, and risk methodologies outlined within this DTO Information Security Program Plan. [1, 4]</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Chief Information Security Officer (CISO):</w:t>
      </w:r>
    </w:p>
    <w:p w:rsidR="00000000" w:rsidDel="00000000" w:rsidP="00000000" w:rsidRDefault="00000000" w:rsidRPr="00000000" w14:paraId="00000052">
      <w:pPr>
        <w:spacing w:after="240" w:before="240" w:lineRule="auto"/>
        <w:rPr>
          <w:rFonts w:ascii="Roboto Mono" w:cs="Roboto Mono" w:eastAsia="Roboto Mono" w:hAnsi="Roboto Mono"/>
          <w:color w:val="188038"/>
          <w:shd w:fill="f4f6f7" w:val="clear"/>
        </w:rPr>
      </w:pPr>
      <w:r w:rsidDel="00000000" w:rsidR="00000000" w:rsidRPr="00000000">
        <w:rPr>
          <w:i w:val="1"/>
          <w:iCs w:val="1"/>
          <w:rtl w:val="0"/>
        </w:rPr>
        <w:t xml:space="preserve">Signature: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Electronically Signed by: Jane Doe, CISO</w:t>
      </w:r>
    </w:p>
    <w:p w:rsidR="00000000" w:rsidDel="00000000" w:rsidP="00000000" w:rsidRDefault="00000000" w:rsidRPr="00000000" w14:paraId="00000053">
      <w:pPr>
        <w:spacing w:after="240" w:before="240" w:lineRule="auto"/>
        <w:rPr/>
      </w:pPr>
      <w:r w:rsidDel="00000000" w:rsidR="00000000" w:rsidRPr="00000000">
        <w:rPr>
          <w:i w:val="1"/>
          <w:iCs w:val="1"/>
          <w:rtl w:val="0"/>
        </w:rPr>
        <w:t xml:space="preserve">Date:</w:t>
      </w:r>
      <w:r w:rsidDel="00000000" w:rsidR="00000000" w:rsidRPr="00000000">
        <w:rPr>
          <w:rtl w:val="0"/>
        </w:rPr>
        <w:t xml:space="preserve"> June 6, 2026</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Chief Information Officer (CIO):</w:t>
      </w:r>
    </w:p>
    <w:p w:rsidR="00000000" w:rsidDel="00000000" w:rsidP="00000000" w:rsidRDefault="00000000" w:rsidRPr="00000000" w14:paraId="00000055">
      <w:pPr>
        <w:spacing w:after="240" w:before="240" w:lineRule="auto"/>
        <w:rPr>
          <w:rFonts w:ascii="Roboto Mono" w:cs="Roboto Mono" w:eastAsia="Roboto Mono" w:hAnsi="Roboto Mono"/>
          <w:color w:val="188038"/>
          <w:shd w:fill="f4f6f7" w:val="clear"/>
        </w:rPr>
      </w:pPr>
      <w:r w:rsidDel="00000000" w:rsidR="00000000" w:rsidRPr="00000000">
        <w:rPr>
          <w:i w:val="1"/>
          <w:iCs w:val="1"/>
          <w:rtl w:val="0"/>
        </w:rPr>
        <w:t xml:space="preserve">Signature: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Electronically Signed by: John Smith, CIO</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Date:</w:t>
      </w:r>
      <w:r w:rsidDel="00000000" w:rsidR="00000000" w:rsidRPr="00000000">
        <w:rPr>
          <w:rtl w:val="0"/>
        </w:rPr>
        <w:t xml:space="preserve"> June 6, 2026</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DTO Director (Authorizing Official):</w:t>
      </w:r>
    </w:p>
    <w:p w:rsidR="00000000" w:rsidDel="00000000" w:rsidP="00000000" w:rsidRDefault="00000000" w:rsidRPr="00000000" w14:paraId="00000058">
      <w:pPr>
        <w:spacing w:after="240" w:before="240" w:lineRule="auto"/>
        <w:rPr>
          <w:rFonts w:ascii="Roboto Mono" w:cs="Roboto Mono" w:eastAsia="Roboto Mono" w:hAnsi="Roboto Mono"/>
          <w:color w:val="188038"/>
          <w:shd w:fill="f4f6f7" w:val="clear"/>
        </w:rPr>
      </w:pPr>
      <w:r w:rsidDel="00000000" w:rsidR="00000000" w:rsidRPr="00000000">
        <w:rPr>
          <w:i w:val="1"/>
          <w:iCs w:val="1"/>
          <w:rtl w:val="0"/>
        </w:rPr>
        <w:t xml:space="preserve">Signature: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Electronically Signed by: Alice Johnson, Director</w:t>
      </w:r>
    </w:p>
    <w:p w:rsidR="00000000" w:rsidDel="00000000" w:rsidP="00000000" w:rsidRDefault="00000000" w:rsidRPr="00000000" w14:paraId="00000059">
      <w:pPr>
        <w:spacing w:after="240" w:before="240" w:lineRule="auto"/>
        <w:rPr/>
      </w:pPr>
      <w:r w:rsidDel="00000000" w:rsidR="00000000" w:rsidRPr="00000000">
        <w:rPr>
          <w:i w:val="1"/>
          <w:iCs w:val="1"/>
          <w:rtl w:val="0"/>
        </w:rPr>
        <w:t xml:space="preserve">Date:</w:t>
      </w:r>
      <w:r w:rsidDel="00000000" w:rsidR="00000000" w:rsidRPr="00000000">
        <w:rPr>
          <w:rtl w:val="0"/>
        </w:rPr>
        <w:t xml:space="preserve"> June 6,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