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Revisión de Casos de Prueba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440"/>
        <w:gridCol w:w="5475"/>
        <w:gridCol w:w="975"/>
        <w:tblGridChange w:id="0">
          <w:tblGrid>
            <w:gridCol w:w="1005"/>
            <w:gridCol w:w="1440"/>
            <w:gridCol w:w="5475"/>
            <w:gridCol w:w="97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N° Caso de Prueba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Nombre Caso de Prueba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Exitoso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243263" cy="1553112"/>
                  <wp:effectExtent b="0" l="0" r="0" t="0"/>
                  <wp:docPr descr="Imagen" id="6" name="image6.png"/>
                  <a:graphic>
                    <a:graphicData uri="http://schemas.openxmlformats.org/drawingml/2006/picture">
                      <pic:pic>
                        <pic:nvPicPr>
                          <pic:cNvPr descr="Imagen"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263" cy="15531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343275" cy="584200"/>
                  <wp:effectExtent b="0" l="0" r="0" t="0"/>
                  <wp:docPr descr="Imagen" id="4" name="image1.png"/>
                  <a:graphic>
                    <a:graphicData uri="http://schemas.openxmlformats.org/drawingml/2006/picture">
                      <pic:pic>
                        <pic:nvPicPr>
                          <pic:cNvPr descr="Imagen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Olvido de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343275" cy="1866900"/>
                  <wp:effectExtent b="0" l="0" r="0" t="0"/>
                  <wp:docPr descr="Imagen" id="8" name="image4.png"/>
                  <a:graphic>
                    <a:graphicData uri="http://schemas.openxmlformats.org/drawingml/2006/picture">
                      <pic:pic>
                        <pic:nvPicPr>
                          <pic:cNvPr descr="Imagen"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Botón "Conócenos"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343275" cy="1612900"/>
                  <wp:effectExtent b="0" l="0" r="0" t="0"/>
                  <wp:docPr descr="Imagen" id="9" name="image3.png"/>
                  <a:graphic>
                    <a:graphicData uri="http://schemas.openxmlformats.org/drawingml/2006/picture">
                      <pic:pic>
                        <pic:nvPicPr>
                          <pic:cNvPr descr="Imagen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Preguntas más frecuentes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343275" cy="1054100"/>
                  <wp:effectExtent b="0" l="0" r="0" t="0"/>
                  <wp:docPr descr="Imagen" id="2" name="image2.png"/>
                  <a:graphic>
                    <a:graphicData uri="http://schemas.openxmlformats.org/drawingml/2006/picture">
                      <pic:pic>
                        <pic:nvPicPr>
                          <pic:cNvPr descr="Imagen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Elegir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343275" cy="1625600"/>
                  <wp:effectExtent b="0" l="0" r="0" t="0"/>
                  <wp:docPr descr="Imagen" id="3" name="image7.png"/>
                  <a:graphic>
                    <a:graphicData uri="http://schemas.openxmlformats.org/drawingml/2006/picture">
                      <pic:pic>
                        <pic:nvPicPr>
                          <pic:cNvPr descr="Imagen"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Redes sociales - 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343275" cy="1625600"/>
                  <wp:effectExtent b="0" l="0" r="0" t="0"/>
                  <wp:docPr descr="Imagen" id="7" name="image7.png"/>
                  <a:graphic>
                    <a:graphicData uri="http://schemas.openxmlformats.org/drawingml/2006/picture">
                      <pic:pic>
                        <pic:nvPicPr>
                          <pic:cNvPr descr="Imagen"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CP029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Redirecciones - 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343275" cy="1612900"/>
                  <wp:effectExtent b="0" l="0" r="0" t="0"/>
                  <wp:docPr descr="Imagen" id="5" name="image5.png"/>
                  <a:graphic>
                    <a:graphicData uri="http://schemas.openxmlformats.org/drawingml/2006/picture">
                      <pic:pic>
                        <pic:nvPicPr>
                          <pic:cNvPr descr="Imagen"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El caso de prueba </w:t>
      </w:r>
      <w:r w:rsidDel="00000000" w:rsidR="00000000" w:rsidRPr="00000000">
        <w:rPr>
          <w:b w:val="1"/>
          <w:rtl w:val="0"/>
        </w:rPr>
        <w:t xml:space="preserve">CP029 Redirecciones - Footer</w:t>
      </w:r>
      <w:r w:rsidDel="00000000" w:rsidR="00000000" w:rsidRPr="00000000">
        <w:rPr>
          <w:rtl w:val="0"/>
        </w:rPr>
        <w:t xml:space="preserve"> presentó bugs. </w:t>
      </w:r>
      <w:r w:rsidDel="00000000" w:rsidR="00000000" w:rsidRPr="00000000">
        <w:rPr>
          <w:color w:val="222222"/>
          <w:highlight w:val="white"/>
          <w:rtl w:val="0"/>
        </w:rPr>
        <w:t xml:space="preserve">El resultado esperado es "Visualizar la sección correspondiente en la página de inicio", los hipervínculos deben redireccionar a la sección que mencionan, por ejemplo, el hipervínculo "equipo" debería llevar a la sección que muestra los integrantes del equipo, pero la acción que realiza es que recarga la página de inicio, esto sucede con los 4 hipervínculos.</w:t>
      </w:r>
    </w:p>
    <w:p w:rsidR="00000000" w:rsidDel="00000000" w:rsidP="00000000" w:rsidRDefault="00000000" w:rsidRPr="00000000" w14:paraId="00000027">
      <w:pPr>
        <w:spacing w:after="240" w:before="240" w:lineRule="auto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Evidencia del correo al equipo de desarrollo sobre el respectivo bug:</w:t>
      </w:r>
    </w:p>
    <w:p w:rsidR="00000000" w:rsidDel="00000000" w:rsidP="00000000" w:rsidRDefault="00000000" w:rsidRPr="00000000" w14:paraId="00000028">
      <w:pPr>
        <w:spacing w:after="240" w:before="240" w:lineRule="auto"/>
        <w:jc w:val="left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5731200" cy="21336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8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