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University Management System</w:t>
      </w:r>
    </w:p>
    <w:p>
      <w:pPr>
        <w:pStyle w:val="Subtitle"/>
      </w:pPr>
      <w:r>
        <w:t xml:space="preserve">Project analysis and question-answer guide</w:t>
      </w:r>
    </w:p>
    <w:p>
      <w:pPr>
        <w:pStyle w:val="Meta"/>
      </w:pPr>
      <w:r>
        <w:t xml:space="preserve">Generated on 2026-09-02 from custom/school_management.</w:t>
      </w:r>
    </w:p>
    <w:p>
      <w:r>
        <w:t xml:space="preserve"/>
      </w:r>
    </w:p>
    <w:p>
      <w:pPr>
        <w:pStyle w:val="Answer"/>
      </w:pPr>
      <w:r>
        <w:t xml:space="preserve">This document analyzes the custom Odoo addon in your workspace. It explains what the project does, how the models connect, how users work with it, what is already finished, and what should be improved next.</w:t>
      </w:r>
    </w:p>
    <w:p>
      <w:pPr>
        <w:pStyle w:val="Heading1"/>
      </w:pPr>
      <w:r>
        <w:t xml:space="preserve">Executive Summary</w:t>
      </w:r>
    </w:p>
    <w:p>
      <w:pPr>
        <w:pStyle w:val="Question"/>
      </w:pPr>
      <w:r>
        <w:t xml:space="preserve">Q1. What is this project?</w:t>
      </w:r>
    </w:p>
    <w:p>
      <w:pPr>
        <w:pStyle w:val="Answer"/>
      </w:pPr>
      <w:r>
        <w:t xml:space="preserve">It is an Odoo 19 custom addon named school_management, displayed to users as University Management System. It is a university ERP module for faculties, departments, programs, subjects, students, teachers, academic years, semesters, class sections, enrollments, fee invoices, payments, reports, and a custom dashboard.</w:t>
      </w:r>
    </w:p>
    <w:p>
      <w:pPr>
        <w:pStyle w:val="Question"/>
      </w:pPr>
      <w:r>
        <w:t xml:space="preserve">Q2. Where is the project located?</w:t>
      </w:r>
    </w:p>
    <w:p>
      <w:pPr>
        <w:pStyle w:val="Answer"/>
      </w:pPr>
      <w:r>
        <w:t xml:space="preserve">The addon is located at custom/school_management. Important folders include models for Python business logic, views for XML user interfaces, wizard for transient enrollment flows, reports for QWeb PDF reports, data for sequences and seed records, security for access rights, static for OWL/SCSS frontend assets, and document for project notes and this generated report.</w:t>
      </w:r>
    </w:p>
    <w:p>
      <w:pPr>
        <w:pStyle w:val="Question"/>
      </w:pPr>
      <w:r>
        <w:t xml:space="preserve">Q3. What Odoo modules does it depend on?</w:t>
      </w:r>
    </w:p>
    <w:p>
      <w:pPr>
        <w:pStyle w:val="Answer"/>
      </w:pPr>
      <w:r>
        <w:t xml:space="preserve">The manifest depends on base, mail, and web. base provides core ORM behavior, mail enables chatter and activities on students and teachers, and web is required for the custom OWL dashboard and web client layout assets.</w:t>
      </w:r>
    </w:p>
    <w:p>
      <w:pPr>
        <w:pStyle w:val="Question"/>
      </w:pPr>
      <w:r>
        <w:t xml:space="preserve">Q4. Is it an installable Odoo application?</w:t>
      </w:r>
    </w:p>
    <w:p>
      <w:pPr>
        <w:pStyle w:val="Answer"/>
      </w:pPr>
      <w:r>
        <w:t xml:space="preserve">Yes. The manifest sets installable to True and application to True, so it appears as a full Odoo application rather than only a technical dependency module.</w:t>
      </w:r>
    </w:p>
    <w:p>
      <w:pPr>
        <w:pStyle w:val="Heading1"/>
      </w:pPr>
      <w:r>
        <w:t xml:space="preserve">Architecture And Data Model</w:t>
      </w:r>
    </w:p>
    <w:p>
      <w:pPr>
        <w:pStyle w:val="Question"/>
      </w:pPr>
      <w:r>
        <w:t xml:space="preserve">Q5. What is the main architecture?</w:t>
      </w:r>
    </w:p>
    <w:p>
      <w:pPr>
        <w:pStyle w:val="Answer"/>
      </w:pPr>
      <w:r>
        <w:t xml:space="preserve">The module is organized around five practical layers: organizational structure, people, academic activity, finance, and dashboard/reporting. Structure holds faculties, departments, programs, subjects, classrooms, and class sections. People holds students and teachers. Academic activity connects students to class sections through enrollments. Finance connects students to fee invoices and payments.</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80" w:type="dxa"/>
          <w:bottom w:w="80" w:type="dxa"/>
          <w:start w:w="120" w:type="dxa"/>
          <w:end w:w="120" w:type="dxa"/>
        </w:tblCellMar>
      </w:tblPr>
      <w:tblGrid>
        <w:gridCol w:w="2200"/>
        <w:gridCol w:w="7160"/>
      </w:tblGrid>
      <w:tr>
        <w:tc>
          <w:tcPr>
            <w:tcW w:w="2200" w:type="dxa"/>
            <w:shd w:fill="E8EEF5"/>
          </w:tcPr>
          <w:p>
            <w:pPr>
              <w:pStyle w:val="TableHeader"/>
            </w:pPr>
            <w:r>
              <w:t xml:space="preserve">Layer</w:t>
            </w:r>
          </w:p>
        </w:tc>
        <w:tc>
          <w:tcPr>
            <w:tcW w:w="7160" w:type="dxa"/>
            <w:shd w:fill="E8EEF5"/>
          </w:tcPr>
          <w:p>
            <w:pPr>
              <w:pStyle w:val="TableHeader"/>
            </w:pPr>
            <w:r>
              <w:t xml:space="preserve">Main models</w:t>
            </w:r>
          </w:p>
        </w:tc>
      </w:tr>
      <w:tr>
        <w:tc>
          <w:tcPr>
            <w:tcW w:w="2200" w:type="dxa"/>
          </w:tcPr>
          <w:p>
            <w:pPr>
              <w:pStyle w:val="TableBody"/>
            </w:pPr>
            <w:r>
              <w:t xml:space="preserve">Structure</w:t>
            </w:r>
          </w:p>
        </w:tc>
        <w:tc>
          <w:tcPr>
            <w:tcW w:w="7160" w:type="dxa"/>
          </w:tcPr>
          <w:p>
            <w:pPr>
              <w:pStyle w:val="TableBody"/>
            </w:pPr>
            <w:r>
              <w:t xml:space="preserve">university.faculty, university.department, university.program, university.subject, university.classroom, university.class.section</w:t>
            </w:r>
          </w:p>
        </w:tc>
      </w:tr>
      <w:tr>
        <w:tc>
          <w:tcPr>
            <w:tcW w:w="2200" w:type="dxa"/>
          </w:tcPr>
          <w:p>
            <w:pPr>
              <w:pStyle w:val="TableBody"/>
            </w:pPr>
            <w:r>
              <w:t xml:space="preserve">People</w:t>
            </w:r>
          </w:p>
        </w:tc>
        <w:tc>
          <w:tcPr>
            <w:tcW w:w="7160" w:type="dxa"/>
          </w:tcPr>
          <w:p>
            <w:pPr>
              <w:pStyle w:val="TableBody"/>
            </w:pPr>
            <w:r>
              <w:t xml:space="preserve">university.student, university.teacher</w:t>
            </w:r>
          </w:p>
        </w:tc>
      </w:tr>
      <w:tr>
        <w:tc>
          <w:tcPr>
            <w:tcW w:w="2200" w:type="dxa"/>
          </w:tcPr>
          <w:p>
            <w:pPr>
              <w:pStyle w:val="TableBody"/>
            </w:pPr>
            <w:r>
              <w:t xml:space="preserve">Academic activity</w:t>
            </w:r>
          </w:p>
        </w:tc>
        <w:tc>
          <w:tcPr>
            <w:tcW w:w="7160" w:type="dxa"/>
          </w:tcPr>
          <w:p>
            <w:pPr>
              <w:pStyle w:val="TableBody"/>
            </w:pPr>
            <w:r>
              <w:t xml:space="preserve">university.academic.year, university.semester, university.enrollment, enrollment wizards</w:t>
            </w:r>
          </w:p>
        </w:tc>
      </w:tr>
      <w:tr>
        <w:tc>
          <w:tcPr>
            <w:tcW w:w="2200" w:type="dxa"/>
          </w:tcPr>
          <w:p>
            <w:pPr>
              <w:pStyle w:val="TableBody"/>
            </w:pPr>
            <w:r>
              <w:t xml:space="preserve">Finance</w:t>
            </w:r>
          </w:p>
        </w:tc>
        <w:tc>
          <w:tcPr>
            <w:tcW w:w="7160" w:type="dxa"/>
          </w:tcPr>
          <w:p>
            <w:pPr>
              <w:pStyle w:val="TableBody"/>
            </w:pPr>
            <w:r>
              <w:t xml:space="preserve">university.fee, university.fee.line, university.payment</w:t>
            </w:r>
          </w:p>
        </w:tc>
      </w:tr>
      <w:tr>
        <w:tc>
          <w:tcPr>
            <w:tcW w:w="2200" w:type="dxa"/>
          </w:tcPr>
          <w:p>
            <w:pPr>
              <w:pStyle w:val="TableBody"/>
            </w:pPr>
            <w:r>
              <w:t xml:space="preserve">Dashboard</w:t>
            </w:r>
          </w:p>
        </w:tc>
        <w:tc>
          <w:tcPr>
            <w:tcW w:w="7160" w:type="dxa"/>
          </w:tcPr>
          <w:p>
            <w:pPr>
              <w:pStyle w:val="TableBody"/>
            </w:pPr>
            <w:r>
              <w:t xml:space="preserve">school.dashboard plus OWL dashboard shell</w:t>
            </w:r>
          </w:p>
        </w:tc>
      </w:tr>
    </w:tbl>
    <w:p>
      <w:pPr>
        <w:pStyle w:val="Question"/>
      </w:pPr>
      <w:r>
        <w:t xml:space="preserve">Q6. How are faculties, departments, and programs connected?</w:t>
      </w:r>
    </w:p>
    <w:p>
      <w:pPr>
        <w:pStyle w:val="Answer"/>
      </w:pPr>
      <w:r>
        <w:t xml:space="preserve">A faculty has many departments. A department belongs to one faculty and can have many programs, teachers, and subjects. A program belongs to one department and can link to many subjects through a many-to-many relation.</w:t>
      </w:r>
    </w:p>
    <w:p>
      <w:pPr>
        <w:pStyle w:val="Question"/>
      </w:pPr>
      <w:r>
        <w:t xml:space="preserve">Q7. How are subjects and class sections different?</w:t>
      </w:r>
    </w:p>
    <w:p>
      <w:pPr>
        <w:pStyle w:val="Answer"/>
      </w:pPr>
      <w:r>
        <w:t xml:space="preserve">A subject is the course definition, such as Database Management Systems, including code, credits, department, semester number, programs, teachers, and description. A class section is an offering of a subject in a specific semester with one instructor, optional classroom, capacity, and enrolled students.</w:t>
      </w:r>
    </w:p>
    <w:p>
      <w:pPr>
        <w:pStyle w:val="Question"/>
      </w:pPr>
      <w:r>
        <w:t xml:space="preserve">Q8. How does student enrollment work in the database?</w:t>
      </w:r>
    </w:p>
    <w:p>
      <w:pPr>
        <w:pStyle w:val="Answer"/>
      </w:pPr>
      <w:r>
        <w:t xml:space="preserve">Students do not enroll directly in subjects. They enroll in university.class.section through university.enrollment. The enrollment stores student, section, enrollment date, and status, while subject, teacher, academic year, semester, and faculty are stored related fields derived from the section or student.</w:t>
      </w:r>
    </w:p>
    <w:p>
      <w:pPr>
        <w:pStyle w:val="Question"/>
      </w:pPr>
      <w:r>
        <w:t xml:space="preserve">Q9. What prevents duplicate enrollments?</w:t>
      </w:r>
    </w:p>
    <w:p>
      <w:pPr>
        <w:pStyle w:val="Answer"/>
      </w:pPr>
      <w:r>
        <w:t xml:space="preserve">The university.enrollment model defines an SQL constraint named student_section_unique. It enforces one enrollment record per student and class section pair, preventing duplicate records at the database level.</w:t>
      </w:r>
    </w:p>
    <w:p>
      <w:pPr>
        <w:pStyle w:val="Question"/>
      </w:pPr>
      <w:r>
        <w:t xml:space="preserve">Q10. How is teacher eligibility enforced for class sections?</w:t>
      </w:r>
    </w:p>
    <w:p>
      <w:pPr>
        <w:pStyle w:val="Answer"/>
      </w:pPr>
      <w:r>
        <w:t xml:space="preserve">university.class.section has a constraint on teacher_id and subject_id. If the subject has assigned teachers, the selected instructor must be one of those teachers. This keeps sections aligned with subject teaching assignments.</w:t>
      </w:r>
    </w:p>
    <w:p>
      <w:pPr>
        <w:pStyle w:val="Heading1"/>
      </w:pPr>
      <w:r>
        <w:t xml:space="preserve">Core Features</w:t>
      </w:r>
    </w:p>
    <w:p>
      <w:pPr>
        <w:pStyle w:val="Question"/>
      </w:pPr>
      <w:r>
        <w:t xml:space="preserve">Q11. What can the Student model store?</w:t>
      </w:r>
    </w:p>
    <w:p>
      <w:pPr>
        <w:pStyle w:val="Answer"/>
      </w:pPr>
      <w:r>
        <w:t xml:space="preserve">The student model stores identity, photo, date of birth, gender, contact details, emergency contact, faculty, department, program, academic year, current semester, status, notes, enrollments, fee invoices, payments, and computed fee totals. It also inherits mail.thread and mail.activity.mixin.</w:t>
      </w:r>
    </w:p>
    <w:p>
      <w:pPr>
        <w:pStyle w:val="Question"/>
      </w:pPr>
      <w:r>
        <w:t xml:space="preserve">Q12. What can the Teacher model store?</w:t>
      </w:r>
    </w:p>
    <w:p>
      <w:pPr>
        <w:pStyle w:val="Answer"/>
      </w:pPr>
      <w:r>
        <w:t xml:space="preserve">The teacher model stores identity, photo, gender, date of birth, contact details, department, specialization, qualification, active status, assigned subjects, and class sections. It also inherits mail.thread and mail.activity.mixin.</w:t>
      </w:r>
    </w:p>
    <w:p>
      <w:pPr>
        <w:pStyle w:val="Question"/>
      </w:pPr>
      <w:r>
        <w:t xml:space="preserve">Q13. What does the Academic Year model provide?</w:t>
      </w:r>
    </w:p>
    <w:p>
      <w:pPr>
        <w:pStyle w:val="Answer"/>
      </w:pPr>
      <w:r>
        <w:t xml:space="preserve">university.academic.year stores name, start date, end date, current flag, active flag, and related semesters. university.semester belongs to an academic year and stores semester type, start date, end date, and active flag.</w:t>
      </w:r>
    </w:p>
    <w:p>
      <w:pPr>
        <w:pStyle w:val="Question"/>
      </w:pPr>
      <w:r>
        <w:t xml:space="preserve">Q14. What does the Classroom model provide?</w:t>
      </w:r>
    </w:p>
    <w:p>
      <w:pPr>
        <w:pStyle w:val="Answer"/>
      </w:pPr>
      <w:r>
        <w:t xml:space="preserve">university.classroom stores room name or number, building, capacity, room type, and active status. Class sections can optionally point to classrooms.</w:t>
      </w:r>
    </w:p>
    <w:p>
      <w:pPr>
        <w:pStyle w:val="Question"/>
      </w:pPr>
      <w:r>
        <w:t xml:space="preserve">Q15. What enrollment wizards are available?</w:t>
      </w:r>
    </w:p>
    <w:p>
      <w:pPr>
        <w:pStyle w:val="Answer"/>
      </w:pPr>
      <w:r>
        <w:t xml:space="preserve">There are two transient wizards. university.enrollment.wizard supports bulk enrollment of many active students from a selected program into one section. university.student.enrollment.wizard supports registering one student into multiple class sections with optional academic-year and semester filters.</w:t>
      </w:r>
    </w:p>
    <w:p>
      <w:pPr>
        <w:pStyle w:val="Question"/>
      </w:pPr>
      <w:r>
        <w:t xml:space="preserve">Q16. What validation do the enrollment wizards perform?</w:t>
      </w:r>
    </w:p>
    <w:p>
      <w:pPr>
        <w:pStyle w:val="Answer"/>
      </w:pPr>
      <w:r>
        <w:t xml:space="preserve">The bulk wizard checks that students are selected, the subject belongs to the chosen program or department, existing enrolled students are skipped, and section capacity is not exceeded. The student registration wizard checks selected sections, skips already enrolled sections, and blocks sections that are full.</w:t>
      </w:r>
    </w:p>
    <w:p>
      <w:pPr>
        <w:pStyle w:val="Heading1"/>
      </w:pPr>
      <w:r>
        <w:t xml:space="preserve">Finance Workflow</w:t>
      </w:r>
    </w:p>
    <w:p>
      <w:pPr>
        <w:pStyle w:val="Question"/>
      </w:pPr>
      <w:r>
        <w:t xml:space="preserve">Q17. How does the fee invoice workflow work?</w:t>
      </w:r>
    </w:p>
    <w:p>
      <w:pPr>
        <w:pStyle w:val="Answer"/>
      </w:pPr>
      <w:r>
        <w:t xml:space="preserve">A fee invoice starts in draft with reference New. On create, it receives an INV- sequence. Users add fee lines, then confirm the invoice. Confirmed invoices move to posted. Posted payments increase paid_amount and reduce balance. If balance is zero or negative and total is positive, the invoice moves to paid.</w:t>
      </w:r>
    </w:p>
    <w:p>
      <w:pPr>
        <w:pStyle w:val="Question"/>
      </w:pPr>
      <w:r>
        <w:t xml:space="preserve">Q18. What are the fee invoice states?</w:t>
      </w:r>
    </w:p>
    <w:p>
      <w:pPr>
        <w:pStyle w:val="Answer"/>
      </w:pPr>
      <w:r>
        <w:t xml:space="preserve">The fee invoice states are draft, posted, paid, and canceled. Draft means editable. Posted means confirmed and payable. Paid means posted payments cover the total. Canceled means voided, but cancellation is blocked when posted payments already exist.</w:t>
      </w:r>
    </w:p>
    <w:p>
      <w:pPr>
        <w:pStyle w:val="Question"/>
      </w:pPr>
      <w:r>
        <w:t xml:space="preserve">Q19. How does payment posting work?</w:t>
      </w:r>
    </w:p>
    <w:p>
      <w:pPr>
        <w:pStyle w:val="Answer"/>
      </w:pPr>
      <w:r>
        <w:t xml:space="preserve">A payment starts in draft and receives a PAY- sequence on create. When posted, the amount must be strictly positive. If linked to a fee invoice, the fee totals are recomputed. Posted payments count toward paid_amount; canceled payments do not.</w:t>
      </w:r>
    </w:p>
    <w:p>
      <w:pPr>
        <w:pStyle w:val="Question"/>
      </w:pPr>
      <w:r>
        <w:t xml:space="preserve">Q20. Is Odoo Accounting used?</w:t>
      </w:r>
    </w:p>
    <w:p>
      <w:pPr>
        <w:pStyle w:val="Answer"/>
      </w:pPr>
      <w:r>
        <w:t xml:space="preserve">No. The finance layer is standalone and does not depend on the account module. It is suitable for simple student billing, but it is not a full accounting or reconciliation system.</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80" w:type="dxa"/>
          <w:bottom w:w="80" w:type="dxa"/>
          <w:start w:w="120" w:type="dxa"/>
          <w:end w:w="120" w:type="dxa"/>
        </w:tblCellMar>
      </w:tblPr>
      <w:tblGrid>
        <w:gridCol w:w="3900"/>
        <w:gridCol w:w="5460"/>
      </w:tblGrid>
      <w:tr>
        <w:tc>
          <w:tcPr>
            <w:tcW w:w="3900" w:type="dxa"/>
            <w:shd w:fill="E8EEF5"/>
          </w:tcPr>
          <w:p>
            <w:pPr>
              <w:pStyle w:val="TableHeader"/>
            </w:pPr>
            <w:r>
              <w:t xml:space="preserve">Business rule</w:t>
            </w:r>
          </w:p>
        </w:tc>
        <w:tc>
          <w:tcPr>
            <w:tcW w:w="5460" w:type="dxa"/>
            <w:shd w:fill="E8EEF5"/>
          </w:tcPr>
          <w:p>
            <w:pPr>
              <w:pStyle w:val="TableHeader"/>
            </w:pPr>
            <w:r>
              <w:t xml:space="preserve">Where enforced</w:t>
            </w:r>
          </w:p>
        </w:tc>
      </w:tr>
      <w:tr>
        <w:tc>
          <w:tcPr>
            <w:tcW w:w="3900" w:type="dxa"/>
          </w:tcPr>
          <w:p>
            <w:pPr>
              <w:pStyle w:val="TableBody"/>
            </w:pPr>
            <w:r>
              <w:t xml:space="preserve">Cannot post an empty fee invoice</w:t>
            </w:r>
          </w:p>
        </w:tc>
        <w:tc>
          <w:tcPr>
            <w:tcW w:w="5460" w:type="dxa"/>
          </w:tcPr>
          <w:p>
            <w:pPr>
              <w:pStyle w:val="TableBody"/>
            </w:pPr>
            <w:r>
              <w:t xml:space="preserve">university.fee.action_post</w:t>
            </w:r>
          </w:p>
        </w:tc>
      </w:tr>
      <w:tr>
        <w:tc>
          <w:tcPr>
            <w:tcW w:w="3900" w:type="dxa"/>
          </w:tcPr>
          <w:p>
            <w:pPr>
              <w:pStyle w:val="TableBody"/>
            </w:pPr>
            <w:r>
              <w:t xml:space="preserve">Cannot cancel a fee with posted payments</w:t>
            </w:r>
          </w:p>
        </w:tc>
        <w:tc>
          <w:tcPr>
            <w:tcW w:w="5460" w:type="dxa"/>
          </w:tcPr>
          <w:p>
            <w:pPr>
              <w:pStyle w:val="TableBody"/>
            </w:pPr>
            <w:r>
              <w:t xml:space="preserve">university.fee.action_cancel</w:t>
            </w:r>
          </w:p>
        </w:tc>
      </w:tr>
      <w:tr>
        <w:tc>
          <w:tcPr>
            <w:tcW w:w="3900" w:type="dxa"/>
          </w:tcPr>
          <w:p>
            <w:pPr>
              <w:pStyle w:val="TableBody"/>
            </w:pPr>
            <w:r>
              <w:t xml:space="preserve">Payment amount must be positive</w:t>
            </w:r>
          </w:p>
        </w:tc>
        <w:tc>
          <w:tcPr>
            <w:tcW w:w="5460" w:type="dxa"/>
          </w:tcPr>
          <w:p>
            <w:pPr>
              <w:pStyle w:val="TableBody"/>
            </w:pPr>
            <w:r>
              <w:t xml:space="preserve">university.payment.action_post</w:t>
            </w:r>
          </w:p>
        </w:tc>
      </w:tr>
      <w:tr>
        <w:tc>
          <w:tcPr>
            <w:tcW w:w="3900" w:type="dxa"/>
          </w:tcPr>
          <w:p>
            <w:pPr>
              <w:pStyle w:val="TableBody"/>
            </w:pPr>
            <w:r>
              <w:t xml:space="preserve">Only posted payments affect invoice balance</w:t>
            </w:r>
          </w:p>
        </w:tc>
        <w:tc>
          <w:tcPr>
            <w:tcW w:w="5460" w:type="dxa"/>
          </w:tcPr>
          <w:p>
            <w:pPr>
              <w:pStyle w:val="TableBody"/>
            </w:pPr>
            <w:r>
              <w:t xml:space="preserve">university.fee._compute_totals</w:t>
            </w:r>
          </w:p>
        </w:tc>
      </w:tr>
      <w:tr>
        <w:tc>
          <w:tcPr>
            <w:tcW w:w="3900" w:type="dxa"/>
          </w:tcPr>
          <w:p>
            <w:pPr>
              <w:pStyle w:val="TableBody"/>
            </w:pPr>
            <w:r>
              <w:t xml:space="preserve">Duplicate student-section enrollments are blocked</w:t>
            </w:r>
          </w:p>
        </w:tc>
        <w:tc>
          <w:tcPr>
            <w:tcW w:w="5460" w:type="dxa"/>
          </w:tcPr>
          <w:p>
            <w:pPr>
              <w:pStyle w:val="TableBody"/>
            </w:pPr>
            <w:r>
              <w:t xml:space="preserve">university.enrollment SQL constraint</w:t>
            </w:r>
          </w:p>
        </w:tc>
      </w:tr>
    </w:tbl>
    <w:p>
      <w:pPr>
        <w:pStyle w:val="Heading1"/>
      </w:pPr>
      <w:r>
        <w:t xml:space="preserve">Dashboard, UI, And Reports</w:t>
      </w:r>
    </w:p>
    <w:p>
      <w:pPr>
        <w:pStyle w:val="Question"/>
      </w:pPr>
      <w:r>
        <w:t xml:space="preserve">Q21. What does the dashboard show?</w:t>
      </w:r>
    </w:p>
    <w:p>
      <w:pPr>
        <w:pStyle w:val="Answer"/>
      </w:pPr>
      <w:r>
        <w:t xml:space="preserve">The school.dashboard model computes counts for students, student statuses, teachers, faculties, departments, programs, subjects, classrooms, class sections, enrollments, fee invoices, and payments. It also computes unpaid fees, paid fees, and a scholarship placeholder set to 0.0.</w:t>
      </w:r>
    </w:p>
    <w:p>
      <w:pPr>
        <w:pStyle w:val="Question"/>
      </w:pPr>
      <w:r>
        <w:t xml:space="preserve">Q22. What custom frontend work exists?</w:t>
      </w:r>
    </w:p>
    <w:p>
      <w:pPr>
        <w:pStyle w:val="Answer"/>
      </w:pPr>
      <w:r>
        <w:t xml:space="preserve">The module registers an OWL client action named school_dashboard_shell. It loads Chart.js, reads dashboard data through ORM calls, renders a student-status doughnut chart, renders a program-enrollment bar chart, and displays recent posted payments.</w:t>
      </w:r>
    </w:p>
    <w:p>
      <w:pPr>
        <w:pStyle w:val="Question"/>
      </w:pPr>
      <w:r>
        <w:t xml:space="preserve">Q23. What does the custom layout patch do?</w:t>
      </w:r>
    </w:p>
    <w:p>
      <w:pPr>
        <w:pStyle w:val="Answer"/>
      </w:pPr>
      <w:r>
        <w:t xml:space="preserve">The webclient patch detects when the current app, action tag, or model belongs to the university module. When active, it hides the standard Odoo navbar and wraps the action area in a custom SchoolLayout with a sidebar, topbar, and navigation buttons.</w:t>
      </w:r>
    </w:p>
    <w:p>
      <w:pPr>
        <w:pStyle w:val="Question"/>
      </w:pPr>
      <w:r>
        <w:t xml:space="preserve">Q24. What reports are implemented?</w:t>
      </w:r>
    </w:p>
    <w:p>
      <w:pPr>
        <w:pStyle w:val="Answer"/>
      </w:pPr>
      <w:r>
        <w:t xml:space="preserve">Two QWeb PDF report actions are present: Payment Receipt for university.payment and Semester Curriculum for university.program. A server action on enrollments can print curriculum reports for active programs that have at least five active students.</w:t>
      </w:r>
    </w:p>
    <w:p>
      <w:pPr>
        <w:pStyle w:val="Question"/>
      </w:pPr>
      <w:r>
        <w:t xml:space="preserve">Q25. What is the menu structure?</w:t>
      </w:r>
    </w:p>
    <w:p>
      <w:pPr>
        <w:pStyle w:val="Answer"/>
      </w:pPr>
      <w:r>
        <w:t xml:space="preserve">The root menu is University. Child areas include Dashboard, Structure, Students, Teachers, Academic, Enrollment, and Finance. These connect to window actions for faculties, departments, programs, students, teachers, academic years, semesters, subjects, class sections, classrooms, enrollments, fee invoices, and payments.</w:t>
      </w:r>
    </w:p>
    <w:p>
      <w:pPr>
        <w:pStyle w:val="Heading1"/>
      </w:pPr>
      <w:r>
        <w:t xml:space="preserve">Security And Access</w:t>
      </w:r>
    </w:p>
    <w:p>
      <w:pPr>
        <w:pStyle w:val="Question"/>
      </w:pPr>
      <w:r>
        <w:t xml:space="preserve">Q26. Who can access the models?</w:t>
      </w:r>
    </w:p>
    <w:p>
      <w:pPr>
        <w:pStyle w:val="Answer"/>
      </w:pPr>
      <w:r>
        <w:t xml:space="preserve">ir.model.access.csv grants base.group_user access to the module models. Most business models receive full create, read, update, and delete rights. The dashboard model gives internal users read access only.</w:t>
      </w:r>
    </w:p>
    <w:p>
      <w:pPr>
        <w:pStyle w:val="Question"/>
      </w:pPr>
      <w:r>
        <w:t xml:space="preserve">Q27. Are there custom security roles?</w:t>
      </w:r>
    </w:p>
    <w:p>
      <w:pPr>
        <w:pStyle w:val="Answer"/>
      </w:pPr>
      <w:r>
        <w:t xml:space="preserve">A group named School User exists in security/security.xml, but that XML file is not loaded in the manifest data list. In the current manifest, access rights use base.group_user rather than the custom group.</w:t>
      </w:r>
    </w:p>
    <w:p>
      <w:pPr>
        <w:pStyle w:val="Question"/>
      </w:pPr>
      <w:r>
        <w:t xml:space="preserve">Q28. Are there record rules?</w:t>
      </w:r>
    </w:p>
    <w:p>
      <w:pPr>
        <w:pStyle w:val="Answer"/>
      </w:pPr>
      <w:r>
        <w:t xml:space="preserve">No record rules were found in the reviewed security files. This means any internal user with access can generally see all records covered by the access CSV. For production, role-based groups and record rules should be added.</w:t>
      </w:r>
    </w:p>
    <w:p>
      <w:pPr>
        <w:pStyle w:val="Heading1"/>
      </w:pPr>
      <w:r>
        <w:t xml:space="preserve">Strengths</w:t>
      </w:r>
    </w:p>
    <w:p>
      <w:pPr>
        <w:pStyle w:val="Question"/>
      </w:pPr>
      <w:r>
        <w:t xml:space="preserve">Q29. What are the strongest parts of the project?</w:t>
      </w:r>
    </w:p>
    <w:p>
      <w:pPr>
        <w:pStyle w:val="Answer"/>
      </w:pPr>
      <w:r>
        <w:t xml:space="preserve">The project has a clear domain model, sensible separation between subject definitions and section offerings, practical enrollment validation, standalone billing with sequences and states, a custom dashboard, and QWeb report actions. The folder structure is also easy to follow.</w:t>
      </w:r>
    </w:p>
    <w:p>
      <w:pPr>
        <w:pStyle w:val="Question"/>
      </w:pPr>
      <w:r>
        <w:t xml:space="preserve">Q30. What makes the current design scalable?</w:t>
      </w:r>
    </w:p>
    <w:p>
      <w:pPr>
        <w:pStyle w:val="Answer"/>
      </w:pPr>
      <w:r>
        <w:t xml:space="preserve">The section-based enrollment model is a good foundation. It allows one subject to have many sections, each with different teachers, semesters, rooms, capacities, and enrolled students. This model can later support attendance, schedules, grades, transcripts, and timetable conflicts.</w:t>
      </w:r>
    </w:p>
    <w:p>
      <w:pPr>
        <w:pStyle w:val="Heading1"/>
      </w:pPr>
      <w:r>
        <w:t xml:space="preserve">Risks And Improvement Questions</w:t>
      </w:r>
    </w:p>
    <w:p>
      <w:pPr>
        <w:pStyle w:val="Question"/>
      </w:pPr>
      <w:r>
        <w:t xml:space="preserve">Q31. What technical issues should be reviewed first?</w:t>
      </w:r>
    </w:p>
    <w:p>
      <w:pPr>
        <w:pStyle w:val="Answer"/>
      </w:pPr>
      <w:r>
        <w:t xml:space="preserve">First, load security/security.xml in the manifest or remove it if unused. Second, remove the duplicate import in models/dashboard.py. Third, review student.action_view_payments because its domain uses fee_id.student_id, so payments without an invoice may not appear on the student payment action.</w:t>
      </w:r>
    </w:p>
    <w:p>
      <w:pPr>
        <w:pStyle w:val="Question"/>
      </w:pPr>
      <w:r>
        <w:t xml:space="preserve">Q32. What finance issues should be improved?</w:t>
      </w:r>
    </w:p>
    <w:p>
      <w:pPr>
        <w:pStyle w:val="Answer"/>
      </w:pPr>
      <w:r>
        <w:t xml:space="preserve">Consider adding accounting integration, refund handling, overpayment policy, payment reconciliation, fee templates, automatic semester billing, scholarship or discount models, and stronger controls around posted invoices and posted payments.</w:t>
      </w:r>
    </w:p>
    <w:p>
      <w:pPr>
        <w:pStyle w:val="Question"/>
      </w:pPr>
      <w:r>
        <w:t xml:space="preserve">Q33. What academic features are still missing?</w:t>
      </w:r>
    </w:p>
    <w:p>
      <w:pPr>
        <w:pStyle w:val="Answer"/>
      </w:pPr>
      <w:r>
        <w:t xml:space="preserve">Attendance, schedules, exams, assessments, results, grades, GPA, graduation, certificates, and transcripts are not implemented yet. The existing class section and enrollment design gives a useful base for adding these later.</w:t>
      </w:r>
    </w:p>
    <w:p>
      <w:pPr>
        <w:pStyle w:val="Question"/>
      </w:pPr>
      <w:r>
        <w:t xml:space="preserve">Q34. What security improvements are recommended?</w:t>
      </w:r>
    </w:p>
    <w:p>
      <w:pPr>
        <w:pStyle w:val="Answer"/>
      </w:pPr>
      <w:r>
        <w:t xml:space="preserve">Create role groups such as administrator, registrar, teacher, finance officer, and read-only user. Then assign access by group and add record rules where needed. For example, teachers may see their own sections, finance officers may manage invoices and payments, and regular staff may only read limited records.</w:t>
      </w:r>
    </w:p>
    <w:p>
      <w:pPr>
        <w:pStyle w:val="Question"/>
      </w:pPr>
      <w:r>
        <w:t xml:space="preserve">Q35. What testing should be added?</w:t>
      </w:r>
    </w:p>
    <w:p>
      <w:pPr>
        <w:pStyle w:val="Answer"/>
      </w:pPr>
      <w:r>
        <w:t xml:space="preserve">Add tests for model creation, enrollment duplicate prevention, section capacity limits, teacher-subject validation, fee posting, payment posting, invoice paid-state transition, payment cancellation recalculation, dashboard count calculations, and report action availability.</w:t>
      </w:r>
    </w:p>
    <w:p>
      <w:pPr>
        <w:pStyle w:val="Heading1"/>
      </w:pPr>
      <w:r>
        <w:t xml:space="preserve">Recommended Roadmap</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CellMar>
          <w:top w:w="80" w:type="dxa"/>
          <w:bottom w:w="80" w:type="dxa"/>
          <w:start w:w="120" w:type="dxa"/>
          <w:end w:w="120" w:type="dxa"/>
        </w:tblCellMar>
      </w:tblPr>
      <w:tblGrid>
        <w:gridCol w:w="1800"/>
        <w:gridCol w:w="7560"/>
      </w:tblGrid>
      <w:tr>
        <w:tc>
          <w:tcPr>
            <w:tcW w:w="1800" w:type="dxa"/>
            <w:shd w:fill="E8EEF5"/>
          </w:tcPr>
          <w:p>
            <w:pPr>
              <w:pStyle w:val="TableHeader"/>
            </w:pPr>
            <w:r>
              <w:t xml:space="preserve">Priority</w:t>
            </w:r>
          </w:p>
        </w:tc>
        <w:tc>
          <w:tcPr>
            <w:tcW w:w="7560" w:type="dxa"/>
            <w:shd w:fill="E8EEF5"/>
          </w:tcPr>
          <w:p>
            <w:pPr>
              <w:pStyle w:val="TableHeader"/>
            </w:pPr>
            <w:r>
              <w:t xml:space="preserve">Recommendation</w:t>
            </w:r>
          </w:p>
        </w:tc>
      </w:tr>
      <w:tr>
        <w:tc>
          <w:tcPr>
            <w:tcW w:w="1800" w:type="dxa"/>
          </w:tcPr>
          <w:p>
            <w:pPr>
              <w:pStyle w:val="TableBody"/>
            </w:pPr>
            <w:r>
              <w:t xml:space="preserve">High</w:t>
            </w:r>
          </w:p>
        </w:tc>
        <w:tc>
          <w:tcPr>
            <w:tcW w:w="7560" w:type="dxa"/>
          </w:tcPr>
          <w:p>
            <w:pPr>
              <w:pStyle w:val="TableBody"/>
            </w:pPr>
            <w:r>
              <w:t xml:space="preserve">Finalize security roles and load or remove security/security.xml.</w:t>
            </w:r>
          </w:p>
        </w:tc>
      </w:tr>
      <w:tr>
        <w:tc>
          <w:tcPr>
            <w:tcW w:w="1800" w:type="dxa"/>
          </w:tcPr>
          <w:p>
            <w:pPr>
              <w:pStyle w:val="TableBody"/>
            </w:pPr>
            <w:r>
              <w:t xml:space="preserve">High</w:t>
            </w:r>
          </w:p>
        </w:tc>
        <w:tc>
          <w:tcPr>
            <w:tcW w:w="7560" w:type="dxa"/>
          </w:tcPr>
          <w:p>
            <w:pPr>
              <w:pStyle w:val="TableBody"/>
            </w:pPr>
            <w:r>
              <w:t xml:space="preserve">Add automated tests for enrollment and finance business rules.</w:t>
            </w:r>
          </w:p>
        </w:tc>
      </w:tr>
      <w:tr>
        <w:tc>
          <w:tcPr>
            <w:tcW w:w="1800" w:type="dxa"/>
          </w:tcPr>
          <w:p>
            <w:pPr>
              <w:pStyle w:val="TableBody"/>
            </w:pPr>
            <w:r>
              <w:t xml:space="preserve">Medium</w:t>
            </w:r>
          </w:p>
        </w:tc>
        <w:tc>
          <w:tcPr>
            <w:tcW w:w="7560" w:type="dxa"/>
          </w:tcPr>
          <w:p>
            <w:pPr>
              <w:pStyle w:val="TableBody"/>
            </w:pPr>
            <w:r>
              <w:t xml:space="preserve">Add fee templates, scholarship/discount logic, and overpayment handling.</w:t>
            </w:r>
          </w:p>
        </w:tc>
      </w:tr>
      <w:tr>
        <w:tc>
          <w:tcPr>
            <w:tcW w:w="1800" w:type="dxa"/>
          </w:tcPr>
          <w:p>
            <w:pPr>
              <w:pStyle w:val="TableBody"/>
            </w:pPr>
            <w:r>
              <w:t xml:space="preserve">Medium</w:t>
            </w:r>
          </w:p>
        </w:tc>
        <w:tc>
          <w:tcPr>
            <w:tcW w:w="7560" w:type="dxa"/>
          </w:tcPr>
          <w:p>
            <w:pPr>
              <w:pStyle w:val="TableBody"/>
            </w:pPr>
            <w:r>
              <w:t xml:space="preserve">Add schedule and attendance models using class sections as the base.</w:t>
            </w:r>
          </w:p>
        </w:tc>
      </w:tr>
      <w:tr>
        <w:tc>
          <w:tcPr>
            <w:tcW w:w="1800" w:type="dxa"/>
          </w:tcPr>
          <w:p>
            <w:pPr>
              <w:pStyle w:val="TableBody"/>
            </w:pPr>
            <w:r>
              <w:t xml:space="preserve">Medium</w:t>
            </w:r>
          </w:p>
        </w:tc>
        <w:tc>
          <w:tcPr>
            <w:tcW w:w="7560" w:type="dxa"/>
          </w:tcPr>
          <w:p>
            <w:pPr>
              <w:pStyle w:val="TableBody"/>
            </w:pPr>
            <w:r>
              <w:t xml:space="preserve">Add exam/result/GPA features after attendance and schedules are stable.</w:t>
            </w:r>
          </w:p>
        </w:tc>
      </w:tr>
      <w:tr>
        <w:tc>
          <w:tcPr>
            <w:tcW w:w="1800" w:type="dxa"/>
          </w:tcPr>
          <w:p>
            <w:pPr>
              <w:pStyle w:val="TableBody"/>
            </w:pPr>
            <w:r>
              <w:t xml:space="preserve">Low</w:t>
            </w:r>
          </w:p>
        </w:tc>
        <w:tc>
          <w:tcPr>
            <w:tcW w:w="7560" w:type="dxa"/>
          </w:tcPr>
          <w:p>
            <w:pPr>
              <w:pStyle w:val="TableBody"/>
            </w:pPr>
            <w:r>
              <w:t xml:space="preserve">Polish dashboard currency formatting and add more trend charts.</w:t>
            </w:r>
          </w:p>
        </w:tc>
      </w:tr>
    </w:tbl>
    <w:p>
      <w:pPr>
        <w:pStyle w:val="Heading1"/>
      </w:pPr>
      <w:r>
        <w:t xml:space="preserve">Conclusion</w:t>
      </w:r>
    </w:p>
    <w:p>
      <w:pPr>
        <w:pStyle w:val="Answer"/>
      </w:pPr>
      <w:r>
        <w:t xml:space="preserve">The project is a solid Odoo university-management addon with a well-shaped foundation for academic structure, people, enrollments, finance, reports, and dashboard navigation. The next best work is not a rewrite; it is tightening security, adding tests, and extending the current section-based academic model into attendance, exams, grades, and transcripts.</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300" w:lineRule="auto"/>
    </w:pPr>
    <w:rPr>
      <w:rFonts w:ascii="Calibri" w:hAnsi="Calibri"/>
      <w:sz w:val="22"/>
    </w:rPr>
  </w:style>
  <w:style w:type="paragraph" w:styleId="Title">
    <w:name w:val="Title"/>
    <w:qFormat/>
    <w:pPr>
      <w:spacing w:after="160"/>
    </w:pPr>
    <w:rPr>
      <w:rFonts w:ascii="Calibri" w:hAnsi="Calibri"/>
      <w:b/>
      <w:color w:val="0B2545"/>
      <w:sz w:val="56"/>
    </w:rPr>
  </w:style>
  <w:style w:type="paragraph" w:styleId="Subtitle">
    <w:name w:val="Subtitle"/>
    <w:qFormat/>
    <w:pPr>
      <w:spacing w:after="160"/>
    </w:pPr>
    <w:rPr>
      <w:rFonts w:ascii="Calibri" w:hAnsi="Calibri"/>
      <w:color w:val="555555"/>
      <w:sz w:val="28"/>
    </w:rPr>
  </w:style>
  <w:style w:type="paragraph" w:styleId="Meta">
    <w:name w:val="Meta"/>
    <w:pPr>
      <w:spacing w:after="180"/>
    </w:pPr>
    <w:rPr>
      <w:rFonts w:ascii="Calibri" w:hAnsi="Calibri"/>
      <w:i/>
      <w:color w:val="666666"/>
      <w:sz w:val="20"/>
    </w:rPr>
  </w:style>
  <w:style w:type="paragraph" w:styleId="Heading1">
    <w:name w:val="heading 1"/>
    <w:basedOn w:val="Normal"/>
    <w:next w:val="Normal"/>
    <w:qFormat/>
    <w:pPr>
      <w:keepNext/>
      <w:spacing w:before="360" w:after="200"/>
    </w:pPr>
    <w:rPr>
      <w:rFonts w:ascii="Calibri" w:hAnsi="Calibri"/>
      <w:b/>
      <w:color w:val="2E74B5"/>
      <w:sz w:val="32"/>
    </w:rPr>
  </w:style>
  <w:style w:type="paragraph" w:styleId="Question">
    <w:name w:val="Question"/>
    <w:basedOn w:val="Normal"/>
    <w:qFormat/>
    <w:pPr>
      <w:keepNext/>
      <w:spacing w:before="160" w:after="80" w:line="300" w:lineRule="auto"/>
    </w:pPr>
    <w:rPr>
      <w:rFonts w:ascii="Calibri" w:hAnsi="Calibri"/>
      <w:b/>
      <w:color w:val="1F4D78"/>
      <w:sz w:val="24"/>
    </w:rPr>
  </w:style>
  <w:style w:type="paragraph" w:styleId="Answer">
    <w:name w:val="Answer"/>
    <w:basedOn w:val="Normal"/>
    <w:pPr>
      <w:spacing w:after="120" w:line="300" w:lineRule="auto"/>
    </w:pPr>
    <w:rPr>
      <w:rFonts w:ascii="Calibri" w:hAnsi="Calibri"/>
      <w:sz w:val="22"/>
    </w:rPr>
  </w:style>
  <w:style w:type="paragraph" w:styleId="TableHeader">
    <w:name w:val="Table Header"/>
    <w:pPr>
      <w:spacing w:after="0" w:line="280" w:lineRule="auto"/>
    </w:pPr>
    <w:rPr>
      <w:rFonts w:ascii="Calibri" w:hAnsi="Calibri"/>
      <w:b/>
      <w:color w:val="0B2545"/>
      <w:sz w:val="20"/>
    </w:rPr>
  </w:style>
  <w:style w:type="paragraph" w:styleId="TableBody">
    <w:name w:val="Table Body"/>
    <w:pPr>
      <w:spacing w:after="0" w:line="280" w:lineRule="auto"/>
    </w:pPr>
    <w:rPr>
      <w:rFonts w:ascii="Calibri" w:hAnsi="Calibri"/>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Management System Project Analysis Q&amp;A</dc:title>
  <dc:creator>Codex</dc:creator>
  <cp:lastModifiedBy>Codex</cp:lastModifiedBy>
  <dcterms:created xsi:type="dcterms:W3CDTF">2026-09-02T00:00:00Z</dcterms:created>
  <dcterms:modified xsi:type="dcterms:W3CDTF">2026-09-02T00:00:00Z</dcterms:modified>
</cp:coreProperties>
</file>