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13653eaa21ea8da8b3554d6e5475c8bff81d9d"/>
    <w:p>
      <w:pPr>
        <w:pStyle w:val="Title"/>
        <w:spacing w:after="360"/>
        <w:jc w:val="center"/>
      </w:pPr>
      <w:r>
        <w:t xml:space="preserve">Guide d'exploitation - DataVision AI v2.81.1</w:t>
      </w:r>
    </w:p>
    <w:bookmarkStart w:id="20" w:name="X2bd8284c3e2469003b8b70c11bdb968d0187d9f"/>
    <w:p>
      <w:pPr>
        <w:pStyle w:val="Heading2"/>
        <w:keepNext/>
      </w:pPr>
      <w:r>
        <w:t xml:space="preserve">1. Objectif</w:t>
      </w:r>
    </w:p>
    <w:p>
      <w:pPr>
        <w:pStyle w:val="FirstParagraph"/>
      </w:pPr>
      <w:r>
        <w:t xml:space="preserve">Ce guide définit les opérations récurrentes nécessaires pour maintenir DataVision disponible, sûr, sauvegardé et auditable.</w:t>
      </w:r>
    </w:p>
    <w:bookmarkEnd w:id="20"/>
    <w:bookmarkStart w:id="21" w:name="X895cb47b8c60f4d68fb9942acbd960712359cf9"/>
    <w:p>
      <w:pPr>
        <w:pStyle w:val="Heading2"/>
        <w:keepNext/>
      </w:pPr>
      <w:r>
        <w:t xml:space="preserve">2. Contrôles quotidiens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erreurs API/worker ;</w:t>
      </w:r>
    </w:p>
    <w:p>
      <w:pPr>
        <w:pStyle w:val="Compact"/>
        <w:numPr>
          <w:ilvl w:val="0"/>
          <w:numId w:val="1001"/>
        </w:numPr>
      </w:pPr>
      <w:r>
        <w:t xml:space="preserve">profondeur et ancienneté de la queue Redis ;</w:t>
      </w:r>
    </w:p>
    <w:p>
      <w:pPr>
        <w:pStyle w:val="Compact"/>
        <w:numPr>
          <w:ilvl w:val="0"/>
          <w:numId w:val="1001"/>
        </w:numPr>
      </w:pPr>
      <w:r>
        <w:t xml:space="preserve">jobs en échec/retry ;</w:t>
      </w:r>
    </w:p>
    <w:p>
      <w:pPr>
        <w:pStyle w:val="Compact"/>
        <w:numPr>
          <w:ilvl w:val="0"/>
          <w:numId w:val="1001"/>
        </w:numPr>
      </w:pPr>
      <w:r>
        <w:t xml:space="preserve">état PostgreSQL ;</w:t>
      </w:r>
    </w:p>
    <w:p>
      <w:pPr>
        <w:pStyle w:val="Compact"/>
        <w:numPr>
          <w:ilvl w:val="0"/>
          <w:numId w:val="1001"/>
        </w:numPr>
      </w:pPr>
      <w:r>
        <w:t xml:space="preserve">disponibilité du sandbox ;</w:t>
      </w:r>
    </w:p>
    <w:p>
      <w:pPr>
        <w:pStyle w:val="Compact"/>
        <w:numPr>
          <w:ilvl w:val="0"/>
          <w:numId w:val="1001"/>
        </w:numPr>
      </w:pPr>
      <w:r>
        <w:t xml:space="preserve">fraîcheur des backups ;</w:t>
      </w:r>
    </w:p>
    <w:p>
      <w:pPr>
        <w:pStyle w:val="Compact"/>
        <w:numPr>
          <w:ilvl w:val="0"/>
          <w:numId w:val="1001"/>
        </w:numPr>
      </w:pPr>
      <w:r>
        <w:t xml:space="preserve">SLO et alertes ;</w:t>
      </w:r>
    </w:p>
    <w:p>
      <w:pPr>
        <w:pStyle w:val="Compact"/>
        <w:numPr>
          <w:ilvl w:val="0"/>
          <w:numId w:val="1001"/>
        </w:numPr>
      </w:pPr>
      <w:r>
        <w:t xml:space="preserve">KMS/Vault ;</w:t>
      </w:r>
    </w:p>
    <w:p>
      <w:pPr>
        <w:pStyle w:val="Compact"/>
        <w:numPr>
          <w:ilvl w:val="0"/>
          <w:numId w:val="1001"/>
        </w:numPr>
      </w:pPr>
      <w:r>
        <w:t xml:space="preserve">antivirus lorsque requis ;</w:t>
      </w:r>
    </w:p>
    <w:p>
      <w:pPr>
        <w:pStyle w:val="Compact"/>
        <w:numPr>
          <w:ilvl w:val="0"/>
          <w:numId w:val="1001"/>
        </w:numPr>
      </w:pPr>
      <w:r>
        <w:t xml:space="preserve">expiration certificats/TLS via l'outillage d'infrastructure.</w:t>
      </w:r>
    </w:p>
    <w:bookmarkEnd w:id="21"/>
    <w:bookmarkStart w:id="22" w:name="X796b17e52dcd1d10507ca79dc111daff925371a"/>
    <w:p>
      <w:pPr>
        <w:pStyle w:val="Heading2"/>
        <w:keepNext/>
      </w:pPr>
      <w:r>
        <w:t xml:space="preserve">3. Gestion des comptes</w:t>
      </w:r>
    </w:p>
    <w:p>
      <w:pPr>
        <w:pStyle w:val="Compact"/>
        <w:numPr>
          <w:ilvl w:val="0"/>
          <w:numId w:val="1002"/>
        </w:numPr>
      </w:pPr>
      <w:r>
        <w:t xml:space="preserve">créer un compte nominatif par utilisateur ;</w:t>
      </w:r>
    </w:p>
    <w:p>
      <w:pPr>
        <w:pStyle w:val="Compact"/>
        <w:numPr>
          <w:ilvl w:val="0"/>
          <w:numId w:val="1002"/>
        </w:numPr>
      </w:pPr>
      <w:r>
        <w:t xml:space="preserve">appliquer le moindre privilège ;</w:t>
      </w:r>
    </w:p>
    <w:p>
      <w:pPr>
        <w:pStyle w:val="Compact"/>
        <w:numPr>
          <w:ilvl w:val="0"/>
          <w:numId w:val="1002"/>
        </w:numPr>
      </w:pPr>
      <w:r>
        <w:t xml:space="preserve">exiger MFA pour les comptes sensibles ;</w:t>
      </w:r>
    </w:p>
    <w:p>
      <w:pPr>
        <w:pStyle w:val="Compact"/>
        <w:numPr>
          <w:ilvl w:val="0"/>
          <w:numId w:val="1002"/>
        </w:numPr>
      </w:pPr>
      <w:r>
        <w:t xml:space="preserve">revoir périodiquement les membres des workspaces ;</w:t>
      </w:r>
    </w:p>
    <w:p>
      <w:pPr>
        <w:pStyle w:val="Compact"/>
        <w:numPr>
          <w:ilvl w:val="0"/>
          <w:numId w:val="1002"/>
        </w:numPr>
      </w:pPr>
      <w:r>
        <w:t xml:space="preserve">désactiver immédiatement un compte sortant ;</w:t>
      </w:r>
    </w:p>
    <w:p>
      <w:pPr>
        <w:pStyle w:val="Compact"/>
        <w:numPr>
          <w:ilvl w:val="0"/>
          <w:numId w:val="1002"/>
        </w:numPr>
      </w:pPr>
      <w:r>
        <w:t xml:space="preserve">révoquer ses sessions actives.</w:t>
      </w:r>
    </w:p>
    <w:bookmarkEnd w:id="22"/>
    <w:bookmarkStart w:id="23" w:name="X202b0346b9b2ff4a1d912d8da4e513f6b875e95"/>
    <w:p>
      <w:pPr>
        <w:pStyle w:val="Heading2"/>
        <w:keepNext/>
      </w:pPr>
      <w:r>
        <w:t xml:space="preserve">4. Sauvegarde</w:t>
      </w:r>
    </w:p>
    <w:p>
      <w:pPr>
        <w:pStyle w:val="FirstParagraph"/>
      </w:pPr>
      <w:r>
        <w:t xml:space="preserve">Conserver plusieurs générations et au moins une copie hors du domaine de panne principal. Une sauvegarde n'est considérée fiable qu'après test de restauration.</w:t>
      </w:r>
    </w:p>
    <w:p>
      <w:pPr>
        <w:pStyle w:val="BodyText"/>
      </w:pPr>
      <w:r>
        <w:t xml:space="preserve">Journaliser : date, version DataVision, schéma, taille, digest, emplacement et résultat du restore drill.</w:t>
      </w:r>
    </w:p>
    <w:bookmarkEnd w:id="23"/>
    <w:bookmarkStart w:id="24" w:name="Xd6d33de97a302dc891b3bb5a38c6dfe33179bd1"/>
    <w:p>
      <w:pPr>
        <w:pStyle w:val="Heading2"/>
        <w:keepNext/>
      </w:pPr>
      <w:r>
        <w:t xml:space="preserve">5. Restauration</w:t>
      </w:r>
    </w:p>
    <w:p>
      <w:pPr>
        <w:pStyle w:val="Compact"/>
        <w:numPr>
          <w:ilvl w:val="0"/>
          <w:numId w:val="1003"/>
        </w:numPr>
      </w:pPr>
      <w:r>
        <w:t xml:space="preserve">isoler l'instance cible ;</w:t>
      </w:r>
    </w:p>
    <w:p>
      <w:pPr>
        <w:pStyle w:val="Compact"/>
        <w:numPr>
          <w:ilvl w:val="0"/>
          <w:numId w:val="1003"/>
        </w:numPr>
      </w:pPr>
      <w:r>
        <w:t xml:space="preserve">vérifier compatibilité version/schema ;</w:t>
      </w:r>
    </w:p>
    <w:p>
      <w:pPr>
        <w:pStyle w:val="Compact"/>
        <w:numPr>
          <w:ilvl w:val="0"/>
          <w:numId w:val="1003"/>
        </w:numPr>
      </w:pPr>
      <w:r>
        <w:t xml:space="preserve">restaurer ;</w:t>
      </w:r>
    </w:p>
    <w:p>
      <w:pPr>
        <w:pStyle w:val="Compact"/>
        <w:numPr>
          <w:ilvl w:val="0"/>
          <w:numId w:val="1003"/>
        </w:numPr>
      </w:pPr>
      <w:r>
        <w:t xml:space="preserve">exécuter migrations nécessaires ;</w:t>
      </w:r>
    </w:p>
    <w:p>
      <w:pPr>
        <w:pStyle w:val="Compact"/>
        <w:numPr>
          <w:ilvl w:val="0"/>
          <w:numId w:val="1003"/>
        </w:numPr>
      </w:pPr>
      <w:r>
        <w:t xml:space="preserve">vérifier readiness ;</w:t>
      </w:r>
    </w:p>
    <w:p>
      <w:pPr>
        <w:pStyle w:val="Compact"/>
        <w:numPr>
          <w:ilvl w:val="0"/>
          <w:numId w:val="1003"/>
        </w:numPr>
      </w:pPr>
      <w:r>
        <w:t xml:space="preserve">exécuter smoke tests ;</w:t>
      </w:r>
    </w:p>
    <w:p>
      <w:pPr>
        <w:pStyle w:val="Compact"/>
        <w:numPr>
          <w:ilvl w:val="0"/>
          <w:numId w:val="1003"/>
        </w:numPr>
      </w:pPr>
      <w:r>
        <w:t xml:space="preserve">rouvrir progressivement le trafic ;</w:t>
      </w:r>
    </w:p>
    <w:p>
      <w:pPr>
        <w:pStyle w:val="Compact"/>
        <w:numPr>
          <w:ilvl w:val="0"/>
          <w:numId w:val="1003"/>
        </w:numPr>
      </w:pPr>
      <w:r>
        <w:t xml:space="preserve">enregistrer l'opération dans l'audit.</w:t>
      </w:r>
    </w:p>
    <w:bookmarkEnd w:id="24"/>
    <w:bookmarkStart w:id="25" w:name="X256f6c29b7eb1836bcc8060e84f562cfee43446"/>
    <w:p>
      <w:pPr>
        <w:pStyle w:val="Heading2"/>
        <w:keepNext/>
      </w:pPr>
      <w:r>
        <w:t xml:space="preserve">6. Rotation des secrets</w:t>
      </w:r>
    </w:p>
    <w:p>
      <w:pPr>
        <w:pStyle w:val="FirstParagraph"/>
      </w:pPr>
      <w:r>
        <w:t xml:space="preserve">Planifier la rotation de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AUTH_SECRET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secrets connecteurs ;</w:t>
      </w:r>
    </w:p>
    <w:p>
      <w:pPr>
        <w:pStyle w:val="Compact"/>
        <w:numPr>
          <w:ilvl w:val="0"/>
          <w:numId w:val="1004"/>
        </w:numPr>
      </w:pPr>
      <w:r>
        <w:t xml:space="preserve">tokens OIDC/SCIM ;</w:t>
      </w:r>
    </w:p>
    <w:p>
      <w:pPr>
        <w:pStyle w:val="Compact"/>
        <w:numPr>
          <w:ilvl w:val="0"/>
          <w:numId w:val="1004"/>
        </w:numPr>
      </w:pPr>
      <w:r>
        <w:t xml:space="preserve">webhooks ;</w:t>
      </w:r>
    </w:p>
    <w:p>
      <w:pPr>
        <w:pStyle w:val="Compact"/>
        <w:numPr>
          <w:ilvl w:val="0"/>
          <w:numId w:val="1004"/>
        </w:numPr>
      </w:pPr>
      <w:r>
        <w:t xml:space="preserve">clés KMS/Vault ;</w:t>
      </w:r>
    </w:p>
    <w:p>
      <w:pPr>
        <w:pStyle w:val="Compact"/>
        <w:numPr>
          <w:ilvl w:val="0"/>
          <w:numId w:val="1004"/>
        </w:numPr>
      </w:pPr>
      <w:r>
        <w:t xml:space="preserve">secrets métriques et tokens de services selon la politique.</w:t>
      </w:r>
    </w:p>
    <w:p>
      <w:pPr>
        <w:pStyle w:val="FirstParagraph"/>
      </w:pPr>
      <w:r>
        <w:t xml:space="preserve">Après rotation, tester login, refresh, connecteurs, jobs, KMS et readiness.</w:t>
      </w:r>
    </w:p>
    <w:bookmarkEnd w:id="25"/>
    <w:bookmarkStart w:id="26" w:name="X0200544f7d9b5bbb790e5851e497ac8f09f6dbd"/>
    <w:p>
      <w:pPr>
        <w:pStyle w:val="Heading2"/>
        <w:keepNext/>
      </w:pPr>
      <w:r>
        <w:t xml:space="preserve">7. Incident sécurité</w:t>
      </w:r>
    </w:p>
    <w:p>
      <w:pPr>
        <w:pStyle w:val="Compact"/>
        <w:numPr>
          <w:ilvl w:val="0"/>
          <w:numId w:val="1005"/>
        </w:numPr>
      </w:pPr>
      <w:r>
        <w:t xml:space="preserve">qualifier la sévérité ;</w:t>
      </w:r>
    </w:p>
    <w:p>
      <w:pPr>
        <w:pStyle w:val="Compact"/>
        <w:numPr>
          <w:ilvl w:val="0"/>
          <w:numId w:val="1005"/>
        </w:numPr>
      </w:pPr>
      <w:r>
        <w:t xml:space="preserve">isoler le service/workspace concerné ;</w:t>
      </w:r>
    </w:p>
    <w:p>
      <w:pPr>
        <w:pStyle w:val="Compact"/>
        <w:numPr>
          <w:ilvl w:val="0"/>
          <w:numId w:val="1005"/>
        </w:numPr>
      </w:pPr>
      <w:r>
        <w:t xml:space="preserve">révoquer sessions/tokens ;</w:t>
      </w:r>
    </w:p>
    <w:p>
      <w:pPr>
        <w:pStyle w:val="Compact"/>
        <w:numPr>
          <w:ilvl w:val="0"/>
          <w:numId w:val="1005"/>
        </w:numPr>
      </w:pPr>
      <w:r>
        <w:t xml:space="preserve">préserver logs et preuves ;</w:t>
      </w:r>
    </w:p>
    <w:p>
      <w:pPr>
        <w:pStyle w:val="Compact"/>
        <w:numPr>
          <w:ilvl w:val="0"/>
          <w:numId w:val="1005"/>
        </w:numPr>
      </w:pPr>
      <w:r>
        <w:t xml:space="preserve">tourner les secrets exposés ;</w:t>
      </w:r>
    </w:p>
    <w:p>
      <w:pPr>
        <w:pStyle w:val="Compact"/>
        <w:numPr>
          <w:ilvl w:val="0"/>
          <w:numId w:val="1005"/>
        </w:numPr>
      </w:pPr>
      <w:r>
        <w:t xml:space="preserve">déterminer données/comptes impactés ;</w:t>
      </w:r>
    </w:p>
    <w:p>
      <w:pPr>
        <w:pStyle w:val="Compact"/>
        <w:numPr>
          <w:ilvl w:val="0"/>
          <w:numId w:val="1005"/>
        </w:numPr>
      </w:pPr>
      <w:r>
        <w:t xml:space="preserve">appliquer correction ;</w:t>
      </w:r>
    </w:p>
    <w:p>
      <w:pPr>
        <w:pStyle w:val="Compact"/>
        <w:numPr>
          <w:ilvl w:val="0"/>
          <w:numId w:val="1005"/>
        </w:numPr>
      </w:pPr>
      <w:r>
        <w:t xml:space="preserve">restaurer progressivement ;</w:t>
      </w:r>
    </w:p>
    <w:p>
      <w:pPr>
        <w:pStyle w:val="Compact"/>
        <w:numPr>
          <w:ilvl w:val="0"/>
          <w:numId w:val="1005"/>
        </w:numPr>
      </w:pPr>
      <w:r>
        <w:t xml:space="preserve">produire RCA et actions préventives.</w:t>
      </w:r>
    </w:p>
    <w:bookmarkEnd w:id="26"/>
    <w:bookmarkStart w:id="27" w:name="X1e6dd3e04f68de540a9d42a0f32b00ff7186320"/>
    <w:p>
      <w:pPr>
        <w:pStyle w:val="Heading2"/>
        <w:keepNext/>
      </w:pPr>
      <w:r>
        <w:t xml:space="preserve">8. Vulnerabilité de dépendance</w:t>
      </w:r>
    </w:p>
    <w:p>
      <w:pPr>
        <w:pStyle w:val="FirstParagraph"/>
      </w:pPr>
      <w:r>
        <w:t xml:space="preserve">Lorsqu'un avis High/Critical apparaît :</w:t>
      </w:r>
    </w:p>
    <w:p>
      <w:pPr>
        <w:pStyle w:val="Compact"/>
        <w:numPr>
          <w:ilvl w:val="0"/>
          <w:numId w:val="1006"/>
        </w:numPr>
      </w:pPr>
      <w:r>
        <w:t xml:space="preserve">identifier package et chemins d'utilisation ;</w:t>
      </w:r>
    </w:p>
    <w:p>
      <w:pPr>
        <w:pStyle w:val="Compact"/>
        <w:numPr>
          <w:ilvl w:val="0"/>
          <w:numId w:val="1006"/>
        </w:numPr>
      </w:pPr>
      <w:r>
        <w:t xml:space="preserve">confirmer exploitabilité ;</w:t>
      </w:r>
    </w:p>
    <w:p>
      <w:pPr>
        <w:pStyle w:val="Compact"/>
        <w:numPr>
          <w:ilvl w:val="0"/>
          <w:numId w:val="1006"/>
        </w:numPr>
      </w:pPr>
      <w:r>
        <w:t xml:space="preserve">mettre à jour le pin ;</w:t>
      </w:r>
    </w:p>
    <w:p>
      <w:pPr>
        <w:pStyle w:val="Compact"/>
        <w:numPr>
          <w:ilvl w:val="0"/>
          <w:numId w:val="1006"/>
        </w:numPr>
      </w:pPr>
      <w:r>
        <w:t xml:space="preserve">lancer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/typecheck/tests ;</w:t>
      </w:r>
    </w:p>
    <w:p>
      <w:pPr>
        <w:pStyle w:val="Compact"/>
        <w:numPr>
          <w:ilvl w:val="0"/>
          <w:numId w:val="1006"/>
        </w:numPr>
      </w:pPr>
      <w:r>
        <w:t xml:space="preserve">reconstruire les images ;</w:t>
      </w:r>
    </w:p>
    <w:p>
      <w:pPr>
        <w:pStyle w:val="Compact"/>
        <w:numPr>
          <w:ilvl w:val="0"/>
          <w:numId w:val="1006"/>
        </w:numPr>
      </w:pPr>
      <w:r>
        <w:t xml:space="preserve">rescanner ;</w:t>
      </w:r>
    </w:p>
    <w:p>
      <w:pPr>
        <w:pStyle w:val="Compact"/>
        <w:numPr>
          <w:ilvl w:val="0"/>
          <w:numId w:val="1006"/>
        </w:numPr>
      </w:pPr>
      <w:r>
        <w:t xml:space="preserve">publier un nouveau digest ;</w:t>
      </w:r>
    </w:p>
    <w:p>
      <w:pPr>
        <w:pStyle w:val="Compact"/>
        <w:numPr>
          <w:ilvl w:val="0"/>
          <w:numId w:val="1006"/>
        </w:numPr>
      </w:pPr>
      <w:r>
        <w:t xml:space="preserve">documenter la décision.</w:t>
      </w:r>
    </w:p>
    <w:bookmarkEnd w:id="27"/>
    <w:bookmarkStart w:id="28" w:name="Xaeb88473ac465b1c85f226d5db6fd34bcbc9392"/>
    <w:p>
      <w:pPr>
        <w:pStyle w:val="Heading2"/>
        <w:keepNext/>
      </w:pPr>
      <w:r>
        <w:t xml:space="preserve">9. Upgrade</w:t>
      </w:r>
    </w:p>
    <w:p>
      <w:pPr>
        <w:pStyle w:val="FirstParagraph"/>
      </w:pPr>
      <w:r>
        <w:t xml:space="preserve">Toujours utiliser un nouveau dossier de code. Ne pas écraser une ancienne release. Sauvegarder avant migration, valider le nouvel environnement, puis seulement déplacer le trafic.</w:t>
      </w:r>
    </w:p>
    <w:bookmarkEnd w:id="28"/>
    <w:bookmarkStart w:id="29" w:name="X4d5dbef0046384455ed8fbeea635cfbfffecd90"/>
    <w:p>
      <w:pPr>
        <w:pStyle w:val="Heading2"/>
        <w:keepNext/>
      </w:pPr>
      <w:r>
        <w:t xml:space="preserve">10. Commandes d'exploitation</w:t>
      </w:r>
    </w:p>
    <w:p>
      <w:pPr>
        <w:pStyle w:val="SourceCode"/>
      </w:pPr>
      <w:r>
        <w:rPr>
          <w:rStyle w:val="NormalTok"/>
        </w:rPr>
        <w:t xml:space="preserve">python scripts\repository_hygiene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scripts\dependency_compatibility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scripts\security_hardening_audit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scripts\production_baseline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scripts\config_doctor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docker compose 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bookmarkEnd w:id="29"/>
    <w:bookmarkStart w:id="30" w:name="Xe899947f3fef9d3f0685f166f514935b53c0b75"/>
    <w:p>
      <w:pPr>
        <w:pStyle w:val="Heading2"/>
        <w:keepNext/>
      </w:pPr>
      <w:r>
        <w:t xml:space="preserve">11. Contrôle avant ouverture du trafic</w:t>
      </w:r>
    </w:p>
    <w:p>
      <w:pPr>
        <w:pStyle w:val="Compact"/>
        <w:numPr>
          <w:ilvl w:val="0"/>
          <w:numId w:val="1007"/>
        </w:numPr>
      </w:pPr>
      <w:r>
        <w:t xml:space="preserve">auth testée ;</w:t>
      </w:r>
    </w:p>
    <w:p>
      <w:pPr>
        <w:pStyle w:val="Compact"/>
        <w:numPr>
          <w:ilvl w:val="0"/>
          <w:numId w:val="1007"/>
        </w:numPr>
      </w:pPr>
      <w:r>
        <w:t xml:space="preserve">workspace/roles testés ;</w:t>
      </w:r>
    </w:p>
    <w:p>
      <w:pPr>
        <w:pStyle w:val="Compact"/>
        <w:numPr>
          <w:ilvl w:val="0"/>
          <w:numId w:val="1007"/>
        </w:numPr>
      </w:pPr>
      <w:r>
        <w:t xml:space="preserve">backup disponible ;</w:t>
      </w:r>
    </w:p>
    <w:p>
      <w:pPr>
        <w:pStyle w:val="Compact"/>
        <w:numPr>
          <w:ilvl w:val="0"/>
          <w:numId w:val="1007"/>
        </w:numPr>
      </w:pPr>
      <w:r>
        <w:t xml:space="preserve">migrations prêtes ;</w:t>
      </w:r>
    </w:p>
    <w:p>
      <w:pPr>
        <w:pStyle w:val="Compact"/>
        <w:numPr>
          <w:ilvl w:val="0"/>
          <w:numId w:val="1007"/>
        </w:numPr>
      </w:pPr>
      <w:r>
        <w:t xml:space="preserve">readiness verte ;</w:t>
      </w:r>
    </w:p>
    <w:p>
      <w:pPr>
        <w:pStyle w:val="Compact"/>
        <w:numPr>
          <w:ilvl w:val="0"/>
          <w:numId w:val="1007"/>
        </w:numPr>
      </w:pPr>
      <w:r>
        <w:t xml:space="preserve">connecteurs critiques testés ;</w:t>
      </w:r>
    </w:p>
    <w:p>
      <w:pPr>
        <w:pStyle w:val="Compact"/>
        <w:numPr>
          <w:ilvl w:val="0"/>
          <w:numId w:val="1007"/>
        </w:numPr>
      </w:pPr>
      <w:r>
        <w:t xml:space="preserve">logs/alertes visibles ;</w:t>
      </w:r>
    </w:p>
    <w:p>
      <w:pPr>
        <w:pStyle w:val="Compact"/>
        <w:numPr>
          <w:ilvl w:val="0"/>
          <w:numId w:val="1007"/>
        </w:numPr>
      </w:pPr>
      <w:r>
        <w:t xml:space="preserve">première configuration locale protégée et verrouillée après création du premier owner ;</w:t>
      </w:r>
    </w:p>
    <w:p>
      <w:pPr>
        <w:pStyle w:val="Compact"/>
        <w:numPr>
          <w:ilvl w:val="0"/>
          <w:numId w:val="1007"/>
        </w:numPr>
      </w:pPr>
      <w:r>
        <w:t xml:space="preserve">aucun secret d'exemple ;</w:t>
      </w:r>
    </w:p>
    <w:p>
      <w:pPr>
        <w:pStyle w:val="Compact"/>
        <w:numPr>
          <w:ilvl w:val="0"/>
          <w:numId w:val="1007"/>
        </w:numPr>
      </w:pPr>
      <w:r>
        <w:t xml:space="preserve">scans de sécurité traités.</w:t>
      </w:r>
    </w:p>
    <w:bookmarkEnd w:id="30"/>
    <w:bookmarkEnd w:id="31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v2.81.1 — Guide d'exploitation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d'exploitation</dc:title>
  <dc:creator>DataVision AI Project</dc:creator>
  <cp:keywords/>
  <dcterms:created xsi:type="dcterms:W3CDTF">2026-09-22T08:05:15Z</dcterms:created>
  <dcterms:modified xsi:type="dcterms:W3CDTF">2026-09-22T08:05:15Z</dcterms:modified>
  <dc:subject>DataVision AI v2.81.1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