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guide-utilisateur---datavision-ai-v2810"/>
    <w:p>
      <w:pPr>
        <w:pStyle w:val="Title"/>
        <w:spacing w:after="360"/>
        <w:jc w:val="center"/>
      </w:pPr>
      <w:r>
        <w:t xml:space="preserve">Guide utilisateur - DataVision AI v2.81.0</w:t>
      </w:r>
    </w:p>
    <w:bookmarkStart w:id="21" w:name="Xe8996e2425fac6db2bbaf9507862605bda10a85"/>
    <w:p>
      <w:pPr>
        <w:pStyle w:val="Heading2"/>
        <w:keepNext/>
      </w:pPr>
      <w:r>
        <w:t xml:space="preserve">1. Accès à DataVision</w:t>
      </w:r>
    </w:p>
    <w:p>
      <w:pPr>
        <w:pStyle w:val="FirstParagraph"/>
      </w:pPr>
      <w:r>
        <w:t xml:space="preserve">DataVision v2.81 demande une authentification par défaut. L'écran de connexion est donc normal et attendu.</w:t>
      </w:r>
    </w:p>
    <w:bookmarkStart w:id="20" w:name="première-utilisation"/>
    <w:p>
      <w:pPr>
        <w:pStyle w:val="Heading3"/>
        <w:keepNext/>
      </w:pPr>
      <w:r>
        <w:t xml:space="preserve">Première utilisation</w:t>
      </w:r>
    </w:p>
    <w:p>
      <w:pPr>
        <w:pStyle w:val="FirstParagraph"/>
      </w:pPr>
      <w:r>
        <w:t xml:space="preserve">Si aucun compte n'existe encore, l'administrateur réalise une initialisation unique du propriétaire. Selon la configuration, il doit fournir le</w:t>
      </w:r>
      <w:r>
        <w:t xml:space="preserve"> </w:t>
      </w:r>
      <w:r>
        <w:rPr>
          <w:rStyle w:val="VerbatimChar"/>
        </w:rPr>
        <w:t xml:space="preserve">BOOTSTRAP_SECRET</w:t>
      </w:r>
      <w:r>
        <w:t xml:space="preserve"> </w:t>
      </w:r>
      <w:r>
        <w:t xml:space="preserve">généré lors de l'installation.</w:t>
      </w:r>
    </w:p>
    <w:p>
      <w:pPr>
        <w:pStyle w:val="BodyText"/>
      </w:pPr>
      <w:r>
        <w:t xml:space="preserve">Après le bootstrap :</w:t>
      </w:r>
    </w:p>
    <w:p>
      <w:pPr>
        <w:pStyle w:val="Compact"/>
        <w:numPr>
          <w:ilvl w:val="0"/>
          <w:numId w:val="1001"/>
        </w:numPr>
      </w:pPr>
      <w:r>
        <w:t xml:space="preserve">connectez-vous avec le compte propriétaire ;</w:t>
      </w:r>
    </w:p>
    <w:p>
      <w:pPr>
        <w:pStyle w:val="Compact"/>
        <w:numPr>
          <w:ilvl w:val="0"/>
          <w:numId w:val="1001"/>
        </w:numPr>
      </w:pPr>
      <w:r>
        <w:t xml:space="preserve">sélectionnez le workspace ;</w:t>
      </w:r>
    </w:p>
    <w:p>
      <w:pPr>
        <w:pStyle w:val="Compact"/>
        <w:numPr>
          <w:ilvl w:val="0"/>
          <w:numId w:val="1001"/>
        </w:numPr>
      </w:pPr>
      <w:r>
        <w:t xml:space="preserve">créez les utilisateurs/membres nécessaires ;</w:t>
      </w:r>
    </w:p>
    <w:p>
      <w:pPr>
        <w:pStyle w:val="Compact"/>
        <w:numPr>
          <w:ilvl w:val="0"/>
          <w:numId w:val="1001"/>
        </w:numPr>
      </w:pPr>
      <w:r>
        <w:t xml:space="preserve">attribuez le rôle minimal adapté à chacun ;</w:t>
      </w:r>
    </w:p>
    <w:p>
      <w:pPr>
        <w:pStyle w:val="Compact"/>
        <w:numPr>
          <w:ilvl w:val="0"/>
          <w:numId w:val="1001"/>
        </w:numPr>
      </w:pPr>
      <w:r>
        <w:t xml:space="preserve">activez MFA/WebAuthn selon la politique de l'organisation.</w:t>
      </w:r>
    </w:p>
    <w:bookmarkEnd w:id="20"/>
    <w:bookmarkEnd w:id="21"/>
    <w:bookmarkStart w:id="22" w:name="Xf9b8d6f3385ee2ac39fd8355a37e63c1be4f356"/>
    <w:p>
      <w:pPr>
        <w:pStyle w:val="Heading2"/>
        <w:keepNext/>
      </w:pPr>
      <w:r>
        <w:t xml:space="preserve">2. Rôles</w:t>
      </w:r>
    </w:p>
    <w:p>
      <w:pPr>
        <w:pStyle w:val="FirstParagraph"/>
      </w:pPr>
      <w:r>
        <w:t xml:space="preserve">Les fonctionnalités visibles dépendent du rôle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: administration complète de l'organisation/workspace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: administration opérationnelle et gouvernance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Scientist</w:t>
      </w:r>
      <w:r>
        <w:t xml:space="preserve"> </w:t>
      </w:r>
      <w:r>
        <w:t xml:space="preserve">: données, analyses, modèles, notebooks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Analyst</w:t>
      </w:r>
      <w:r>
        <w:t xml:space="preserve"> </w:t>
      </w:r>
      <w:r>
        <w:t xml:space="preserve">: lecture, analyses, dashboards, reporting selon permissions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Viewer</w:t>
      </w:r>
      <w:r>
        <w:t xml:space="preserve"> </w:t>
      </w:r>
      <w:r>
        <w:t xml:space="preserve">: consultation et revue limitée.</w:t>
      </w:r>
    </w:p>
    <w:p>
      <w:pPr>
        <w:pStyle w:val="FirstParagraph"/>
      </w:pPr>
      <w:r>
        <w:t xml:space="preserve">Un rôle ne donne pas automatiquement accès à tous les datasets : l'appartenance au workspace et les politiques de données s'appliquent également.</w:t>
      </w:r>
    </w:p>
    <w:bookmarkEnd w:id="22"/>
    <w:bookmarkStart w:id="30" w:name="Xd00b52ac04a2578dc6cade71b2ad55377025e3f"/>
    <w:p>
      <w:pPr>
        <w:pStyle w:val="Heading2"/>
        <w:keepNext/>
      </w:pPr>
      <w:r>
        <w:t xml:space="preserve">3. Parcours utilisateur recommandé</w:t>
      </w:r>
    </w:p>
    <w:bookmarkStart w:id="23" w:name="étape-1---ajouter-une-source"/>
    <w:p>
      <w:pPr>
        <w:pStyle w:val="Heading3"/>
        <w:keepNext/>
      </w:pPr>
      <w:r>
        <w:t xml:space="preserve">Étape 1 - Ajouter une source</w:t>
      </w:r>
    </w:p>
    <w:p>
      <w:pPr>
        <w:pStyle w:val="FirstParagraph"/>
      </w:pPr>
      <w:r>
        <w:t xml:space="preserve">Ouvrez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puis :</w:t>
      </w:r>
    </w:p>
    <w:p>
      <w:pPr>
        <w:pStyle w:val="Compact"/>
        <w:numPr>
          <w:ilvl w:val="0"/>
          <w:numId w:val="1003"/>
        </w:numPr>
      </w:pPr>
      <w:r>
        <w:t xml:space="preserve">importez un fichier ; ou</w:t>
      </w:r>
    </w:p>
    <w:p>
      <w:pPr>
        <w:pStyle w:val="Compact"/>
        <w:numPr>
          <w:ilvl w:val="0"/>
          <w:numId w:val="1003"/>
        </w:numPr>
      </w:pPr>
      <w:r>
        <w:t xml:space="preserve">configurez un connecteur autorisé ; ou</w:t>
      </w:r>
    </w:p>
    <w:p>
      <w:pPr>
        <w:pStyle w:val="Compact"/>
        <w:numPr>
          <w:ilvl w:val="0"/>
          <w:numId w:val="1003"/>
        </w:numPr>
      </w:pPr>
      <w:r>
        <w:t xml:space="preserve">sélectionnez une source object storage / CDC configurée par l'administrateur.</w:t>
      </w:r>
    </w:p>
    <w:bookmarkEnd w:id="23"/>
    <w:bookmarkStart w:id="24" w:name="étape-2---examiner-le-dataset"/>
    <w:p>
      <w:pPr>
        <w:pStyle w:val="Heading3"/>
        <w:keepNext/>
      </w:pPr>
      <w:r>
        <w:t xml:space="preserve">Étape 2 - Examiner le dataset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b/>
          <w:bCs/>
        </w:rPr>
        <w:t xml:space="preserve">Données</w:t>
      </w:r>
      <w:r>
        <w:t xml:space="preserve">, sélectionnez le dataset et vérifiez :</w:t>
      </w:r>
    </w:p>
    <w:p>
      <w:pPr>
        <w:pStyle w:val="Compact"/>
        <w:numPr>
          <w:ilvl w:val="0"/>
          <w:numId w:val="1004"/>
        </w:numPr>
      </w:pPr>
      <w:r>
        <w:t xml:space="preserve">colonnes et types ;</w:t>
      </w:r>
    </w:p>
    <w:p>
      <w:pPr>
        <w:pStyle w:val="Compact"/>
        <w:numPr>
          <w:ilvl w:val="0"/>
          <w:numId w:val="1004"/>
        </w:numPr>
      </w:pPr>
      <w:r>
        <w:t xml:space="preserve">valeurs manquantes ;</w:t>
      </w:r>
    </w:p>
    <w:p>
      <w:pPr>
        <w:pStyle w:val="Compact"/>
        <w:numPr>
          <w:ilvl w:val="0"/>
          <w:numId w:val="1004"/>
        </w:numPr>
      </w:pPr>
      <w:r>
        <w:t xml:space="preserve">doublons ;</w:t>
      </w:r>
    </w:p>
    <w:p>
      <w:pPr>
        <w:pStyle w:val="Compact"/>
        <w:numPr>
          <w:ilvl w:val="0"/>
          <w:numId w:val="1004"/>
        </w:numPr>
      </w:pPr>
      <w:r>
        <w:t xml:space="preserve">distributions ;</w:t>
      </w:r>
    </w:p>
    <w:p>
      <w:pPr>
        <w:pStyle w:val="Compact"/>
        <w:numPr>
          <w:ilvl w:val="0"/>
          <w:numId w:val="1004"/>
        </w:numPr>
      </w:pPr>
      <w:r>
        <w:t xml:space="preserve">fraîcheur ;</w:t>
      </w:r>
    </w:p>
    <w:p>
      <w:pPr>
        <w:pStyle w:val="Compact"/>
        <w:numPr>
          <w:ilvl w:val="0"/>
          <w:numId w:val="1004"/>
        </w:numPr>
      </w:pPr>
      <w:r>
        <w:t xml:space="preserve">qualité/contrats.</w:t>
      </w:r>
    </w:p>
    <w:bookmarkEnd w:id="24"/>
    <w:bookmarkStart w:id="25" w:name="étape-3---corriger-la-qualité"/>
    <w:p>
      <w:pPr>
        <w:pStyle w:val="Heading3"/>
        <w:keepNext/>
      </w:pPr>
      <w:r>
        <w:t xml:space="preserve">Étape 3 - Corriger la qualité</w:t>
      </w:r>
    </w:p>
    <w:p>
      <w:pPr>
        <w:pStyle w:val="FirstParagraph"/>
      </w:pPr>
      <w:r>
        <w:t xml:space="preserve">Le module Qualité peut proposer un plan de remédiation. Utilisez la prévisualisation avant/après puis confirmez uniquement les actions souhaitées. Les actions sensibles ne doivent pas être appliquées sans revue.</w:t>
      </w:r>
    </w:p>
    <w:bookmarkEnd w:id="25"/>
    <w:bookmarkStart w:id="26" w:name="étape-4---préparer-les-données"/>
    <w:p>
      <w:pPr>
        <w:pStyle w:val="Heading3"/>
        <w:keepNext/>
      </w:pPr>
      <w:r>
        <w:t xml:space="preserve">Étape 4 - Préparer les données</w:t>
      </w:r>
    </w:p>
    <w:p>
      <w:pPr>
        <w:pStyle w:val="FirstParagraph"/>
      </w:pPr>
      <w:r>
        <w:t xml:space="preserve">Utilisez les transformations de préparation. Chaque opération crée une version traçable. Utilisez le lineage pour comprendre l'origine d'une version.</w:t>
      </w:r>
    </w:p>
    <w:bookmarkEnd w:id="26"/>
    <w:bookmarkStart w:id="27" w:name="étape-5---explorer-et-analyser"/>
    <w:p>
      <w:pPr>
        <w:pStyle w:val="Heading3"/>
        <w:keepNext/>
      </w:pPr>
      <w:r>
        <w:t xml:space="preserve">Étape 5 - Explorer et analyser</w:t>
      </w:r>
    </w:p>
    <w:p>
      <w:pPr>
        <w:pStyle w:val="FirstParagraph"/>
      </w:pPr>
      <w:r>
        <w:t xml:space="preserve">Selon vos droits :</w:t>
      </w:r>
    </w:p>
    <w:p>
      <w:pPr>
        <w:pStyle w:val="Compact"/>
        <w:numPr>
          <w:ilvl w:val="0"/>
          <w:numId w:val="1005"/>
        </w:numPr>
      </w:pPr>
      <w:r>
        <w:t xml:space="preserve">statistiques ;</w:t>
      </w:r>
    </w:p>
    <w:p>
      <w:pPr>
        <w:pStyle w:val="Compact"/>
        <w:numPr>
          <w:ilvl w:val="0"/>
          <w:numId w:val="1005"/>
        </w:numPr>
      </w:pPr>
      <w:r>
        <w:t xml:space="preserve">SQL ;</w:t>
      </w:r>
    </w:p>
    <w:p>
      <w:pPr>
        <w:pStyle w:val="Compact"/>
        <w:numPr>
          <w:ilvl w:val="0"/>
          <w:numId w:val="1005"/>
        </w:numPr>
      </w:pPr>
      <w:r>
        <w:t xml:space="preserve">langage naturel/NLQ ;</w:t>
      </w:r>
    </w:p>
    <w:p>
      <w:pPr>
        <w:pStyle w:val="Compact"/>
        <w:numPr>
          <w:ilvl w:val="0"/>
          <w:numId w:val="1005"/>
        </w:numPr>
      </w:pPr>
      <w:r>
        <w:t xml:space="preserve">visualisations ;</w:t>
      </w:r>
    </w:p>
    <w:p>
      <w:pPr>
        <w:pStyle w:val="Compact"/>
        <w:numPr>
          <w:ilvl w:val="0"/>
          <w:numId w:val="1005"/>
        </w:numPr>
      </w:pPr>
      <w:r>
        <w:t xml:space="preserve">tableaux de bord ;</w:t>
      </w:r>
    </w:p>
    <w:p>
      <w:pPr>
        <w:pStyle w:val="Compact"/>
        <w:numPr>
          <w:ilvl w:val="0"/>
          <w:numId w:val="1005"/>
        </w:numPr>
      </w:pPr>
      <w:r>
        <w:t xml:space="preserve">analyses avancées.</w:t>
      </w:r>
    </w:p>
    <w:bookmarkEnd w:id="27"/>
    <w:bookmarkStart w:id="28" w:name="étape-6---modéliser"/>
    <w:p>
      <w:pPr>
        <w:pStyle w:val="Heading3"/>
        <w:keepNext/>
      </w:pPr>
      <w:r>
        <w:t xml:space="preserve">Étape 6 - Modéliser</w:t>
      </w:r>
    </w:p>
    <w:p>
      <w:pPr>
        <w:pStyle w:val="FirstParagraph"/>
      </w:pPr>
      <w:r>
        <w:t xml:space="preserve">Le module Modélisation supporte :</w:t>
      </w:r>
    </w:p>
    <w:p>
      <w:pPr>
        <w:pStyle w:val="Compact"/>
        <w:numPr>
          <w:ilvl w:val="0"/>
          <w:numId w:val="1006"/>
        </w:numPr>
      </w:pPr>
      <w:r>
        <w:t xml:space="preserve">classification ;</w:t>
      </w:r>
    </w:p>
    <w:p>
      <w:pPr>
        <w:pStyle w:val="Compact"/>
        <w:numPr>
          <w:ilvl w:val="0"/>
          <w:numId w:val="1006"/>
        </w:numPr>
      </w:pPr>
      <w:r>
        <w:t xml:space="preserve">régression ;</w:t>
      </w:r>
    </w:p>
    <w:p>
      <w:pPr>
        <w:pStyle w:val="Compact"/>
        <w:numPr>
          <w:ilvl w:val="0"/>
          <w:numId w:val="1006"/>
        </w:numPr>
      </w:pPr>
      <w:r>
        <w:t xml:space="preserve">clustering ;</w:t>
      </w:r>
    </w:p>
    <w:p>
      <w:pPr>
        <w:pStyle w:val="Compact"/>
        <w:numPr>
          <w:ilvl w:val="0"/>
          <w:numId w:val="1006"/>
        </w:numPr>
      </w:pPr>
      <w:r>
        <w:t xml:space="preserve">forecasting ;</w:t>
      </w:r>
    </w:p>
    <w:p>
      <w:pPr>
        <w:pStyle w:val="Compact"/>
        <w:numPr>
          <w:ilvl w:val="0"/>
          <w:numId w:val="1006"/>
        </w:numPr>
      </w:pPr>
      <w:r>
        <w:t xml:space="preserve">détection d'anomalies.</w:t>
      </w:r>
    </w:p>
    <w:p>
      <w:pPr>
        <w:pStyle w:val="FirstParagraph"/>
      </w:pPr>
      <w:r>
        <w:t xml:space="preserve">Utilisez les model cards, diagnostics, XAI et garde-fous Responsible AI avant toute décision importante.</w:t>
      </w:r>
    </w:p>
    <w:bookmarkEnd w:id="28"/>
    <w:bookmarkStart w:id="29" w:name="étape-7---communiquer-les-résultats"/>
    <w:p>
      <w:pPr>
        <w:pStyle w:val="Heading3"/>
        <w:keepNext/>
      </w:pPr>
      <w:r>
        <w:t xml:space="preserve">Étape 7 - Communiquer les résultats</w:t>
      </w:r>
    </w:p>
    <w:p>
      <w:pPr>
        <w:pStyle w:val="FirstParagraph"/>
      </w:pPr>
      <w:r>
        <w:t xml:space="preserve">Utilisez dashboards, storytelling et rapports. Les publications peuvent être soumises à des gates de fiabilité ou de validation selon la politique du workspace.</w:t>
      </w:r>
    </w:p>
    <w:bookmarkEnd w:id="29"/>
    <w:bookmarkEnd w:id="30"/>
    <w:bookmarkStart w:id="31" w:name="Xae24d259b80492a81f47c9f330fd9f7e778c076"/>
    <w:p>
      <w:pPr>
        <w:pStyle w:val="Heading2"/>
        <w:keepNext/>
      </w:pPr>
      <w:r>
        <w:t xml:space="preserve">4. Assistant DataVision AI</w:t>
      </w:r>
    </w:p>
    <w:p>
      <w:pPr>
        <w:pStyle w:val="FirstParagraph"/>
      </w:pPr>
      <w:r>
        <w:t xml:space="preserve">Le bouton flottant ouvre l'assistant conversationnel. Il peut :</w:t>
      </w:r>
    </w:p>
    <w:p>
      <w:pPr>
        <w:pStyle w:val="Compact"/>
        <w:numPr>
          <w:ilvl w:val="0"/>
          <w:numId w:val="1007"/>
        </w:numPr>
      </w:pPr>
      <w:r>
        <w:t xml:space="preserve">utiliser le contexte du dataset/workspace actif ;</w:t>
      </w:r>
    </w:p>
    <w:p>
      <w:pPr>
        <w:pStyle w:val="Compact"/>
        <w:numPr>
          <w:ilvl w:val="0"/>
          <w:numId w:val="1007"/>
        </w:numPr>
      </w:pPr>
      <w:r>
        <w:t xml:space="preserve">expliquer une erreur ;</w:t>
      </w:r>
    </w:p>
    <w:p>
      <w:pPr>
        <w:pStyle w:val="Compact"/>
        <w:numPr>
          <w:ilvl w:val="0"/>
          <w:numId w:val="1007"/>
        </w:numPr>
      </w:pPr>
      <w:r>
        <w:t xml:space="preserve">proposer un workflow ;</w:t>
      </w:r>
    </w:p>
    <w:p>
      <w:pPr>
        <w:pStyle w:val="Compact"/>
        <w:numPr>
          <w:ilvl w:val="0"/>
          <w:numId w:val="1007"/>
        </w:numPr>
      </w:pPr>
      <w:r>
        <w:t xml:space="preserve">déclencher des actions autorisées ;</w:t>
      </w:r>
    </w:p>
    <w:p>
      <w:pPr>
        <w:pStyle w:val="Compact"/>
        <w:numPr>
          <w:ilvl w:val="0"/>
          <w:numId w:val="1007"/>
        </w:numPr>
      </w:pPr>
      <w:r>
        <w:t xml:space="preserve">manipuler/générer des artefacts selon les capacités disponibles.</w:t>
      </w:r>
    </w:p>
    <w:p>
      <w:pPr>
        <w:pStyle w:val="FirstParagraph"/>
      </w:pPr>
      <w:r>
        <w:t xml:space="preserve">L'assistant n'annule pas les règles de permission. Si une action est interdite à votre compte, l'assistant doit également la refuser.</w:t>
      </w:r>
    </w:p>
    <w:bookmarkEnd w:id="31"/>
    <w:bookmarkStart w:id="32" w:name="X9ae38811e08d5e4f75b01f85067c38b2df93a68"/>
    <w:p>
      <w:pPr>
        <w:pStyle w:val="Heading2"/>
        <w:keepNext/>
      </w:pPr>
      <w:r>
        <w:t xml:space="preserve">5. Notebook Studio</w:t>
      </w:r>
    </w:p>
    <w:p>
      <w:pPr>
        <w:pStyle w:val="FirstParagraph"/>
      </w:pPr>
      <w:r>
        <w:t xml:space="preserve">Notebook Studio permet d'exécuter Python/R dans un environnement isolé. Vérifiez l'empreinte d'environnement affichée lorsque la reproductibilité est importante. Une modification de packages peut invalider le kernel et exiger son redémarrage.</w:t>
      </w:r>
    </w:p>
    <w:bookmarkEnd w:id="32"/>
    <w:bookmarkStart w:id="33" w:name="Xb47b42d7043bc0652cd637ee6e25340a6720a6f"/>
    <w:p>
      <w:pPr>
        <w:pStyle w:val="Heading2"/>
        <w:keepNext/>
      </w:pPr>
      <w:r>
        <w:t xml:space="preserve">6. Langues et accessibilité</w:t>
      </w:r>
    </w:p>
    <w:p>
      <w:pPr>
        <w:pStyle w:val="FirstParagraph"/>
      </w:pPr>
      <w:r>
        <w:t xml:space="preserve">L'interface supporte français, anglais, espagnol et arabe. L'arabe active le mode RTL. Les options d'accessibilité incluent navigation clavier, focus visible, contraste renforcé et réduction des animations.</w:t>
      </w:r>
    </w:p>
    <w:bookmarkEnd w:id="33"/>
    <w:bookmarkStart w:id="34" w:name="Xa87dd9a91fa54602c7b9bb2b320fce98450ec61"/>
    <w:p>
      <w:pPr>
        <w:pStyle w:val="Heading2"/>
        <w:keepNext/>
      </w:pPr>
      <w:r>
        <w:t xml:space="preserve">7. Bonnes pratiques de sécurité utilisateur</w:t>
      </w:r>
    </w:p>
    <w:p>
      <w:pPr>
        <w:pStyle w:val="Compact"/>
        <w:numPr>
          <w:ilvl w:val="0"/>
          <w:numId w:val="1008"/>
        </w:numPr>
      </w:pPr>
      <w:r>
        <w:t xml:space="preserve">ne partagez jamais mot de passe, token ou secret de connecteur ;</w:t>
      </w:r>
    </w:p>
    <w:p>
      <w:pPr>
        <w:pStyle w:val="Compact"/>
        <w:numPr>
          <w:ilvl w:val="0"/>
          <w:numId w:val="1008"/>
        </w:numPr>
      </w:pPr>
      <w:r>
        <w:t xml:space="preserve">n'utilisez pas le même compte à plusieurs personnes ;</w:t>
      </w:r>
    </w:p>
    <w:p>
      <w:pPr>
        <w:pStyle w:val="Compact"/>
        <w:numPr>
          <w:ilvl w:val="0"/>
          <w:numId w:val="1008"/>
        </w:numPr>
      </w:pPr>
      <w:r>
        <w:t xml:space="preserve">activez MFA/WebAuthn quand disponible ;</w:t>
      </w:r>
    </w:p>
    <w:p>
      <w:pPr>
        <w:pStyle w:val="Compact"/>
        <w:numPr>
          <w:ilvl w:val="0"/>
          <w:numId w:val="1008"/>
        </w:numPr>
      </w:pPr>
      <w:r>
        <w:t xml:space="preserve">verrouillez votre poste lorsque vous vous absentez ;</w:t>
      </w:r>
    </w:p>
    <w:p>
      <w:pPr>
        <w:pStyle w:val="Compact"/>
        <w:numPr>
          <w:ilvl w:val="0"/>
          <w:numId w:val="1008"/>
        </w:numPr>
      </w:pPr>
      <w:r>
        <w:t xml:space="preserve">déconnectez toutes les sessions en cas de doute ;</w:t>
      </w:r>
    </w:p>
    <w:p>
      <w:pPr>
        <w:pStyle w:val="Compact"/>
        <w:numPr>
          <w:ilvl w:val="0"/>
          <w:numId w:val="1008"/>
        </w:numPr>
      </w:pPr>
      <w:r>
        <w:t xml:space="preserve">n'importez des données sensibles que dans le bon workspace ;</w:t>
      </w:r>
    </w:p>
    <w:p>
      <w:pPr>
        <w:pStyle w:val="Compact"/>
        <w:numPr>
          <w:ilvl w:val="0"/>
          <w:numId w:val="1008"/>
        </w:numPr>
      </w:pPr>
      <w:r>
        <w:t xml:space="preserve">vérifiez le destinataire avant publication/export ;</w:t>
      </w:r>
    </w:p>
    <w:p>
      <w:pPr>
        <w:pStyle w:val="Compact"/>
        <w:numPr>
          <w:ilvl w:val="0"/>
          <w:numId w:val="1008"/>
        </w:numPr>
      </w:pPr>
      <w:r>
        <w:t xml:space="preserve">signalez immédiatement une activité inhabituelle.</w:t>
      </w:r>
    </w:p>
    <w:bookmarkEnd w:id="34"/>
    <w:bookmarkStart w:id="40" w:name="X0b4f8ddccbca9d6656b6315975ce6318f831c62"/>
    <w:p>
      <w:pPr>
        <w:pStyle w:val="Heading2"/>
        <w:keepNext/>
      </w:pPr>
      <w:r>
        <w:t xml:space="preserve">8. Problèmes courants</w:t>
      </w:r>
    </w:p>
    <w:bookmarkStart w:id="35" w:name="X23ef4e999ddd23720f90c84326d01be691d8a34"/>
    <w:p>
      <w:pPr>
        <w:pStyle w:val="Heading3"/>
        <w:keepNext/>
      </w:pPr>
      <w:r>
        <w:t xml:space="preserve">« Authentification requise »</w:t>
      </w:r>
    </w:p>
    <w:p>
      <w:pPr>
        <w:pStyle w:val="FirstParagraph"/>
      </w:pPr>
      <w:r>
        <w:t xml:space="preserve">Reconnectez-vous et vérifiez que le workspace actif est correct. Si le problème persiste, contactez un administrateur.</w:t>
      </w:r>
    </w:p>
    <w:bookmarkEnd w:id="35"/>
    <w:bookmarkStart w:id="36" w:name="X8a2f00738e1aa90c9094c17e61f172ef033ae74"/>
    <w:p>
      <w:pPr>
        <w:pStyle w:val="Heading3"/>
        <w:keepNext/>
      </w:pPr>
      <w:r>
        <w:t xml:space="preserve">« Permission insuffisante »</w:t>
      </w:r>
    </w:p>
    <w:p>
      <w:pPr>
        <w:pStyle w:val="FirstParagraph"/>
      </w:pPr>
      <w:r>
        <w:t xml:space="preserve">Votre rôle ou le binding du dataset ne permet pas l'action demandée. Ne contournez pas le contrôle ; demandez une permission adaptée.</w:t>
      </w:r>
    </w:p>
    <w:bookmarkEnd w:id="36"/>
    <w:bookmarkStart w:id="37" w:name="dataset-absent"/>
    <w:p>
      <w:pPr>
        <w:pStyle w:val="Heading3"/>
        <w:keepNext/>
      </w:pPr>
      <w:r>
        <w:t xml:space="preserve">Dataset absent</w:t>
      </w:r>
    </w:p>
    <w:p>
      <w:pPr>
        <w:pStyle w:val="FirstParagraph"/>
      </w:pPr>
      <w:r>
        <w:t xml:space="preserve">Vérifiez le workspace et les bindings de datasets.</w:t>
      </w:r>
    </w:p>
    <w:bookmarkEnd w:id="37"/>
    <w:bookmarkStart w:id="38" w:name="notebook-indisponible"/>
    <w:p>
      <w:pPr>
        <w:pStyle w:val="Heading3"/>
        <w:keepNext/>
      </w:pPr>
      <w:r>
        <w:t xml:space="preserve">Notebook indisponible</w:t>
      </w:r>
    </w:p>
    <w:p>
      <w:pPr>
        <w:pStyle w:val="FirstParagraph"/>
      </w:pPr>
      <w:r>
        <w:t xml:space="preserve">Vérifiez l'état du sandbox et l'environnement du workspace.</w:t>
      </w:r>
    </w:p>
    <w:bookmarkEnd w:id="38"/>
    <w:bookmarkStart w:id="39" w:name="connecteur-en-erreur"/>
    <w:p>
      <w:pPr>
        <w:pStyle w:val="Heading3"/>
        <w:keepNext/>
      </w:pPr>
      <w:r>
        <w:t xml:space="preserve">Connecteur en erreur</w:t>
      </w:r>
    </w:p>
    <w:p>
      <w:pPr>
        <w:pStyle w:val="FirstParagraph"/>
      </w:pPr>
      <w:r>
        <w:t xml:space="preserve">Vérifiez les credentials, le réseau, TLS et les permissions de la source. Ne collez jamais un secret dans un ticket non sécurisé.</w:t>
      </w:r>
    </w:p>
    <w:bookmarkEnd w:id="39"/>
    <w:bookmarkEnd w:id="40"/>
    <w:bookmarkStart w:id="41" w:name="X3abe3469623a1337b019bc9328e19b6ee021abe"/>
    <w:p>
      <w:pPr>
        <w:pStyle w:val="Heading2"/>
        <w:keepNext/>
      </w:pPr>
      <w:r>
        <w:t xml:space="preserve">9. Déconnexion</w:t>
      </w:r>
    </w:p>
    <w:p>
      <w:pPr>
        <w:pStyle w:val="FirstParagraph"/>
      </w:pPr>
      <w:r>
        <w:t xml:space="preserve">Utilisez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 </w:t>
      </w:r>
      <w:r>
        <w:t xml:space="preserve">à la fin d'une session. Pour un incident ou un appareil perdu, utilisez la révocation de sessions / « déconnexion de toutes les sessions ».</w:t>
      </w:r>
    </w:p>
    <w:bookmarkEnd w:id="41"/>
    <w:bookmarkEnd w:id="42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v2.81.0 — Guide utilisateur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</dc:title>
  <dc:creator>DataVision AI Project</dc:creator>
  <cp:keywords/>
  <dcterms:created xsi:type="dcterms:W3CDTF">2026-09-22T06:21:19Z</dcterms:created>
  <dcterms:modified xsi:type="dcterms:W3CDTF">2026-09-22T06:21:19Z</dcterms:modified>
  <dc:subject>DataVision AI v2.81.0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