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B8" w:rsidRPr="005571A7" w:rsidRDefault="004200B8" w:rsidP="004200B8">
      <w:pPr>
        <w:pStyle w:val="a9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5571A7">
        <w:rPr>
          <w:color w:val="000000"/>
          <w:sz w:val="28"/>
          <w:szCs w:val="28"/>
          <w:lang w:val="ru-RU"/>
        </w:rPr>
        <w:t>Учреждение образования</w:t>
      </w:r>
    </w:p>
    <w:p w:rsidR="004200B8" w:rsidRPr="005571A7" w:rsidRDefault="004200B8" w:rsidP="004200B8">
      <w:pPr>
        <w:pStyle w:val="a9"/>
        <w:spacing w:before="0" w:beforeAutospacing="0" w:after="4200" w:afterAutospacing="0"/>
        <w:jc w:val="center"/>
        <w:rPr>
          <w:sz w:val="28"/>
          <w:szCs w:val="28"/>
          <w:lang w:val="ru-RU"/>
        </w:rPr>
      </w:pPr>
      <w:r w:rsidRPr="005571A7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571A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№</w:t>
      </w:r>
      <w:r w:rsidRPr="004200B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13</w:t>
      </w:r>
      <w:r w:rsidRPr="005571A7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494CF9" w:rsidRPr="00494CF9" w:rsidRDefault="00494CF9" w:rsidP="00494CF9">
      <w:pPr>
        <w:jc w:val="center"/>
        <w:rPr>
          <w:rFonts w:ascii="Times New Roman" w:eastAsia="Franklin Gothic Medium" w:hAnsi="Times New Roman" w:cs="Times New Roman"/>
          <w:sz w:val="28"/>
          <w:szCs w:val="28"/>
        </w:rPr>
      </w:pPr>
      <w:r w:rsidRPr="00494CF9">
        <w:rPr>
          <w:rFonts w:ascii="Times New Roman" w:eastAsia="Franklin Gothic Medium" w:hAnsi="Times New Roman" w:cs="Times New Roman"/>
          <w:sz w:val="28"/>
          <w:szCs w:val="28"/>
        </w:rPr>
        <w:t xml:space="preserve">Исследование </w:t>
      </w:r>
      <w:proofErr w:type="spellStart"/>
      <w:r w:rsidRPr="00494CF9">
        <w:rPr>
          <w:rFonts w:ascii="Times New Roman" w:eastAsia="Franklin Gothic Medium" w:hAnsi="Times New Roman" w:cs="Times New Roman"/>
          <w:sz w:val="28"/>
          <w:szCs w:val="28"/>
        </w:rPr>
        <w:t>стеганографического</w:t>
      </w:r>
      <w:proofErr w:type="spellEnd"/>
      <w:r w:rsidRPr="00494CF9">
        <w:rPr>
          <w:rFonts w:ascii="Times New Roman" w:eastAsia="Franklin Gothic Medium" w:hAnsi="Times New Roman" w:cs="Times New Roman"/>
          <w:sz w:val="28"/>
          <w:szCs w:val="28"/>
        </w:rPr>
        <w:t xml:space="preserve"> метода на основе преобразования наименее значащих битов</w:t>
      </w:r>
    </w:p>
    <w:p w:rsidR="004200B8" w:rsidRPr="00494CF9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494CF9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494CF9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4200B8" w:rsidRPr="005571A7" w:rsidSect="004200B8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4200B8" w:rsidRPr="005571A7" w:rsidRDefault="004200B8" w:rsidP="004200B8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71A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</w:p>
    <w:p w:rsidR="004200B8" w:rsidRPr="005571A7" w:rsidRDefault="004200B8" w:rsidP="004200B8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00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Студент: </w:t>
      </w:r>
      <w:r w:rsidRPr="005571A7">
        <w:rPr>
          <w:rFonts w:ascii="Times New Roman" w:hAnsi="Times New Roman" w:cs="Times New Roman"/>
          <w:sz w:val="28"/>
          <w:szCs w:val="28"/>
        </w:rPr>
        <w:t>3</w:t>
      </w:r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 курса 6 группы</w:t>
      </w:r>
    </w:p>
    <w:p w:rsidR="004200B8" w:rsidRPr="005571A7" w:rsidRDefault="004200B8" w:rsidP="004200B8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F2706D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5571A7">
        <w:rPr>
          <w:rFonts w:ascii="Times New Roman" w:eastAsia="Calibri" w:hAnsi="Times New Roman" w:cs="Times New Roman"/>
          <w:sz w:val="28"/>
          <w:szCs w:val="28"/>
        </w:rPr>
        <w:t>Коктыш Е.С.</w:t>
      </w:r>
    </w:p>
    <w:p w:rsidR="004200B8" w:rsidRPr="005571A7" w:rsidRDefault="004200B8" w:rsidP="004200B8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 Преподаватель:</w:t>
      </w:r>
      <w:r w:rsidRPr="00F270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571A7">
        <w:rPr>
          <w:rFonts w:ascii="Times New Roman" w:eastAsia="Calibri" w:hAnsi="Times New Roman" w:cs="Times New Roman"/>
          <w:sz w:val="28"/>
          <w:szCs w:val="28"/>
        </w:rPr>
        <w:t>Нистюк</w:t>
      </w:r>
      <w:proofErr w:type="spellEnd"/>
      <w:r w:rsidRPr="005571A7">
        <w:rPr>
          <w:rFonts w:ascii="Times New Roman" w:eastAsia="Calibri" w:hAnsi="Times New Roman" w:cs="Times New Roman"/>
          <w:sz w:val="28"/>
          <w:szCs w:val="28"/>
        </w:rPr>
        <w:t xml:space="preserve"> О.А.</w:t>
      </w:r>
    </w:p>
    <w:p w:rsidR="004200B8" w:rsidRPr="005571A7" w:rsidRDefault="004200B8" w:rsidP="004200B8">
      <w:pPr>
        <w:spacing w:before="3480"/>
        <w:rPr>
          <w:rFonts w:ascii="Times New Roman" w:eastAsia="Calibri" w:hAnsi="Times New Roman" w:cs="Times New Roman"/>
          <w:sz w:val="28"/>
          <w:szCs w:val="28"/>
        </w:rPr>
        <w:sectPr w:rsidR="004200B8" w:rsidRPr="005571A7" w:rsidSect="004200B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4200B8" w:rsidRPr="00F2706D" w:rsidRDefault="004200B8" w:rsidP="004200B8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4200B8" w:rsidRPr="00F2706D" w:rsidSect="004200B8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 w:rsidRPr="005571A7"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 w:rsidRPr="00F2706D">
        <w:rPr>
          <w:rFonts w:ascii="Times New Roman" w:eastAsia="Calibri" w:hAnsi="Times New Roman" w:cs="Times New Roman"/>
          <w:sz w:val="28"/>
          <w:szCs w:val="28"/>
        </w:rPr>
        <w:t>4</w:t>
      </w:r>
    </w:p>
    <w:p w:rsidR="004200B8" w:rsidRPr="005571A7" w:rsidRDefault="004200B8" w:rsidP="004200B8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71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4200B8" w:rsidRDefault="004200B8" w:rsidP="00494CF9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00B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Стеганографическая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система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stegosystem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стегосистема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стеганосистема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Абстрактно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стеганографическая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стеганосообщений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S, и наоборот. Основные компоненты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стеганосистемы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стеганосистемы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характеризуют как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многоключевые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и т. д.;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контейнер с осажденным сообщением или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стеганоконтейнер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стеганоконтейнер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будем именовать также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стеганосообщением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для полноты упомянем также субъектов системы: отправителя и получателя.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аудиостеганография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видеостеганография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графическая стеганография,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текстовая стеганография и др.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При построении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стеганосистемы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должны, таким образом, учитываться следующие основные положения: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стеганосообщения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каналу связи оно никоим образом не должно привлечь внимание атакующего;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противник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интруз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имеет полное представление о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стеганографической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:rsidR="00494CF9" w:rsidRPr="00494CF9" w:rsidRDefault="00494CF9" w:rsidP="00494CF9">
      <w:pPr>
        <w:pStyle w:val="a8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Red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), зеленого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Green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и синего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Blue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цветов. Совокупность интенсивностей цвета в каждом из 3-х каналов определяет оттенок пикселя.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Представим пиксель тремя байтами в битовом виде.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Одним из простейших и понятных для решения наших задач является формат BMP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BitMaP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y-координатой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Контейнеры на основе BMP-формата разделяют на два класса: «чистые» и зашумленные. В первых прослеживается связь между младшими </w:t>
      </w: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Другим из растровых форматов используемых в стеганографии контейнеров является формат PNG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Portable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Network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Graphics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). По качеству цветового отображения данный формат превосходит JPEG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Joint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Photographic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Experts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Group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и GIF (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Graphics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Interchange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Format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), но размер файла будет на 30-40% больше.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стеганоконтейнера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экспертов подозрений не вызывает при визуальном его контроле.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модифицировать только самые младшие биты всех цветовых каналов матрицы, то максимальный объем осаждаемого сообщения (VM </w:t>
      </w:r>
      <w:proofErr w:type="spellStart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max</w:t>
      </w:r>
      <w:proofErr w:type="spellEnd"/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) не должен превышать 750 тыс. бит.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:rsidR="00494CF9" w:rsidRPr="00494CF9" w:rsidRDefault="00494CF9" w:rsidP="00494CF9">
      <w:pPr>
        <w:spacing w:after="0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4CF9">
        <w:rPr>
          <w:rFonts w:ascii="Times New Roman" w:eastAsia="Calibri" w:hAnsi="Times New Roman" w:cs="Times New Roman"/>
          <w:color w:val="000000"/>
          <w:sz w:val="28"/>
          <w:szCs w:val="28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:rsidR="00494CF9" w:rsidRDefault="00494CF9" w:rsidP="00494CF9">
      <w:pPr>
        <w:pStyle w:val="a8"/>
        <w:spacing w:after="0" w:line="240" w:lineRule="auto"/>
        <w:ind w:left="0" w:firstLine="709"/>
        <w:jc w:val="both"/>
      </w:pPr>
    </w:p>
    <w:p w:rsidR="00494CF9" w:rsidRDefault="00494CF9" w:rsidP="00494CF9">
      <w:pPr>
        <w:pStyle w:val="a8"/>
        <w:spacing w:after="0" w:line="240" w:lineRule="auto"/>
        <w:ind w:left="0" w:firstLine="709"/>
        <w:jc w:val="both"/>
      </w:pPr>
    </w:p>
    <w:p w:rsidR="00494CF9" w:rsidRDefault="00494CF9" w:rsidP="00494CF9">
      <w:pPr>
        <w:pStyle w:val="a8"/>
        <w:spacing w:after="0" w:line="240" w:lineRule="auto"/>
        <w:ind w:left="0" w:firstLine="709"/>
        <w:jc w:val="both"/>
      </w:pPr>
    </w:p>
    <w:p w:rsidR="00494CF9" w:rsidRPr="00494CF9" w:rsidRDefault="00494CF9" w:rsidP="00494CF9">
      <w:pPr>
        <w:pStyle w:val="a8"/>
        <w:spacing w:after="0" w:line="240" w:lineRule="auto"/>
        <w:ind w:left="0" w:firstLine="709"/>
        <w:jc w:val="both"/>
      </w:pPr>
    </w:p>
    <w:p w:rsidR="004200B8" w:rsidRPr="005571A7" w:rsidRDefault="004200B8" w:rsidP="004200B8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200B8" w:rsidRPr="005571A7" w:rsidRDefault="004200B8" w:rsidP="004200B8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71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Практическая часть </w:t>
      </w:r>
    </w:p>
    <w:p w:rsidR="00494CF9" w:rsidRPr="000E4F62" w:rsidRDefault="00494CF9" w:rsidP="00494CF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>В данной лабораторной работе необходимо разработать пользовательское приложение, которое должно реализовывать следующие операции:</w:t>
      </w:r>
      <w:r w:rsidRPr="000E4F62">
        <w:rPr>
          <w:rFonts w:ascii="Times New Roman" w:hAnsi="Times New Roman" w:cs="Times New Roman"/>
          <w:sz w:val="28"/>
        </w:rPr>
        <w:t xml:space="preserve"> </w:t>
      </w:r>
    </w:p>
    <w:p w:rsidR="00494CF9" w:rsidRPr="000E4F62" w:rsidRDefault="00494CF9" w:rsidP="00494CF9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выбор файла-контейнера – по согласованию с преподавателем; </w:t>
      </w:r>
    </w:p>
    <w:p w:rsidR="00494CF9" w:rsidRPr="000E4F62" w:rsidRDefault="00494CF9" w:rsidP="00494CF9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реализовать два варианта осаждаемого/извлекаемого сообщения: </w:t>
      </w:r>
      <w:r w:rsidRPr="000E4F62">
        <w:rPr>
          <w:rFonts w:ascii="Times New Roman" w:hAnsi="Times New Roman" w:cs="Times New Roman"/>
          <w:color w:val="000000"/>
          <w:sz w:val="28"/>
          <w:szCs w:val="32"/>
        </w:rPr>
        <w:sym w:font="Symbol" w:char="F0FC"/>
      </w:r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 собственные фамилия, имя и отчество; текстовая часть отчета по одной из выполненных лабораторных работ;</w:t>
      </w:r>
    </w:p>
    <w:p w:rsidR="00494CF9" w:rsidRPr="000E4F62" w:rsidRDefault="00494CF9" w:rsidP="00494CF9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:rsidR="00494CF9" w:rsidRPr="000E4F62" w:rsidRDefault="00494CF9" w:rsidP="00494CF9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:rsidR="00494CF9" w:rsidRPr="000E4F62" w:rsidRDefault="00494CF9" w:rsidP="00494CF9">
      <w:pPr>
        <w:pStyle w:val="a8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выполнить визуальный анализ (с привлечением коллег в качестве экспертов) </w:t>
      </w:r>
      <w:proofErr w:type="spellStart"/>
      <w:r w:rsidRPr="000E4F62">
        <w:rPr>
          <w:rFonts w:ascii="Times New Roman" w:hAnsi="Times New Roman" w:cs="Times New Roman"/>
          <w:color w:val="000000"/>
          <w:sz w:val="28"/>
          <w:szCs w:val="32"/>
        </w:rPr>
        <w:t>стеганоконтейнеров</w:t>
      </w:r>
      <w:proofErr w:type="spellEnd"/>
      <w:r w:rsidRPr="000E4F62">
        <w:rPr>
          <w:rFonts w:ascii="Times New Roman" w:hAnsi="Times New Roman" w:cs="Times New Roman"/>
          <w:color w:val="000000"/>
          <w:sz w:val="28"/>
          <w:szCs w:val="32"/>
        </w:rPr>
        <w:t xml:space="preserve"> с различным внутренним содержанием; сделать выводы на основе выполненного анализа.</w:t>
      </w:r>
    </w:p>
    <w:p w:rsidR="00494CF9" w:rsidRDefault="00494CF9" w:rsidP="00494CF9">
      <w:pPr>
        <w:pStyle w:val="a8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4F62">
        <w:rPr>
          <w:rFonts w:ascii="Times New Roman" w:eastAsia="Calibri" w:hAnsi="Times New Roman" w:cs="Times New Roman"/>
          <w:color w:val="000000"/>
          <w:sz w:val="28"/>
        </w:rPr>
        <w:t xml:space="preserve"> Для выполнения задания были разработаны функции для </w:t>
      </w:r>
      <w:r w:rsidRPr="000E4F62">
        <w:rPr>
          <w:rFonts w:ascii="Times New Roman" w:eastAsia="Calibri" w:hAnsi="Times New Roman" w:cs="Times New Roman"/>
          <w:color w:val="000000"/>
          <w:sz w:val="28"/>
          <w:szCs w:val="28"/>
        </w:rPr>
        <w:t>осаждения/извлечения тайной информации на основе метода НЗБ.</w:t>
      </w:r>
    </w:p>
    <w:p w:rsidR="00494CF9" w:rsidRPr="00424E49" w:rsidRDefault="00494CF9" w:rsidP="00494CF9">
      <w:pPr>
        <w:pStyle w:val="a8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После запуска приложения открывается форма, в которой можно ввести тайный текст и выбрать пустой контейнер.</w:t>
      </w:r>
    </w:p>
    <w:p w:rsidR="00494CF9" w:rsidRPr="001B2005" w:rsidRDefault="00494CF9" w:rsidP="00494CF9">
      <w:pPr>
        <w:pStyle w:val="ae"/>
      </w:pPr>
      <w:r w:rsidRPr="00721147">
        <w:rPr>
          <w:noProof/>
          <w:szCs w:val="28"/>
          <w:lang w:val="en-US"/>
        </w:rPr>
        <w:drawing>
          <wp:inline distT="0" distB="0" distL="0" distR="0" wp14:anchorId="049C1C11" wp14:editId="73ED6FEB">
            <wp:extent cx="2415149" cy="204419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749"/>
                    <a:stretch/>
                  </pic:blipFill>
                  <pic:spPr bwMode="auto">
                    <a:xfrm>
                      <a:off x="0" y="0"/>
                      <a:ext cx="2441334" cy="206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F9" w:rsidRPr="00494CF9" w:rsidRDefault="00494CF9" w:rsidP="00494CF9">
      <w:pPr>
        <w:pStyle w:val="ac"/>
        <w:rPr>
          <w:i/>
        </w:rPr>
      </w:pPr>
      <w:r>
        <w:t>Рисунок 2</w:t>
      </w:r>
      <w:r w:rsidRPr="009B485B">
        <w:t>.</w:t>
      </w:r>
      <w:r>
        <w:t xml:space="preserve">1 </w:t>
      </w:r>
      <w:r w:rsidRPr="00220C5F">
        <w:t xml:space="preserve">– </w:t>
      </w:r>
      <w:r>
        <w:t>Окно приложения</w:t>
      </w:r>
    </w:p>
    <w:p w:rsidR="00494CF9" w:rsidRPr="00494CF9" w:rsidRDefault="00494CF9" w:rsidP="00494CF9">
      <w:pPr>
        <w:pStyle w:val="a9"/>
        <w:spacing w:before="0" w:beforeAutospacing="0" w:after="0" w:afterAutospacing="0"/>
        <w:ind w:firstLine="709"/>
        <w:jc w:val="both"/>
        <w:rPr>
          <w:lang w:val="ru-RU"/>
        </w:rPr>
      </w:pPr>
      <w:r w:rsidRPr="00494CF9">
        <w:rPr>
          <w:color w:val="000000"/>
          <w:sz w:val="28"/>
          <w:szCs w:val="28"/>
          <w:lang w:val="ru-RU"/>
        </w:rPr>
        <w:t xml:space="preserve">В основе </w:t>
      </w:r>
      <w:proofErr w:type="spellStart"/>
      <w:r w:rsidRPr="00494CF9">
        <w:rPr>
          <w:color w:val="000000"/>
          <w:sz w:val="28"/>
          <w:szCs w:val="28"/>
          <w:lang w:val="ru-RU"/>
        </w:rPr>
        <w:t>стеганографических</w:t>
      </w:r>
      <w:proofErr w:type="spellEnd"/>
      <w:r w:rsidRPr="00494CF9">
        <w:rPr>
          <w:color w:val="000000"/>
          <w:sz w:val="28"/>
          <w:szCs w:val="28"/>
          <w:lang w:val="ru-RU"/>
        </w:rPr>
        <w:t xml:space="preserve"> преобразований лежит изображе</w:t>
      </w:r>
      <w:r>
        <w:rPr>
          <w:color w:val="000000"/>
          <w:sz w:val="28"/>
          <w:szCs w:val="28"/>
          <w:lang w:val="ru-RU"/>
        </w:rPr>
        <w:t xml:space="preserve">ние, представленное на рисунке </w:t>
      </w:r>
      <w:r w:rsidRPr="00494CF9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.</w:t>
      </w:r>
      <w:r w:rsidRPr="00494CF9">
        <w:rPr>
          <w:color w:val="000000"/>
          <w:sz w:val="28"/>
          <w:szCs w:val="28"/>
          <w:lang w:val="ru-RU"/>
        </w:rPr>
        <w:t>2</w:t>
      </w:r>
      <w:r w:rsidRPr="00494CF9">
        <w:rPr>
          <w:color w:val="000000"/>
          <w:sz w:val="28"/>
          <w:szCs w:val="28"/>
          <w:lang w:val="ru-RU"/>
        </w:rPr>
        <w:t>.</w:t>
      </w:r>
    </w:p>
    <w:p w:rsidR="002E68CD" w:rsidRPr="00494CF9" w:rsidRDefault="00494CF9" w:rsidP="00494CF9">
      <w:pPr>
        <w:pStyle w:val="a9"/>
        <w:spacing w:before="0" w:beforeAutospacing="0" w:after="0" w:afterAutospacing="0"/>
        <w:ind w:firstLine="709"/>
        <w:jc w:val="center"/>
        <w:rPr>
          <w:sz w:val="28"/>
          <w:lang w:val="ru-RU"/>
        </w:rPr>
      </w:pPr>
      <w:r w:rsidRPr="00494CF9">
        <w:rPr>
          <w:sz w:val="28"/>
          <w:lang w:val="ru-RU"/>
        </w:rPr>
        <w:lastRenderedPageBreak/>
        <w:drawing>
          <wp:inline distT="0" distB="0" distL="0" distR="0" wp14:anchorId="2C5ED830" wp14:editId="4250BDD6">
            <wp:extent cx="1949883" cy="210713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027" cy="21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B8" w:rsidRDefault="00494CF9" w:rsidP="004200B8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94CF9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937D5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37D5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94CF9">
        <w:rPr>
          <w:rFonts w:ascii="Times New Roman" w:hAnsi="Times New Roman" w:cs="Times New Roman"/>
          <w:color w:val="000000"/>
          <w:sz w:val="28"/>
          <w:szCs w:val="28"/>
        </w:rPr>
        <w:t xml:space="preserve"> – Изначальное изображение для преобразований</w:t>
      </w:r>
    </w:p>
    <w:p w:rsidR="009053B3" w:rsidRDefault="00494CF9" w:rsidP="009053B3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D5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37D50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937D50">
        <w:rPr>
          <w:rFonts w:ascii="Times New Roman" w:hAnsi="Times New Roman" w:cs="Times New Roman"/>
          <w:sz w:val="28"/>
          <w:szCs w:val="28"/>
        </w:rPr>
        <w:t xml:space="preserve"> сообщения необходимо выбрать изображение, нажав на кнопку «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937D50">
        <w:rPr>
          <w:rFonts w:ascii="Times New Roman" w:hAnsi="Times New Roman" w:cs="Times New Roman"/>
          <w:sz w:val="28"/>
          <w:szCs w:val="28"/>
        </w:rPr>
        <w:t xml:space="preserve"> 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37D50">
        <w:rPr>
          <w:rFonts w:ascii="Times New Roman" w:hAnsi="Times New Roman" w:cs="Times New Roman"/>
          <w:sz w:val="28"/>
          <w:szCs w:val="28"/>
        </w:rPr>
        <w:t>», написать текст сообщения в поле «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937D50">
        <w:rPr>
          <w:rFonts w:ascii="Times New Roman" w:hAnsi="Times New Roman" w:cs="Times New Roman"/>
          <w:sz w:val="28"/>
          <w:szCs w:val="28"/>
        </w:rPr>
        <w:t xml:space="preserve"> 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37D50">
        <w:rPr>
          <w:rFonts w:ascii="Times New Roman" w:hAnsi="Times New Roman" w:cs="Times New Roman"/>
          <w:sz w:val="28"/>
          <w:szCs w:val="28"/>
        </w:rPr>
        <w:t xml:space="preserve"> 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937D50">
        <w:rPr>
          <w:rFonts w:ascii="Times New Roman" w:hAnsi="Times New Roman" w:cs="Times New Roman"/>
          <w:sz w:val="28"/>
          <w:szCs w:val="28"/>
        </w:rPr>
        <w:t>» и нажать на кнопку «</w:t>
      </w:r>
      <w:r w:rsidRPr="00937D50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="009053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37D50" w:rsidRPr="009053B3" w:rsidRDefault="00937D50" w:rsidP="009053B3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>В самом начале мы пробегаемся по каждому пикселю и устанавливаем значение каждого наименьшего значимого бита каждого канала в «0». Тем самым мы освобождаем во всем изображении каждый 8 бит, который будет нужен для записи тайного сообщения.</w:t>
      </w:r>
    </w:p>
    <w:p w:rsidR="00937D50" w:rsidRPr="00937D50" w:rsidRDefault="00937D50" w:rsidP="009053B3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Текст, который приходит из текстового сообщения, согласно </w:t>
      </w:r>
      <w:proofErr w:type="gramStart"/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>таблице</w:t>
      </w:r>
      <w:proofErr w:type="gramEnd"/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37D5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ASCII</w:t>
      </w:r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переводится в двоичную систему. При этом если число символов бинарного тайного сообщения не кратно 3, то оно дополняется справа нулями (т.к. сообщение должно равномерно переноситься на 3 канала).</w:t>
      </w:r>
    </w:p>
    <w:p w:rsidR="00937D50" w:rsidRPr="00937D50" w:rsidRDefault="00937D50" w:rsidP="009053B3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>После чего мы посимвольно пробегаемся по бинарному тайному тексту и записываем «0» или «1» (в зависимости от того, какой бит рассматривается) в наименьший значимый бит каждого из трех каналов каждого пикселя до тех пор, пока бинарное сообщение не закончится.</w:t>
      </w:r>
    </w:p>
    <w:p w:rsidR="009053B3" w:rsidRDefault="00937D50" w:rsidP="009053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>После всего этого на основе полученной матрицы пикселей формируется изображение, которое сохраняется как файл с расширением .</w:t>
      </w:r>
      <w:proofErr w:type="spellStart"/>
      <w:r w:rsidRPr="00937D5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png</w:t>
      </w:r>
      <w:proofErr w:type="spellEnd"/>
      <w:r w:rsidRPr="00937D5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494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CF9" w:rsidRPr="00937D50" w:rsidRDefault="00494CF9" w:rsidP="009053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с осажденными данными при помощи алгоритма наименее значимых битов сохранится в файл с названием «</w:t>
      </w:r>
      <w:proofErr w:type="spellStart"/>
      <w:r w:rsidRPr="00721147">
        <w:rPr>
          <w:rFonts w:ascii="Times New Roman" w:hAnsi="Times New Roman" w:cs="Times New Roman"/>
          <w:sz w:val="28"/>
          <w:szCs w:val="28"/>
        </w:rPr>
        <w:t>steganograp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114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1147">
        <w:rPr>
          <w:rFonts w:ascii="Times New Roman" w:hAnsi="Times New Roman" w:cs="Times New Roman"/>
          <w:sz w:val="28"/>
          <w:szCs w:val="28"/>
        </w:rPr>
        <w:t>.png</w:t>
      </w:r>
      <w:r>
        <w:rPr>
          <w:rFonts w:ascii="Times New Roman" w:hAnsi="Times New Roman" w:cs="Times New Roman"/>
          <w:sz w:val="28"/>
          <w:szCs w:val="28"/>
        </w:rPr>
        <w:t xml:space="preserve">». Данное изображение представлено на рисунке </w:t>
      </w:r>
      <w:r w:rsidRPr="00937D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7D50">
        <w:rPr>
          <w:rFonts w:ascii="Times New Roman" w:hAnsi="Times New Roman" w:cs="Times New Roman"/>
          <w:sz w:val="28"/>
          <w:szCs w:val="28"/>
        </w:rPr>
        <w:t>3.</w:t>
      </w:r>
    </w:p>
    <w:p w:rsidR="00494CF9" w:rsidRDefault="00937D50" w:rsidP="00494C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40374" wp14:editId="4CFE6DAD">
            <wp:extent cx="1825380" cy="1881545"/>
            <wp:effectExtent l="0" t="0" r="381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140" cy="19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9" w:rsidRDefault="00494CF9" w:rsidP="00494CF9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937D50" w:rsidRPr="00937D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 — Изображение с сообщением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KoktyshES</w:t>
      </w:r>
      <w:proofErr w:type="spellEnd"/>
      <w:r>
        <w:rPr>
          <w:rFonts w:ascii="Times New Roman" w:hAnsi="Times New Roman" w:cs="Times New Roman"/>
          <w:sz w:val="28"/>
          <w:szCs w:val="28"/>
        </w:rPr>
        <w:t>» методом осаждения в наименее значимых битах</w:t>
      </w:r>
    </w:p>
    <w:p w:rsidR="00937D50" w:rsidRDefault="00937D50" w:rsidP="00937D50">
      <w:pPr>
        <w:spacing w:before="28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 разработан алгоритм осаждения сообщения в младших разрядах яркости. Метод осаждения в младших разрядах яркости позволяет скрыть данные в изображении, используя младшие биты компоненты яркости каждого пикселя. Результат работы алгоритма сохраняется в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stenography</w:t>
      </w:r>
      <w:r w:rsidRPr="008B5AFD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изображенный на рисунке </w:t>
      </w:r>
      <w:r w:rsidRPr="00937D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4.</w:t>
      </w:r>
    </w:p>
    <w:p w:rsidR="00937D50" w:rsidRDefault="00937D50" w:rsidP="00937D5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4B91D" wp14:editId="451CEC32">
            <wp:extent cx="1791431" cy="18184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032" cy="18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0" w:rsidRPr="00494CF9" w:rsidRDefault="00937D50" w:rsidP="00937D5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7D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 — Изображение с сообщением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KoktyshES</w:t>
      </w:r>
      <w:proofErr w:type="spellEnd"/>
      <w:r>
        <w:rPr>
          <w:rFonts w:ascii="Times New Roman" w:hAnsi="Times New Roman" w:cs="Times New Roman"/>
          <w:sz w:val="28"/>
          <w:szCs w:val="28"/>
        </w:rPr>
        <w:t>» методом осаждения в младших разрядах яркости</w:t>
      </w:r>
    </w:p>
    <w:p w:rsidR="00937D50" w:rsidRDefault="00937D50" w:rsidP="00937D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автоматически при выборе контейнера формируется цветовая матрица и результат сохраняется в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8F6E2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который представлен на рисунке </w:t>
      </w:r>
      <w:r w:rsidRPr="00937D50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D50" w:rsidRPr="008F6E2D" w:rsidRDefault="00937D50" w:rsidP="00937D50">
      <w:pPr>
        <w:spacing w:before="280" w:after="240" w:line="240" w:lineRule="auto"/>
        <w:jc w:val="center"/>
        <w:rPr>
          <w:noProof/>
        </w:rPr>
      </w:pPr>
      <w:r w:rsidRPr="00937D50">
        <w:rPr>
          <w:noProof/>
        </w:rPr>
        <w:drawing>
          <wp:inline distT="0" distB="0" distL="0" distR="0" wp14:anchorId="7CCD0D80" wp14:editId="7F114CBA">
            <wp:extent cx="1787037" cy="1746879"/>
            <wp:effectExtent l="0" t="0" r="381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081" cy="17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0" w:rsidRDefault="00937D50" w:rsidP="00937D50">
      <w:pPr>
        <w:spacing w:before="28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2.5</w:t>
      </w: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 – Цветовая матрица</w:t>
      </w:r>
      <w:r w:rsidRPr="008F6E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8F6E2D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контейнера</w:t>
      </w:r>
    </w:p>
    <w:p w:rsidR="00937D50" w:rsidRDefault="00937D50" w:rsidP="00937D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контейнер и контейнер с осажденным сообщением представлены на рисунке </w:t>
      </w:r>
      <w:r w:rsidRPr="00937D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7D50">
        <w:rPr>
          <w:rFonts w:ascii="Times New Roman" w:hAnsi="Times New Roman" w:cs="Times New Roman"/>
          <w:sz w:val="28"/>
          <w:szCs w:val="28"/>
        </w:rPr>
        <w:t>6.</w:t>
      </w:r>
    </w:p>
    <w:p w:rsidR="00CA25C4" w:rsidRPr="00937D50" w:rsidRDefault="00CA25C4" w:rsidP="00937D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25C4">
        <w:rPr>
          <w:rFonts w:ascii="Times New Roman" w:hAnsi="Times New Roman" w:cs="Times New Roman"/>
          <w:sz w:val="28"/>
          <w:szCs w:val="28"/>
        </w:rPr>
        <w:t>При взгляде на эти изображения глазами человека различить их между собой окажется невозможным.</w:t>
      </w:r>
      <w:bookmarkStart w:id="0" w:name="_GoBack"/>
      <w:bookmarkEnd w:id="0"/>
    </w:p>
    <w:p w:rsidR="00937D50" w:rsidRDefault="00937D50" w:rsidP="00937D5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CF9">
        <w:rPr>
          <w:sz w:val="28"/>
        </w:rPr>
        <w:lastRenderedPageBreak/>
        <w:drawing>
          <wp:inline distT="0" distB="0" distL="0" distR="0" wp14:anchorId="27ABAA62" wp14:editId="7FB440A6">
            <wp:extent cx="1682261" cy="18179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091" cy="18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937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E9F59" wp14:editId="4D940B99">
            <wp:extent cx="1791431" cy="18184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032" cy="18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0" w:rsidRPr="008F6E2D" w:rsidRDefault="00937D50" w:rsidP="00937D50">
      <w:pPr>
        <w:spacing w:before="280" w:after="24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37D50">
        <w:rPr>
          <w:rFonts w:ascii="Times New Roman" w:hAnsi="Times New Roman" w:cs="Times New Roman"/>
          <w:color w:val="000000" w:themeColor="text1"/>
          <w:sz w:val="28"/>
          <w:szCs w:val="28"/>
        </w:rPr>
        <w:t>2.6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Визуальный анализ пустого контейнера и контейнера с осажденным сообщением</w:t>
      </w:r>
    </w:p>
    <w:p w:rsidR="009053B3" w:rsidRDefault="009053B3" w:rsidP="009053B3">
      <w:pPr>
        <w:spacing w:before="28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извлечения сообщения из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Decoding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1147">
        <w:rPr>
          <w:rFonts w:ascii="Times New Roman" w:hAnsi="Times New Roman" w:cs="Times New Roman"/>
          <w:sz w:val="28"/>
          <w:szCs w:val="28"/>
        </w:rPr>
        <w:t>.</w:t>
      </w:r>
      <w:r w:rsidRPr="009053B3">
        <w:rPr>
          <w:rFonts w:eastAsia="Calibri"/>
          <w:color w:val="000000"/>
        </w:rPr>
        <w:t xml:space="preserve"> </w:t>
      </w:r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После чего циклом пробегаемся по всем этим матрицам и записываем попиксельно каждый наименьший значимый бит каждого канала. После чего бинарное сообщение расширяется до числа, кратному восьми справа (заполнение «0»), весь текст делится на блоки по 8 бит и данное 8-битное число переводится в символ </w:t>
      </w:r>
      <w:r w:rsidRPr="009053B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ASCII</w:t>
      </w:r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>, после чего сформированное сообщение выводится в соответствующее текстовое поле.</w:t>
      </w:r>
      <w:r w:rsidRPr="00905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53B3" w:rsidRPr="008F6E2D" w:rsidRDefault="009053B3" w:rsidP="009053B3">
      <w:pPr>
        <w:spacing w:before="28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053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040FC" wp14:editId="4561E1C3">
            <wp:extent cx="3782891" cy="10843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873" cy="11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B3" w:rsidRPr="008F6E2D" w:rsidRDefault="009053B3" w:rsidP="009053B3">
      <w:pPr>
        <w:spacing w:before="28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2.7</w:t>
      </w:r>
      <w:r w:rsidRPr="008F6E2D">
        <w:rPr>
          <w:rFonts w:ascii="Times New Roman" w:hAnsi="Times New Roman" w:cs="Times New Roman"/>
          <w:noProof/>
          <w:sz w:val="28"/>
          <w:szCs w:val="28"/>
        </w:rPr>
        <w:t xml:space="preserve"> — Результат расшифрования сообщения</w:t>
      </w:r>
    </w:p>
    <w:p w:rsidR="009053B3" w:rsidRPr="003C2686" w:rsidRDefault="009053B3" w:rsidP="009053B3">
      <w:pPr>
        <w:pStyle w:val="ac"/>
        <w:ind w:firstLine="709"/>
        <w:jc w:val="both"/>
      </w:pPr>
      <w:r>
        <w:t>М</w:t>
      </w:r>
      <w:r>
        <w:t xml:space="preserve">ы видим сообщение, которое полностью совпадает с секретным текстом, что означает, что все этапы шифрования и </w:t>
      </w:r>
      <w:proofErr w:type="spellStart"/>
      <w:r>
        <w:t>расшифрование</w:t>
      </w:r>
      <w:proofErr w:type="spellEnd"/>
      <w:r>
        <w:t xml:space="preserve"> прошли успешно.</w:t>
      </w:r>
    </w:p>
    <w:p w:rsidR="00937D50" w:rsidRDefault="00937D50" w:rsidP="004200B8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200B8" w:rsidRPr="005571A7" w:rsidRDefault="004200B8" w:rsidP="004200B8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71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:rsidR="00DC2AA1" w:rsidRPr="009053B3" w:rsidRDefault="009053B3" w:rsidP="009053B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были закреплены теоретические знания из области </w:t>
      </w:r>
      <w:proofErr w:type="spellStart"/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стеганографического</w:t>
      </w:r>
      <w:proofErr w:type="spellEnd"/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преобразования информации, моделирования </w:t>
      </w:r>
      <w:proofErr w:type="spellStart"/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</w:t>
      </w:r>
      <w:proofErr w:type="spellEnd"/>
      <w:r w:rsidRPr="009053B3">
        <w:rPr>
          <w:rFonts w:ascii="Times New Roman" w:eastAsia="Calibri" w:hAnsi="Times New Roman" w:cs="Times New Roman"/>
          <w:color w:val="000000"/>
          <w:sz w:val="28"/>
          <w:szCs w:val="28"/>
        </w:rPr>
        <w:t>, классификации и сущности методов цифровой стеганографии. Изучен алгоритм осаждения/извлечения тайной информации на основе метода НЗБ, получен опыт практической реализации метода. Созданы приложения для реализации алгоритма осаждения/извлечения тайной информации с использованием электронного файла-контейнера на основе метода НЗБ.</w:t>
      </w:r>
    </w:p>
    <w:sectPr w:rsidR="00DC2AA1" w:rsidRPr="0090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Content>
      <w:p w:rsidR="004200B8" w:rsidRDefault="004200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200B8" w:rsidRDefault="004200B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0B8" w:rsidRDefault="004200B8" w:rsidP="004200B8">
    <w:pPr>
      <w:pStyle w:val="a3"/>
      <w:jc w:val="center"/>
    </w:pPr>
  </w:p>
  <w:p w:rsidR="004200B8" w:rsidRDefault="004200B8" w:rsidP="004200B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Content>
      <w:p w:rsidR="004200B8" w:rsidRDefault="004200B8" w:rsidP="004200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5C4">
          <w:rPr>
            <w:noProof/>
          </w:rPr>
          <w:t>10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0B8" w:rsidRPr="000E7EA7" w:rsidRDefault="004200B8" w:rsidP="004200B8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B8"/>
    <w:rsid w:val="002E68CD"/>
    <w:rsid w:val="004200B8"/>
    <w:rsid w:val="00494CF9"/>
    <w:rsid w:val="009053B3"/>
    <w:rsid w:val="00937D50"/>
    <w:rsid w:val="00CA25C4"/>
    <w:rsid w:val="00D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4CCE"/>
  <w15:chartTrackingRefBased/>
  <w15:docId w15:val="{2C263D41-F8B5-4A7C-8FC3-81929CC8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0B8"/>
    <w:rPr>
      <w:lang w:val="ru-RU"/>
    </w:rPr>
  </w:style>
  <w:style w:type="paragraph" w:styleId="2">
    <w:name w:val="heading 2"/>
    <w:basedOn w:val="a"/>
    <w:link w:val="20"/>
    <w:uiPriority w:val="1"/>
    <w:qFormat/>
    <w:rsid w:val="004200B8"/>
    <w:pPr>
      <w:widowControl w:val="0"/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4200B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4200B8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420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4200B8"/>
    <w:rPr>
      <w:lang w:val="ru-RU"/>
    </w:rPr>
  </w:style>
  <w:style w:type="paragraph" w:styleId="a5">
    <w:name w:val="header"/>
    <w:basedOn w:val="a"/>
    <w:link w:val="a6"/>
    <w:uiPriority w:val="99"/>
    <w:unhideWhenUsed/>
    <w:rsid w:val="00420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0B8"/>
    <w:rPr>
      <w:lang w:val="ru-RU"/>
    </w:rPr>
  </w:style>
  <w:style w:type="paragraph" w:styleId="a7">
    <w:name w:val="caption"/>
    <w:basedOn w:val="a"/>
    <w:next w:val="a"/>
    <w:uiPriority w:val="35"/>
    <w:unhideWhenUsed/>
    <w:qFormat/>
    <w:rsid w:val="00420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200B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20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4200B8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customStyle="1" w:styleId="20">
    <w:name w:val="Заголовок 2 Знак"/>
    <w:basedOn w:val="a0"/>
    <w:link w:val="2"/>
    <w:uiPriority w:val="1"/>
    <w:rsid w:val="004200B8"/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paragraph" w:styleId="aa">
    <w:name w:val="Body Text"/>
    <w:basedOn w:val="a"/>
    <w:link w:val="ab"/>
    <w:uiPriority w:val="1"/>
    <w:qFormat/>
    <w:rsid w:val="004200B8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4200B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customStyle="1" w:styleId="ac">
    <w:name w:val="Подрисуночная подпись"/>
    <w:basedOn w:val="a7"/>
    <w:link w:val="ad"/>
    <w:qFormat/>
    <w:rsid w:val="00494CF9"/>
    <w:pPr>
      <w:spacing w:before="240" w:after="280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paragraph" w:customStyle="1" w:styleId="ae">
    <w:name w:val="Рисунок"/>
    <w:basedOn w:val="a"/>
    <w:link w:val="af"/>
    <w:qFormat/>
    <w:rsid w:val="00494CF9"/>
    <w:pPr>
      <w:spacing w:before="280" w:after="24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32"/>
      <w:lang w:eastAsia="ru-RU"/>
    </w:rPr>
  </w:style>
  <w:style w:type="character" w:customStyle="1" w:styleId="ad">
    <w:name w:val="Подрисуночная подпись Знак"/>
    <w:basedOn w:val="a0"/>
    <w:link w:val="ac"/>
    <w:rsid w:val="00494CF9"/>
    <w:rPr>
      <w:rFonts w:ascii="Times New Roman" w:hAnsi="Times New Roman" w:cs="Times New Roman"/>
      <w:iCs/>
      <w:sz w:val="28"/>
      <w:szCs w:val="28"/>
      <w:lang w:val="ru-RU"/>
    </w:rPr>
  </w:style>
  <w:style w:type="character" w:customStyle="1" w:styleId="af">
    <w:name w:val="Рисунок Знак"/>
    <w:basedOn w:val="a0"/>
    <w:link w:val="ae"/>
    <w:rsid w:val="00494CF9"/>
    <w:rPr>
      <w:rFonts w:ascii="Times New Roman" w:eastAsia="Times New Roman" w:hAnsi="Times New Roman" w:cs="Times New Roman"/>
      <w:b/>
      <w:color w:val="000000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Евгения Коктыш</cp:lastModifiedBy>
  <cp:revision>1</cp:revision>
  <dcterms:created xsi:type="dcterms:W3CDTF">2024-05-15T17:46:00Z</dcterms:created>
  <dcterms:modified xsi:type="dcterms:W3CDTF">2024-05-16T15:38:00Z</dcterms:modified>
</cp:coreProperties>
</file>