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Grid Anomaly Detection</w:t>
      </w:r>
    </w:p>
    <w:p>
      <w:pPr>
        <w:jc w:val="center"/>
      </w:pPr>
      <w:r>
        <w:t>Comprehensive Model Performance &amp; Methodology Report</w:t>
      </w:r>
    </w:p>
    <w:p>
      <w:pPr>
        <w:pStyle w:val="Heading1"/>
      </w:pPr>
      <w:r>
        <w:t>1. Project Overview</w:t>
      </w:r>
    </w:p>
    <w:p>
      <w:r>
        <w:t>This project focuses on detecting anomalies in the Indian Power Grid using high-resolution spectrogram analysis and advanced Deep Learning architectures. The core innovation lies in moving beyond standard 'black-box' models to interpretable, attention-driven networks that can localize anomalies in both time and frequency.</w:t>
      </w:r>
    </w:p>
    <w:p>
      <w:pPr>
        <w:pStyle w:val="Heading1"/>
      </w:pPr>
      <w:r>
        <w:t>2. Methodology</w:t>
      </w:r>
    </w:p>
    <w:p>
      <w:pPr>
        <w:pStyle w:val="Heading2"/>
      </w:pPr>
      <w:r>
        <w:t>2.1 Data Processing</w:t>
      </w:r>
    </w:p>
    <w:p>
      <w:r>
        <w:t>Spectrogram conversion from 1D time-series was performed using STFT. Data augmentation techniques included Mixup, Random Erasing, and Color Jittering to ensure robustness.</w:t>
      </w:r>
    </w:p>
    <w:p>
      <w:pPr>
        <w:pStyle w:val="Heading2"/>
      </w:pPr>
      <w:r>
        <w:t>2.2 Modeling Phases</w:t>
      </w:r>
    </w:p>
    <w:p>
      <w:r>
        <w:t>Phase 1: Baseline Transfer Learning (ResNet, DenseNet, EfficientNet)</w:t>
      </w:r>
    </w:p>
    <w:p>
      <w:r>
        <w:t>Phase 2: Custom Hybrid Attention (GAResNet)</w:t>
      </w:r>
    </w:p>
    <w:p>
      <w:r>
        <w:t>Phase 3: Breakthrough Attentional ResNet-50 (Accuracy focus)</w:t>
      </w:r>
    </w:p>
    <w:p>
      <w:pPr>
        <w:pStyle w:val="Heading1"/>
      </w:pPr>
      <w:r>
        <w:t>3. Performance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ResNet-18 (Baseline)</w:t>
            </w:r>
          </w:p>
        </w:tc>
        <w:tc>
          <w:tcPr>
            <w:tcW w:type="dxa" w:w="2160"/>
          </w:tcPr>
          <w:p>
            <w:r>
              <w:t>83.05%</w:t>
            </w:r>
          </w:p>
        </w:tc>
        <w:tc>
          <w:tcPr>
            <w:tcW w:type="dxa" w:w="2160"/>
          </w:tcPr>
          <w:p>
            <w:r>
              <w:t>16.60%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  <w:tr>
        <w:tc>
          <w:tcPr>
            <w:tcW w:type="dxa" w:w="2160"/>
          </w:tcPr>
          <w:p>
            <w:r>
              <w:t>EfficientNet (Baseline)</w:t>
            </w:r>
          </w:p>
        </w:tc>
        <w:tc>
          <w:tcPr>
            <w:tcW w:type="dxa" w:w="2160"/>
          </w:tcPr>
          <w:p>
            <w:r>
              <w:t>83.89%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GAResNet (Custom)</w:t>
            </w:r>
          </w:p>
        </w:tc>
        <w:tc>
          <w:tcPr>
            <w:tcW w:type="dxa" w:w="2160"/>
          </w:tcPr>
          <w:p>
            <w:r>
              <w:t>33.05%</w:t>
            </w:r>
          </w:p>
        </w:tc>
        <w:tc>
          <w:tcPr>
            <w:tcW w:type="dxa" w:w="2160"/>
          </w:tcPr>
          <w:p>
            <w:r>
              <w:t>78.95%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</w:tr>
      <w:tr>
        <w:tc>
          <w:tcPr>
            <w:tcW w:type="dxa" w:w="2160"/>
          </w:tcPr>
          <w:p>
            <w:r>
              <w:t>Attentional ResNet-50</w:t>
            </w:r>
          </w:p>
        </w:tc>
        <w:tc>
          <w:tcPr>
            <w:tcW w:type="dxa" w:w="2160"/>
          </w:tcPr>
          <w:p>
            <w:r>
              <w:t>83.90%</w:t>
            </w:r>
          </w:p>
        </w:tc>
        <w:tc>
          <w:tcPr>
            <w:tcW w:type="dxa" w:w="2160"/>
          </w:tcPr>
          <w:p>
            <w:r>
              <w:t>10.53%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</w:tr>
    </w:tbl>
    <w:p>
      <w:pPr>
        <w:pStyle w:val="Heading1"/>
      </w:pPr>
      <w:r>
        <w:t>4. Optimization Techniques</w:t>
      </w:r>
    </w:p>
    <w:p>
      <w:pPr>
        <w:pStyle w:val="ListBullet"/>
      </w:pPr>
      <w:r>
        <w:t>- Focal Loss: Used to handle extreme class imbalance (83:16 ratio).</w:t>
      </w:r>
    </w:p>
    <w:p>
      <w:pPr>
        <w:pStyle w:val="ListBullet"/>
      </w:pPr>
      <w:r>
        <w:t>- Optimal Threshold Tuning: Dynamic boundaries optimized via Precision-Recall curves.</w:t>
      </w:r>
    </w:p>
    <w:p>
      <w:pPr>
        <w:pStyle w:val="ListBullet"/>
      </w:pPr>
      <w:r>
        <w:t>- OneCycleLR: Optimized learning rate schedules for fast convergence.</w:t>
      </w:r>
    </w:p>
    <w:p>
      <w:pPr>
        <w:pStyle w:val="ListBullet"/>
      </w:pPr>
      <w:r>
        <w:t>- Spatial &amp; Channel Attention: Integrated for model interpretability.</w:t>
      </w:r>
    </w:p>
    <w:p>
      <w:pPr>
        <w:pStyle w:val="Heading1"/>
      </w:pPr>
      <w:r>
        <w:t>5. Conclusion</w:t>
      </w:r>
    </w:p>
    <w:p>
      <w:r>
        <w:t>The project successfully demonstrated that while standard models achieve high accuracy, custom attention-based architectures like GAResNet provide the critical sensitivity (78.95% recall) needed for real-world smart grid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