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w:t>
      </w:r>
      <w:r>
        <w:t xml:space="preserve"> </w:t>
      </w:r>
      <w:r>
        <w:t xml:space="preserve">Selection</w:t>
      </w:r>
      <w:r>
        <w:t xml:space="preserve"> </w:t>
      </w:r>
      <w:r>
        <w:t xml:space="preserve">and</w:t>
      </w:r>
      <w:r>
        <w:t xml:space="preserve"> </w:t>
      </w:r>
      <w:r>
        <w:t xml:space="preserve">Review</w:t>
      </w:r>
      <w:r>
        <w:t xml:space="preserve"> </w:t>
      </w:r>
      <w:r>
        <w:t xml:space="preserve">Gates</w:t>
      </w:r>
      <w:r>
        <w:t xml:space="preserve"> </w:t>
      </w:r>
      <w:r>
        <w:t xml:space="preserve">for</w:t>
      </w:r>
      <w:r>
        <w:t xml:space="preserve"> </w:t>
      </w:r>
      <w:r>
        <w:t xml:space="preserve">Wrong</w:t>
      </w:r>
      <w:r>
        <w:t xml:space="preserve"> </w:t>
      </w:r>
      <w:r>
        <w:t xml:space="preserve">Writes</w:t>
      </w:r>
      <w:r>
        <w:t xml:space="preserve"> </w:t>
      </w:r>
      <w:r>
        <w:t xml:space="preserve">and</w:t>
      </w:r>
      <w:r>
        <w:t xml:space="preserve"> </w:t>
      </w:r>
      <w:r>
        <w:t xml:space="preserve">Missed</w:t>
      </w:r>
      <w:r>
        <w:t xml:space="preserve"> </w:t>
      </w:r>
      <w:r>
        <w:t xml:space="preserve">Updates</w:t>
      </w:r>
      <w:r>
        <w:t xml:space="preserve"> </w:t>
      </w:r>
      <w:r>
        <w:t xml:space="preserve">in</w:t>
      </w:r>
      <w:r>
        <w:t xml:space="preserve"> </w:t>
      </w:r>
      <w:r>
        <w:t xml:space="preserve">User-Controlled</w:t>
      </w:r>
      <w:r>
        <w:t xml:space="preserve"> </w:t>
      </w:r>
      <w:r>
        <w:t xml:space="preserve">LLM</w:t>
      </w:r>
      <w:r>
        <w:t xml:space="preserve"> </w:t>
      </w:r>
      <w:r>
        <w:t xml:space="preserve">Memory</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remember</w:t>
      </w:r>
      <w:r>
        <w:rPr>
          <w:b/>
          <w:sz w:val="18"/>
        </w:rPr>
        <w:t xml:space="preserve"> </w:t>
      </w:r>
      <w:r>
        <w:rPr>
          <w:b/>
          <w:sz w:val="18"/>
        </w:rPr>
        <w:t xml:space="preserve">facts</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changing</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First,</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can</w:t>
      </w:r>
      <w:r>
        <w:rPr>
          <w:b/>
          <w:sz w:val="18"/>
        </w:rPr>
        <w:t xml:space="preserve"> </w:t>
      </w:r>
      <w:r>
        <w:rPr>
          <w:b/>
          <w:sz w:val="18"/>
        </w:rPr>
        <w:t xml:space="preserve">succeed</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memory</w:t>
      </w:r>
      <w:r>
        <w:rPr>
          <w:b/>
          <w:sz w:val="18"/>
        </w:rPr>
        <w:t xml:space="preserve"> </w:t>
      </w:r>
      <w:r>
        <w:rPr>
          <w:b/>
          <w:sz w:val="18"/>
        </w:rPr>
        <w:t xml:space="preserve">is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extractor’s</w:t>
      </w:r>
      <w:r>
        <w:rPr>
          <w:b/>
          <w:sz w:val="18"/>
        </w:rPr>
        <w:t xml:space="preserve"> </w:t>
      </w:r>
      <w:r>
        <w:rPr>
          <w:b/>
          <w:sz w:val="18"/>
        </w:rPr>
        <w:t xml:space="preserve">prompt,</w:t>
      </w:r>
      <w:r>
        <w:rPr>
          <w:b/>
          <w:sz w:val="18"/>
        </w:rPr>
        <w:t xml:space="preserve"> </w:t>
      </w:r>
      <w:r>
        <w:rPr>
          <w:b/>
          <w:sz w:val="18"/>
        </w:rPr>
        <w:t xml:space="preserve">so</w:t>
      </w:r>
      <w:r>
        <w:rPr>
          <w:b/>
          <w:sz w:val="18"/>
        </w:rPr>
        <w:t xml:space="preserve"> </w:t>
      </w:r>
      <w:r>
        <w:rPr>
          <w:b/>
          <w:sz w:val="18"/>
        </w:rPr>
        <w:t xml:space="preserve">a</w:t>
      </w:r>
      <w:r>
        <w:rPr>
          <w:b/>
          <w:sz w:val="18"/>
        </w:rPr>
        <w:t xml:space="preserve"> </w:t>
      </w:r>
      <w:r>
        <w:rPr>
          <w:b/>
          <w:sz w:val="18"/>
        </w:rPr>
        <w:t xml:space="preserve">gate</w:t>
      </w:r>
      <w:r>
        <w:rPr>
          <w:b/>
          <w:sz w:val="18"/>
        </w:rPr>
        <w:t xml:space="preserve"> </w:t>
      </w:r>
      <w:r>
        <w:rPr>
          <w:b/>
          <w:sz w:val="18"/>
        </w:rPr>
        <w:t xml:space="preserve">that</w:t>
      </w:r>
      <w:r>
        <w:rPr>
          <w:b/>
          <w:sz w:val="18"/>
        </w:rPr>
        <w:t xml:space="preserve"> </w:t>
      </w:r>
      <w:r>
        <w:rPr>
          <w:b/>
          <w:sz w:val="18"/>
        </w:rPr>
        <w:t xml:space="preserve">acts</w:t>
      </w:r>
      <w:r>
        <w:rPr>
          <w:b/>
          <w:sz w:val="18"/>
        </w:rPr>
        <w:t xml:space="preserve"> </w:t>
      </w:r>
      <w:r>
        <w:rPr>
          <w:b/>
          <w:sz w:val="18"/>
        </w:rPr>
        <w:t xml:space="preserve">afterwards</w:t>
      </w:r>
      <w:r>
        <w:rPr>
          <w:b/>
          <w:sz w:val="18"/>
        </w:rPr>
        <w:t xml:space="preserve"> </w:t>
      </w:r>
      <w:r>
        <w:rPr>
          <w:b/>
          <w:sz w:val="18"/>
        </w:rPr>
        <w:t xml:space="preserve">cannot</w:t>
      </w:r>
      <w:r>
        <w:rPr>
          <w:b/>
          <w:sz w:val="18"/>
        </w:rPr>
        <w:t xml:space="preserve"> </w:t>
      </w:r>
      <w:r>
        <w:rPr>
          <w:b/>
          <w:sz w:val="18"/>
        </w:rPr>
        <w:t xml:space="preserve">repair</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it</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its</w:t>
      </w:r>
      <w:r>
        <w:rPr>
          <w:b/>
          <w:sz w:val="18"/>
        </w:rPr>
        <w:t xml:space="preserve"> </w:t>
      </w:r>
      <w:r>
        <w:rPr>
          <w:b/>
          <w:sz w:val="18"/>
        </w:rPr>
        <w:t xml:space="preserve">drivers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and</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0.845,</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0.849 (Holm</w:t>
      </w:r>
      <w:r>
        <w:rPr>
          <w:b/>
          <w:sz w:val="18"/>
        </w:rPr>
        <w:t xml:space="preserve"> </w:t>
      </w:r>
      <w:r>
        <w:rPr>
          <w:iCs/>
          <w:b/>
          <w:i/>
          <w:sz w:val="18"/>
        </w:rPr>
        <w:t xml:space="preserve">p=0.860</w:t>
      </w:r>
      <w:r>
        <w:rPr>
          <w:b/>
          <w:sz w:val="18"/>
        </w:rPr>
        <w:t xml:space="preserve"> </w:t>
      </w:r>
      <w:r>
        <w:rPr>
          <w:b/>
          <w:sz w:val="18"/>
        </w:rPr>
        <w:t xml:space="preserve">for</w:t>
      </w:r>
      <w:r>
        <w:rPr>
          <w:b/>
          <w:sz w:val="18"/>
        </w:rPr>
        <w:t xml:space="preserve"> </w:t>
      </w:r>
      <w:r>
        <w:rPr>
          <w:b/>
          <w:sz w:val="18"/>
        </w:rPr>
        <w:t xml:space="preserve">the</w:t>
      </w:r>
      <w:r>
        <w:rPr>
          <w:b/>
          <w:sz w:val="18"/>
        </w:rPr>
        <w:t xml:space="preserve"> </w:t>
      </w:r>
      <w:r>
        <w:rPr>
          <w:b/>
          <w:sz w:val="18"/>
        </w:rPr>
        <w:t xml:space="preserve">difference);</w:t>
      </w:r>
      <w:r>
        <w:rPr>
          <w:b/>
          <w:sz w:val="18"/>
        </w:rPr>
        <w:t xml:space="preserve"> </w:t>
      </w:r>
      <w:r>
        <w:rPr>
          <w:b/>
          <w:sz w:val="18"/>
        </w:rPr>
        <w:t xml:space="preserve">keyword</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reranker</w:t>
      </w:r>
      <w:r>
        <w:rPr>
          <w:b/>
          <w:sz w:val="18"/>
        </w:rPr>
        <w:t xml:space="preserve"> </w:t>
      </w:r>
      <w:r>
        <w:rPr>
          <w:b/>
          <w:sz w:val="18"/>
        </w:rPr>
        <w:t xml:space="preserve">reaches</w:t>
      </w:r>
      <w:r>
        <w:rPr>
          <w:b/>
          <w:sz w:val="18"/>
        </w:rPr>
        <w:t xml:space="preserve"> </w:t>
      </w:r>
      <w:r>
        <w:rPr>
          <w:b/>
          <w:sz w:val="18"/>
        </w:rPr>
        <w:t xml:space="preserve">0.887,</w:t>
      </w:r>
      <w:r>
        <w:rPr>
          <w:b/>
          <w:sz w:val="18"/>
        </w:rPr>
        <w:t xml:space="preserve"> </w:t>
      </w:r>
      <w:r>
        <w:rPr>
          <w:b/>
          <w:sz w:val="18"/>
        </w:rPr>
        <w:t xml:space="preserve">and</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stay</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one,</w:t>
      </w:r>
      <w:r>
        <w:rPr>
          <w:b/>
          <w:sz w:val="18"/>
        </w:rPr>
        <w:t xml:space="preserve"> </w:t>
      </w:r>
      <w:r>
        <w:rPr>
          <w:b/>
          <w:sz w:val="18"/>
        </w:rPr>
        <w:t xml:space="preserve">and</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six-persona</w:t>
      </w:r>
      <w:r>
        <w:rPr>
          <w:b/>
          <w:sz w:val="18"/>
        </w:rPr>
        <w:t xml:space="preserve"> </w:t>
      </w:r>
      <w:r>
        <w:rPr>
          <w:b/>
          <w:sz w:val="18"/>
        </w:rPr>
        <w:t xml:space="preserve">pilot</w:t>
      </w:r>
      <w:r>
        <w:rPr>
          <w:b/>
          <w:sz w:val="18"/>
        </w:rPr>
        <w:t xml:space="preserve"> </w:t>
      </w:r>
      <w:r>
        <w:rPr>
          <w:b/>
          <w:sz w:val="18"/>
        </w:rPr>
        <w:t xml:space="preserve">shows</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matching</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end</w:t>
      </w:r>
      <w:r>
        <w:rPr>
          <w:b/>
          <w:sz w:val="18"/>
        </w:rPr>
        <w:t xml:space="preserve"> </w:t>
      </w:r>
      <w:r>
        <w:rPr>
          <w:b/>
          <w:sz w:val="18"/>
        </w:rPr>
        <w:t xml:space="preserve">to</w:t>
      </w:r>
      <w:r>
        <w:rPr>
          <w:b/>
          <w:sz w:val="18"/>
        </w:rPr>
        <w:t xml:space="preserve"> </w:t>
      </w:r>
      <w:r>
        <w:rPr>
          <w:b/>
          <w:sz w:val="18"/>
        </w:rPr>
        <w:t xml:space="preserve">end.</w:t>
      </w:r>
      <w:r>
        <w:rPr>
          <w:b/>
          <w:sz w:val="18"/>
        </w:rPr>
        <w:t xml:space="preserve"> </w:t>
      </w:r>
      <w:r>
        <w:rPr>
          <w:b/>
          <w:sz w:val="18"/>
        </w:rPr>
        <w:t xml:space="preserve">On</w:t>
      </w:r>
      <w:r>
        <w:rPr>
          <w:b/>
          <w:sz w:val="18"/>
        </w:rPr>
        <w:t xml:space="preserve"> </w:t>
      </w:r>
      <w:r>
        <w:rPr>
          <w:b/>
          <w:sz w:val="18"/>
        </w:rPr>
        <w:t xml:space="preserve">all</w:t>
      </w:r>
      <w:r>
        <w:rPr>
          <w:b/>
          <w:sz w:val="18"/>
        </w:rPr>
        <w:t xml:space="preserve"> </w:t>
      </w:r>
      <w:r>
        <w:rPr>
          <w:b/>
          <w:sz w:val="18"/>
        </w:rPr>
        <w:t xml:space="preserve">72 LongMemEval</w:t>
      </w:r>
      <w:r>
        <w:rPr>
          <w:b/>
          <w:sz w:val="18"/>
        </w:rPr>
        <w:t xml:space="preserve"> </w:t>
      </w:r>
      <w:r>
        <w:rPr>
          <w:b/>
          <w:sz w:val="18"/>
        </w:rPr>
        <w:t xml:space="preserve">knowledge-update</w:t>
      </w:r>
      <w:r>
        <w:rPr>
          <w:b/>
          <w:sz w:val="18"/>
        </w:rPr>
        <w:t xml:space="preserve"> </w:t>
      </w:r>
      <w:r>
        <w:rPr>
          <w:b/>
          <w:sz w:val="18"/>
        </w:rPr>
        <w:t xml:space="preserve">questions</w:t>
      </w:r>
      <w:r>
        <w:rPr>
          <w:b/>
          <w:sz w:val="18"/>
        </w:rPr>
        <w:t xml:space="preserve"> </w:t>
      </w:r>
      <w:r>
        <w:rPr>
          <w:b/>
          <w:sz w:val="18"/>
        </w:rPr>
        <w:t xml:space="preserve">neither</w:t>
      </w:r>
      <w:r>
        <w:rPr>
          <w:b/>
          <w:sz w:val="18"/>
        </w:rPr>
        <w:t xml:space="preserve"> </w:t>
      </w:r>
      <w:r>
        <w:rPr>
          <w:b/>
          <w:sz w:val="18"/>
        </w:rPr>
        <w:t xml:space="preserve">selection</w:t>
      </w:r>
      <w:r>
        <w:rPr>
          <w:b/>
          <w:sz w:val="18"/>
        </w:rPr>
        <w:t xml:space="preserve"> </w:t>
      </w:r>
      <w:r>
        <w:rPr>
          <w:b/>
          <w:sz w:val="18"/>
        </w:rPr>
        <w:t xml:space="preserve">changed</w:t>
      </w:r>
      <w:r>
        <w:rPr>
          <w:b/>
          <w:sz w:val="18"/>
        </w:rPr>
        <w:t xml:space="preserve"> </w:t>
      </w:r>
      <w:r>
        <w:rPr>
          <w:b/>
          <w:sz w:val="18"/>
        </w:rPr>
        <w:t xml:space="preserve">accuracy.</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Related work has contributed in four ways. Benchmarks measure long-term memory through question answering: LoCoMo uses very long agent–agent conversations</w:t>
      </w:r>
      <w:r>
        <w:t xml:space="preserve"> </w:t>
      </w:r>
      <w:r>
        <w:t xml:space="preserve">[1]</w:t>
      </w:r>
      <w:r>
        <w:t xml:space="preserve">, and LongMemEval tests five memory abilities, among them reasoning about updated facts</w:t>
      </w:r>
      <w:r>
        <w:t xml:space="preserve"> </w:t>
      </w:r>
      <w:r>
        <w:t xml:space="preserve">[2]</w:t>
      </w:r>
      <w:r>
        <w:t xml:space="preserve">. Retrieve-then-update pipelines such as Mem0 extract candidate facts, retrieve the most similar stored memories and let a language model add, update, delete or leave memory unchanged</w:t>
      </w:r>
      <w:r>
        <w:t xml:space="preserve"> </w:t>
      </w:r>
      <w:r>
        <w:t xml:space="preserve">[3]</w:t>
      </w:r>
      <w:r>
        <w:t xml:space="preserve">. Learned and agentic updaters train a policy to write, revise and prune memory (TrustMem</w:t>
      </w:r>
      <w:r>
        <w:t xml:space="preserve"> </w:t>
      </w:r>
      <w:r>
        <w:t xml:space="preserve">[4]</w:t>
      </w:r>
      <w:r>
        <w:t xml:space="preserve">, AgeMem</w:t>
      </w:r>
      <w:r>
        <w:t xml:space="preserve"> </w:t>
      </w:r>
      <w:r>
        <w:t xml:space="preserve">[5]</w:t>
      </w:r>
      <w:r>
        <w:t xml:space="preserve">) or to rewrite a bounded notes field (Supersede</w:t>
      </w:r>
      <w:r>
        <w:t xml:space="preserve"> </w:t>
      </w:r>
      <w:r>
        <w:t xml:space="preserve">[6]</w:t>
      </w:r>
      <w:r>
        <w:t xml:space="preserve">), and retrieval-centred designs organise or filter memory for answering (REALM</w:t>
      </w:r>
      <w:r>
        <w:t xml:space="preserve"> </w:t>
      </w:r>
      <w:r>
        <w:t xml:space="preserve">[7]</w:t>
      </w:r>
      <w:r>
        <w:t xml:space="preserve">, MemGate</w:t>
      </w:r>
      <w:r>
        <w:t xml:space="preserve"> </w:t>
      </w:r>
      <w:r>
        <w:t xml:space="preserve">[8]</w:t>
      </w:r>
      <w:r>
        <w:t xml:space="preserve">). Governance work proposes consistency checks and permission controls before a memory is stored</w:t>
      </w:r>
      <w:r>
        <w:t xml:space="preserve"> </w:t>
      </w:r>
      <w:r>
        <w:t xml:space="preserve">[9]</w:t>
      </w:r>
      <w:r>
        <w:t xml:space="preserve"> </w:t>
      </w:r>
      <w:r>
        <w:t xml:space="preserve">and shows how errors entering through memory updates persist and compound</w:t>
      </w:r>
      <w:r>
        <w:t xml:space="preserve"> </w:t>
      </w:r>
      <w:r>
        <w:t xml:space="preserve">[10], [11]</w:t>
      </w:r>
      <w:r>
        <w:t xml:space="preserve">. Together they show that update failures and stale facts are measurable problems (Sec. II).</w:t>
      </w:r>
    </w:p>
    <w:p>
      <w:pPr>
        <w:pStyle w:val="BodyText"/>
      </w:pPr>
      <w:r>
        <w:rPr>
          <w:bCs/>
          <w:b/>
        </w:rPr>
        <w:t xml:space="preserve">Failures that a gate cannot see.</w:t>
      </w:r>
      <w:r>
        <w:t xml:space="preserve"> </w:t>
      </w:r>
      <w:r>
        <w:t xml:space="preserve">The governance studies check or verify what a memory writer</w:t>
      </w:r>
      <w:r>
        <w:t xml:space="preserve"> </w:t>
      </w:r>
      <w:r>
        <w:rPr>
          <w:iCs/>
          <w:i/>
        </w:rPr>
        <w:t xml:space="preserve">produces</w:t>
      </w:r>
      <w:r>
        <w:t xml:space="preserve">, and the trained updaters reduce errors in the transitions they emit. A direct form of such a check is to ask the user: changes to existing memories become proposals that the user accepts or rejects, and old values are kept as history. None of these works separates a wrong write from a missed update, and none asks whether the record that must change was ever placed before the updater. In a retrieval-based design the extractor can change only the memories in its prompt, so an update it never produces cannot be proposed, and therefore cannot be approved. We close this gap with the following contribution.</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it cuts destroyed true facts by 94–98% but leaves stale facts essentially unchanged (Sec. VI).</w:t>
      </w:r>
    </w:p>
    <w:p>
      <w:pPr>
        <w:pStyle w:val="FirstParagraph"/>
      </w:pPr>
      <w:r>
        <w:rPr>
          <w:bCs/>
          <w:b/>
        </w:rPr>
        <w:t xml:space="preserve">Retrieval that is not aimed at updates.</w:t>
      </w:r>
      <w:r>
        <w:t xml:space="preserve"> </w:t>
      </w:r>
      <w:r>
        <w:t xml:space="preserve">Mem0 retrieves the most similar memories for each new fact, REALM and MemGate retrieve or filter memory for answering, and Supersede avoids retrieval by rewriting whole notes. Of the works we read, none measures whether the record that a requested change must target is in the updater’s prompt, or varies how it is chosen, and the benchmarks grade answers rather than the prompt the updater saw. Recall@</w:t>
      </w:r>
      <w:r>
        <w:rPr>
          <w:iCs/>
          <w:i/>
        </w:rPr>
        <w:t xml:space="preserve">k</w:t>
      </w:r>
      <w:r>
        <w:t xml:space="preserve"> </w:t>
      </w:r>
      <w:r>
        <w:t xml:space="preserve">of the retriever is the closest quantity, but it ignores the minimum score and the recent-memory slots that decide the final prompt. We contribute the following.</w:t>
      </w:r>
    </w:p>
    <w:p>
      <w:pPr>
        <w:numPr>
          <w:ilvl w:val="0"/>
          <w:numId w:val="1002"/>
        </w:numPr>
      </w:pPr>
      <w:r>
        <w:rPr>
          <w:bCs/>
          <w:b/>
        </w:rPr>
        <w:t xml:space="preserve">Reachability and its drivers.</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 cross-encoder reranker, and change messages held out from the selection’s cue words, shows that removing the minimum score and searching per sentence each add about 0.1, that the adaptive selection reaches the same share as a plain larger list while showing 19% fewer candidates, that keyword and fused rankings do no better than the plain list, and that about one target in thirteen stays out of reach of every method tested (Sec. IX).</w:t>
      </w:r>
    </w:p>
    <w:p>
      <w:pPr>
        <w:pStyle w:val="FirstParagraph"/>
      </w:pPr>
      <w:r>
        <w:rPr>
          <w:bCs/>
          <w:b/>
        </w:rPr>
        <w:t xml:space="preserve">End-to-end evidence and its limits.</w:t>
      </w:r>
      <w:r>
        <w:t xml:space="preserve"> </w:t>
      </w:r>
      <w:r>
        <w:t xml:space="preserve">The benchmarks and most updater studies report answer accuracy or transition-level scores for one configuration. They do not report, with the update gate in place, how many stale facts remain, how many prompts the user must answer, or what a better selection costs in tokens, and none of those we read compares a remedy with a plain larger list or with an oracle that always shows the target. We contribute the following.</w:t>
      </w:r>
    </w:p>
    <w:p>
      <w:pPr>
        <w:numPr>
          <w:ilvl w:val="0"/>
          <w:numId w:val="1003"/>
        </w:numPr>
      </w:pPr>
      <w:r>
        <w:rPr>
          <w:bCs/>
          <w:b/>
        </w:rPr>
        <w:t xml:space="preserve">Real-model evidence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 six-persona pilot adds a plain list of 24 and an oracle-target condition (Sec. IX-A), and a check on all 72 LongMemEval knowledge-update questions is reported with its limits (Sec. XII). The harness, both test-set generators and all raw results are released.</w:t>
      </w:r>
    </w:p>
    <w:p>
      <w:pPr>
        <w:pStyle w:val="FirstParagraph"/>
      </w:pPr>
      <w:r>
        <w:t xml:space="preserve">The rest of the paper is organised as follows. Section II places the work among related studies, Section III defines the problem and the quantities we measure, Section IV describes the memory system, and Section V the evaluation. Section VI shows what the gate protects, Sections VII and VIII how often the target reaches the extractor, and Section IX which part of candidate selection matters. Sections X and XI report the ablation and the real Gemini extractors, and Section XII the LongMemEval check. Sections XIII–XV discuss implications, limits and future work. 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[1]</w:t>
      </w:r>
      <w:r>
        <w:t xml:space="preserve">. LongMemEval benchmarks chat assistants on five long-term memory abilities, among them reasoning about updated facts, and splits memory design into indexing, retrieval and reading</w:t>
      </w:r>
      <w:r>
        <w:t xml:space="preserve"> </w:t>
      </w:r>
      <w:r>
        <w:t xml:space="preserve">[2]</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[3]</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[4]</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[5]</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[6]</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[12]</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[7]</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[8]</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[9]</w:t>
      </w:r>
      <w:r>
        <w:t xml:space="preserve">. Xiong et al. show that adding and deleting stored experiences changes agent behaviour and that errors can compound through retrieval</w:t>
      </w:r>
      <w:r>
        <w:t xml:space="preserve"> </w:t>
      </w:r>
      <w:r>
        <w:t xml:space="preserve">[10]</w:t>
      </w:r>
      <w:r>
        <w:t xml:space="preserve">; Xiao et al. trace how errors entering through memory updates persist over turns</w:t>
      </w:r>
      <w:r>
        <w:t xml:space="preserve"> </w:t>
      </w:r>
      <w:r>
        <w:t xml:space="preserve">[11]</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n=72</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4"/>
        </w:numPr>
      </w:pPr>
      <w:r>
        <w:rPr>
          <w:bCs/>
          <w:b/>
        </w:rPr>
        <w:t xml:space="preserve">default</w:t>
      </w:r>
      <w:r>
        <w:t xml:space="preserve">: as above;</w:t>
      </w:r>
    </w:p>
    <w:p>
      <w:pPr>
        <w:numPr>
          <w:ilvl w:val="0"/>
          <w:numId w:val="1004"/>
        </w:numPr>
      </w:pPr>
      <w:r>
        <w:rPr>
          <w:bCs/>
          <w:b/>
        </w:rPr>
        <w:t xml:space="preserve">no minimum</w:t>
      </w:r>
      <w:r>
        <w:t xml:space="preserve">: the same, without the 0.25 cut-off;</w:t>
      </w:r>
    </w:p>
    <w:p>
      <w:pPr>
        <w:numPr>
          <w:ilvl w:val="0"/>
          <w:numId w:val="1004"/>
        </w:numPr>
      </w:pPr>
      <w:r>
        <w:rPr>
          <w:bCs/>
          <w:b/>
        </w:rPr>
        <w:t xml:space="preserve">sentence</w:t>
      </w:r>
      <w:r>
        <w:t xml:space="preserve">: the message is split into sentences and each is searched on its own, so that an unrelated sentence does not dilute the query;</w:t>
      </w:r>
    </w:p>
    <w:p>
      <w:pPr>
        <w:numPr>
          <w:ilvl w:val="0"/>
          <w:numId w:val="1004"/>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5"/>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5"/>
        </w:numPr>
      </w:pPr>
      <w:r>
        <w:t xml:space="preserve">If mode is sentence or adaptive:</w:t>
      </w:r>
    </w:p>
    <w:p>
      <w:pPr>
        <w:numPr>
          <w:ilvl w:val="0"/>
          <w:numId w:val="1005"/>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5"/>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5"/>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5"/>
        </w:numPr>
      </w:pPr>
      <w:r>
        <w:t xml:space="preserve">Else</w:t>
      </w:r>
      <w:r>
        <w:t xml:space="preserve"> </w:t>
      </w:r>
      <w:r>
        <w:rPr>
          <w:iCs/>
          <w:i/>
        </w:rPr>
        <w:t xml:space="preserve">R ← search(x,12,f)</w:t>
      </w:r>
      <w:r>
        <w:t xml:space="preserve">.</w:t>
      </w:r>
    </w:p>
    <w:p>
      <w:pPr>
        <w:numPr>
          <w:ilvl w:val="0"/>
          <w:numId w:val="1005"/>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6"/>
        </w:numPr>
      </w:pPr>
      <w:r>
        <w:t xml:space="preserve">Session 1: ’I go to the gym at 7 am every day.’ ’My birthday is on 21 September.’ ’I take my coffee as a cappuccino.’ ’My dog is called Mithu.’</w:t>
      </w:r>
    </w:p>
    <w:p>
      <w:pPr>
        <w:numPr>
          <w:ilvl w:val="0"/>
          <w:numId w:val="1006"/>
        </w:numPr>
      </w:pPr>
      <w:r>
        <w:t xml:space="preserve">Session 2: ’Like I said, my dog is called Mithu.’ ’My friend Rohan just bought a Thar, it looks great.’ ’I live in Kolkata.’ ’I drive a Seltos.’ ’I work at Swiggy.’ ’I’m leading a project called Lotus at work.’</w:t>
      </w:r>
    </w:p>
    <w:p>
      <w:pPr>
        <w:numPr>
          <w:ilvl w:val="0"/>
          <w:numId w:val="1006"/>
        </w:numPr>
      </w:pPr>
      <w:r>
        <w:t xml:space="preserve">Session 3: ’Like I said, i go to the gym at 7 am every day.’ ’What’s the weather like in Shimla today?’ ’I moved my gym time to 6 pm.’ ’My project wrapped up last week, I’m between projects.’</w:t>
      </w:r>
    </w:p>
    <w:p>
      <w:pPr>
        <w:numPr>
          <w:ilvl w:val="0"/>
          <w:numId w:val="1006"/>
        </w:numPr>
      </w:pPr>
      <w:r>
        <w:t xml:space="preserve">Session 4: ’Like I said, i work at Swiggy.’ ’Please forget what I told you about my birthday.’ ’Can you set a timer for ten minutes?’ ’I’ve just moved to Pune.’</w:t>
      </w:r>
    </w:p>
    <w:p>
      <w:pPr>
        <w:numPr>
          <w:ilvl w:val="0"/>
          <w:numId w:val="1006"/>
        </w:numPr>
      </w:pPr>
      <w:r>
        <w:t xml:space="preserve">Session 5: ’Is it true that octopuses have three hearts?’ ’Like I said, i work at Swiggy.’ ’I’ve just moved to Chennai.’ ’I sold my old car and bought a Swift.’</w:t>
      </w:r>
    </w:p>
    <w:p>
      <w:pPr>
        <w:numPr>
          <w:ilvl w:val="0"/>
          <w:numId w:val="1006"/>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9"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Start w:id="58" w:name="sec:pilot"/>
    <w:p>
      <w:pPr>
        <w:pStyle w:val="Heading2"/>
      </w:pPr>
      <w:r>
        <w:t>A. Real-model pilot: oracle target and same-size list</w:t>
      </w:r>
    </w:p>
    <w:p>
      <w:pPr>
        <w:pStyle w:val="FirstParagraph"/>
      </w:pPr>
      <w:r>
        <w:t xml:space="preserve">The selection study measures reachability only. To see whether reachability turns into correct updates with a real extractor, we ran a pilot with Gemini (</w:t>
      </w:r>
      <w:r>
        <w:rPr>
          <w:rStyle w:val="VerbatimChar"/>
        </w:rPr>
        <w:t xml:space="preserve">gemini-3.5-flash-lite</w:t>
      </w:r>
      <w:r>
        <w:t xml:space="preserve">), the review gate and an oracle reviewer, on the personas of the new test set: 18 turns per persona (12 change turns, the others new facts and unrelated chatter), 100 unrelated memories, four selections. Besides the default, the adaptive selection and a plain list of 24 matches without minimum score, an</w:t>
      </w:r>
      <w:r>
        <w:t xml:space="preserve"> </w:t>
      </w:r>
      <w:r>
        <w:rPr>
          <w:iCs/>
          <w:i/>
        </w:rPr>
        <w:t xml:space="preserve">oracle-target</w:t>
      </w:r>
      <w:r>
        <w:t xml:space="preserve"> </w:t>
      </w:r>
      <w:r>
        <w:t xml:space="preserve">condition adds the true target to the default candidates; it is a diagnostic upper bound on what better selection could give, not a method. Eight personas were planned. Two (p07 and p08) could not be completed: the API quota was exhausted (HTTP 429), first in seven of their eight runs and again in a repeat attempt, which finished only two of those seven; we excluded both personas, and report the six personas whose four runs completed without any error (72 change turns per selection). The result is a pilot: six personas, one seed, one model, and persona-clustered intervals that are wide.</w:t>
      </w:r>
    </w:p>
    <w:p>
      <w:pPr>
        <w:pStyle w:val="BodyText"/>
        <w:keepNext/>
        <w:spacing w:after="60"/>
        <w:jc w:val="center"/>
      </w:pPr>
      <w:r>
        <w:rPr>
          <w:bCs/>
          <w:b/>
          <w:smallCaps w:val="0"/>
          <w:sz w:val="16"/>
        </w:rPr>
        <w:t xml:space="preserve">TABLE XVI</w:t>
      </w:r>
      <w:r>
        <w:rPr>
          <w:smallCaps w:val="0"/>
          <w:sz w:val="16"/>
        </w:rPr>
        <w:br/>
      </w:r>
      <w:r>
        <w:rPr>
          <w:smallCaps w:val="0"/>
          <w:sz w:val="16"/>
        </w:rPr>
        <w:t xml:space="preserve">Real-model pilot (6 personas, 72 change turns per row, gate with oracle reviewer). Reach: target in the prompt; right op. given reach: correct update among turns where the target was in the prompt; success: correct update accepted; stale: facts still outdated at the end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Selection</w:t>
            </w:r>
          </w:p>
        </w:tc>
        <w:tc>
          <w:tcPr>
            <w:tcMar>
              <w:left w:w="40" w:type="dxa"/>
              <w:right w:w="40" w:type="dxa"/>
            </w:tcMar>
          </w:tcPr>
          <w:p>
            <w:pPr>
              <w:pStyle w:val="Compact"/>
              <w:keepNext/>
              <w:spacing w:after="0"/>
              <w:jc w:val="left"/>
            </w:pPr>
            <w:r>
              <w:rPr>
                <w:rFonts w:ascii="Times New Roman" w:hAnsi="Times New Roman"/>
                <w:sz w:val="12"/>
              </w:rPr>
              <w:t xml:space="preserve">Cand.</w:t>
            </w:r>
          </w:p>
        </w:tc>
        <w:tc>
          <w:tcPr>
            <w:tcMar>
              <w:left w:w="40" w:type="dxa"/>
              <w:right w:w="40" w:type="dxa"/>
            </w:tcMar>
          </w:tcPr>
          <w:p>
            <w:pPr>
              <w:pStyle w:val="Compact"/>
              <w:keepNext/>
              <w:spacing w:after="0"/>
              <w:jc w:val="left"/>
            </w:pPr>
            <w:r>
              <w:rPr>
                <w:rFonts w:ascii="Times New Roman" w:hAnsi="Times New Roman"/>
                <w:sz w:val="12"/>
              </w:rPr>
              <w:t xml:space="preserve">Reach</w:t>
            </w:r>
          </w:p>
        </w:tc>
        <w:tc>
          <w:tcPr>
            <w:tcMar>
              <w:left w:w="40" w:type="dxa"/>
              <w:right w:w="40" w:type="dxa"/>
            </w:tcMar>
          </w:tcPr>
          <w:p>
            <w:pPr>
              <w:pStyle w:val="Compact"/>
              <w:keepNext/>
              <w:spacing w:after="0"/>
              <w:jc w:val="left"/>
            </w:pPr>
            <w:r>
              <w:rPr>
                <w:rFonts w:ascii="Times New Roman" w:hAnsi="Times New Roman"/>
                <w:sz w:val="12"/>
              </w:rPr>
              <w:t xml:space="preserve">Right op. given reach</w:t>
            </w:r>
          </w:p>
        </w:tc>
        <w:tc>
          <w:tcPr>
            <w:tcMar>
              <w:left w:w="40" w:type="dxa"/>
              <w:right w:w="40" w:type="dxa"/>
            </w:tcMar>
          </w:tcPr>
          <w:p>
            <w:pPr>
              <w:pStyle w:val="Compact"/>
              <w:keepNext/>
              <w:spacing w:after="0"/>
              <w:jc w:val="left"/>
            </w:pPr>
            <w:r>
              <w:rPr>
                <w:rFonts w:ascii="Times New Roman" w:hAnsi="Times New Roman"/>
                <w:sz w:val="12"/>
              </w:rPr>
              <w:t xml:space="preserve">Success (95% CI)</w:t>
            </w:r>
          </w:p>
        </w:tc>
        <w:tc>
          <w:tcPr>
            <w:tcMar>
              <w:left w:w="40" w:type="dxa"/>
              <w:right w:w="40" w:type="dxa"/>
            </w:tcMar>
          </w:tcPr>
          <w:p>
            <w:pPr>
              <w:pStyle w:val="Compact"/>
              <w:keepNext/>
              <w:spacing w:after="0"/>
              <w:jc w:val="left"/>
            </w:pPr>
            <w:r>
              <w:rPr>
                <w:rFonts w:ascii="Times New Roman" w:hAnsi="Times New Roman"/>
                <w:sz w:val="12"/>
              </w:rPr>
              <w:t xml:space="preserve">Stale at end</w:t>
            </w:r>
          </w:p>
        </w:tc>
        <w:tc>
          <w:tcPr>
            <w:tcMar>
              <w:left w:w="40" w:type="dxa"/>
              <w:right w:w="40" w:type="dxa"/>
            </w:tcMar>
          </w:tcPr>
          <w:p>
            <w:pPr>
              <w:pStyle w:val="Compact"/>
              <w:keepNext/>
              <w:spacing w:after="0"/>
              <w:jc w:val="left"/>
            </w:pPr>
            <w:r>
              <w:rPr>
                <w:rFonts w:ascii="Times New Roman" w:hAnsi="Times New Roman"/>
                <w:sz w:val="12"/>
              </w:rPr>
              <w:t xml:space="preserve">Tokens/call</w:t>
            </w:r>
          </w:p>
        </w:tc>
      </w:tr>
      <w:tr>
        <w:tc>
          <w:tcPr>
            <w:tcMar>
              <w:left w:w="40" w:type="dxa"/>
              <w:right w:w="40" w:type="dxa"/>
            </w:tcMar>
          </w:tcPr>
          <w:p>
            <w:pPr>
              <w:pStyle w:val="Compact"/>
              <w:keepNext/>
              <w:spacing w:after="0"/>
              <w:jc w:val="left"/>
            </w:pPr>
            <w:r>
              <w:rPr>
                <w:rFonts w:ascii="Times New Roman" w:hAnsi="Times New Roman"/>
                <w:sz w:val="12"/>
              </w:rPr>
              <w:t xml:space="preserve">Default (12 matches, min. score)</w:t>
            </w:r>
          </w:p>
        </w:tc>
        <w:tc>
          <w:tcPr>
            <w:tcMar>
              <w:left w:w="40" w:type="dxa"/>
              <w:right w:w="40" w:type="dxa"/>
            </w:tcMar>
          </w:tcPr>
          <w:p>
            <w:pPr>
              <w:pStyle w:val="Compact"/>
              <w:keepNext/>
              <w:spacing w:after="0"/>
              <w:jc w:val="left"/>
            </w:pPr>
            <w:r>
              <w:rPr>
                <w:rFonts w:ascii="Times New Roman" w:hAnsi="Times New Roman"/>
                <w:sz w:val="12"/>
              </w:rPr>
              <w:t xml:space="preserve">10.4</w:t>
            </w:r>
          </w:p>
        </w:tc>
        <w:tc>
          <w:tcPr>
            <w:tcMar>
              <w:left w:w="40" w:type="dxa"/>
              <w:right w:w="40" w:type="dxa"/>
            </w:tcMar>
          </w:tcPr>
          <w:p>
            <w:pPr>
              <w:pStyle w:val="Compact"/>
              <w:keepNext/>
              <w:spacing w:after="0"/>
              <w:jc w:val="left"/>
            </w:pPr>
            <w:r>
              <w:rPr>
                <w:rFonts w:ascii="Times New Roman" w:hAnsi="Times New Roman"/>
                <w:sz w:val="12"/>
              </w:rPr>
              <w:t xml:space="preserve">0.67</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0.61 (0.51–0.69)</w:t>
            </w:r>
          </w:p>
        </w:tc>
        <w:tc>
          <w:tcPr>
            <w:tcMar>
              <w:left w:w="40" w:type="dxa"/>
              <w:right w:w="40" w:type="dxa"/>
            </w:tcMar>
          </w:tcPr>
          <w:p>
            <w:pPr>
              <w:pStyle w:val="Compact"/>
              <w:keepNext/>
              <w:spacing w:after="0"/>
              <w:jc w:val="left"/>
            </w:pPr>
            <w:r>
              <w:rPr>
                <w:rFonts w:ascii="Times New Roman" w:hAnsi="Times New Roman"/>
                <w:sz w:val="12"/>
              </w:rPr>
              <w:t xml:space="preserve">4.7</w:t>
            </w:r>
          </w:p>
        </w:tc>
        <w:tc>
          <w:tcPr>
            <w:tcMar>
              <w:left w:w="40" w:type="dxa"/>
              <w:right w:w="40" w:type="dxa"/>
            </w:tcMar>
          </w:tcPr>
          <w:p>
            <w:pPr>
              <w:pStyle w:val="Compact"/>
              <w:keepNext/>
              <w:spacing w:after="0"/>
              <w:jc w:val="left"/>
            </w:pPr>
            <w:r>
              <w:rPr>
                <w:rFonts w:ascii="Times New Roman" w:hAnsi="Times New Roman"/>
                <w:sz w:val="12"/>
              </w:rPr>
              <w:t xml:space="preserve">645</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23.0</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0.85 (0.81–0.89)</w:t>
            </w:r>
          </w:p>
        </w:tc>
        <w:tc>
          <w:tcPr>
            <w:tcMar>
              <w:left w:w="40" w:type="dxa"/>
              <w:right w:w="40" w:type="dxa"/>
            </w:tcMar>
          </w:tcPr>
          <w:p>
            <w:pPr>
              <w:pStyle w:val="Compact"/>
              <w:keepNext/>
              <w:spacing w:after="0"/>
              <w:jc w:val="left"/>
            </w:pPr>
            <w:r>
              <w:rPr>
                <w:rFonts w:ascii="Times New Roman" w:hAnsi="Times New Roman"/>
                <w:sz w:val="12"/>
              </w:rPr>
              <w:t xml:space="preserve">1.8</w:t>
            </w:r>
          </w:p>
        </w:tc>
        <w:tc>
          <w:tcPr>
            <w:tcMar>
              <w:left w:w="40" w:type="dxa"/>
              <w:right w:w="40" w:type="dxa"/>
            </w:tcMar>
          </w:tcPr>
          <w:p>
            <w:pPr>
              <w:pStyle w:val="Compact"/>
              <w:keepNext/>
              <w:spacing w:after="0"/>
              <w:jc w:val="left"/>
            </w:pPr>
            <w:r>
              <w:rPr>
                <w:rFonts w:ascii="Times New Roman" w:hAnsi="Times New Roman"/>
                <w:sz w:val="12"/>
              </w:rPr>
              <w:t xml:space="preserve">890</w:t>
            </w:r>
          </w:p>
        </w:tc>
      </w:tr>
      <w:tr>
        <w:tc>
          <w:tcPr>
            <w:tcMar>
              <w:left w:w="40" w:type="dxa"/>
              <w:right w:w="40" w:type="dxa"/>
            </w:tcMar>
          </w:tcPr>
          <w:p>
            <w:pPr>
              <w:pStyle w:val="Compact"/>
              <w:keepNext/>
              <w:spacing w:after="0"/>
              <w:jc w:val="left"/>
            </w:pPr>
            <w:r>
              <w:rPr>
                <w:rFonts w:ascii="Times New Roman" w:hAnsi="Times New Roman"/>
                <w:sz w:val="12"/>
              </w:rPr>
              <w:t xml:space="preserve">Plain list of 24, no min. score</w:t>
            </w:r>
          </w:p>
        </w:tc>
        <w:tc>
          <w:tcPr>
            <w:tcMar>
              <w:left w:w="40" w:type="dxa"/>
              <w:right w:w="40" w:type="dxa"/>
            </w:tcMar>
          </w:tcPr>
          <w:p>
            <w:pPr>
              <w:pStyle w:val="Compact"/>
              <w:keepNext/>
              <w:spacing w:after="0"/>
              <w:jc w:val="left"/>
            </w:pPr>
            <w:r>
              <w:rPr>
                <w:rFonts w:ascii="Times New Roman" w:hAnsi="Times New Roman"/>
                <w:sz w:val="12"/>
              </w:rPr>
              <w:t xml:space="preserve">30.2</w:t>
            </w:r>
          </w:p>
        </w:tc>
        <w:tc>
          <w:tcPr>
            <w:tcMar>
              <w:left w:w="40" w:type="dxa"/>
              <w:right w:w="40" w:type="dxa"/>
            </w:tcMar>
          </w:tcPr>
          <w:p>
            <w:pPr>
              <w:pStyle w:val="Compact"/>
              <w:keepNext/>
              <w:spacing w:after="0"/>
              <w:jc w:val="left"/>
            </w:pPr>
            <w:r>
              <w:rPr>
                <w:rFonts w:ascii="Times New Roman" w:hAnsi="Times New Roman"/>
                <w:sz w:val="12"/>
              </w:rPr>
              <w:t xml:space="preserve">0.97</w:t>
            </w:r>
          </w:p>
        </w:tc>
        <w:tc>
          <w:tcPr>
            <w:tcMar>
              <w:left w:w="40" w:type="dxa"/>
              <w:right w:w="40" w:type="dxa"/>
            </w:tcMar>
          </w:tcPr>
          <w:p>
            <w:pPr>
              <w:pStyle w:val="Compact"/>
              <w:keepNext/>
              <w:spacing w:after="0"/>
              <w:jc w:val="left"/>
            </w:pPr>
            <w:r>
              <w:rPr>
                <w:rFonts w:ascii="Times New Roman" w:hAnsi="Times New Roman"/>
                <w:sz w:val="12"/>
              </w:rPr>
              <w:t xml:space="preserve">0.90</w:t>
            </w:r>
          </w:p>
        </w:tc>
        <w:tc>
          <w:tcPr>
            <w:tcMar>
              <w:left w:w="40" w:type="dxa"/>
              <w:right w:w="40" w:type="dxa"/>
            </w:tcMar>
          </w:tcPr>
          <w:p>
            <w:pPr>
              <w:pStyle w:val="Compact"/>
              <w:keepNext/>
              <w:spacing w:after="0"/>
              <w:jc w:val="left"/>
            </w:pPr>
            <w:r>
              <w:rPr>
                <w:rFonts w:ascii="Times New Roman" w:hAnsi="Times New Roman"/>
                <w:sz w:val="12"/>
              </w:rPr>
              <w:t xml:space="preserve">0.88 (0.78–0.96)</w:t>
            </w:r>
          </w:p>
        </w:tc>
        <w:tc>
          <w:tcPr>
            <w:tcMar>
              <w:left w:w="40" w:type="dxa"/>
              <w:right w:w="40" w:type="dxa"/>
            </w:tcMar>
          </w:tcPr>
          <w:p>
            <w:pPr>
              <w:pStyle w:val="Compact"/>
              <w:keepNext/>
              <w:spacing w:after="0"/>
              <w:jc w:val="left"/>
            </w:pPr>
            <w:r>
              <w:rPr>
                <w:rFonts w:ascii="Times New Roman" w:hAnsi="Times New Roman"/>
                <w:sz w:val="12"/>
              </w:rPr>
              <w:t xml:space="preserve">1.5</w:t>
            </w:r>
          </w:p>
        </w:tc>
        <w:tc>
          <w:tcPr>
            <w:tcMar>
              <w:left w:w="40" w:type="dxa"/>
              <w:right w:w="40" w:type="dxa"/>
            </w:tcMar>
          </w:tcPr>
          <w:p>
            <w:pPr>
              <w:pStyle w:val="Compact"/>
              <w:keepNext/>
              <w:spacing w:after="0"/>
              <w:jc w:val="left"/>
            </w:pPr>
            <w:r>
              <w:rPr>
                <w:rFonts w:ascii="Times New Roman" w:hAnsi="Times New Roman"/>
                <w:sz w:val="12"/>
              </w:rPr>
              <w:t xml:space="preserve">1033</w:t>
            </w:r>
          </w:p>
        </w:tc>
      </w:tr>
      <w:tr>
        <w:tc>
          <w:tcPr>
            <w:tcMar>
              <w:left w:w="40" w:type="dxa"/>
              <w:right w:w="40" w:type="dxa"/>
            </w:tcMar>
          </w:tcPr>
          <w:p>
            <w:pPr>
              <w:pStyle w:val="Compact"/>
              <w:spacing w:after="0"/>
              <w:jc w:val="left"/>
            </w:pPr>
            <w:r>
              <w:rPr>
                <w:rFonts w:ascii="Times New Roman" w:hAnsi="Times New Roman"/>
                <w:sz w:val="12"/>
              </w:rPr>
              <w:t xml:space="preserve">Default + true target (oracle)</w:t>
            </w:r>
          </w:p>
        </w:tc>
        <w:tc>
          <w:tcPr>
            <w:tcMar>
              <w:left w:w="40" w:type="dxa"/>
              <w:right w:w="40" w:type="dxa"/>
            </w:tcMar>
          </w:tcPr>
          <w:p>
            <w:pPr>
              <w:pStyle w:val="Compact"/>
              <w:spacing w:after="0"/>
              <w:jc w:val="left"/>
            </w:pPr>
            <w:r>
              <w:rPr>
                <w:rFonts w:ascii="Times New Roman" w:hAnsi="Times New Roman"/>
                <w:sz w:val="12"/>
              </w:rPr>
              <w:t xml:space="preserve">10.7</w:t>
            </w:r>
          </w:p>
        </w:tc>
        <w:tc>
          <w:tcPr>
            <w:tcMar>
              <w:left w:w="40" w:type="dxa"/>
              <w:right w:w="40" w:type="dxa"/>
            </w:tcMar>
          </w:tcPr>
          <w:p>
            <w:pPr>
              <w:pStyle w:val="Compact"/>
              <w:spacing w:after="0"/>
              <w:jc w:val="left"/>
            </w:pPr>
            <w:r>
              <w:rPr>
                <w:rFonts w:ascii="Times New Roman" w:hAnsi="Times New Roman"/>
                <w:sz w:val="12"/>
              </w:rPr>
              <w:t xml:space="preserve">1.00</w:t>
            </w:r>
          </w:p>
        </w:tc>
        <w:tc>
          <w:tcPr>
            <w:tcMar>
              <w:left w:w="40" w:type="dxa"/>
              <w:right w:w="40" w:type="dxa"/>
            </w:tcMar>
          </w:tcPr>
          <w:p>
            <w:pPr>
              <w:pStyle w:val="Compact"/>
              <w:spacing w:after="0"/>
              <w:jc w:val="left"/>
            </w:pPr>
            <w:r>
              <w:rPr>
                <w:rFonts w:ascii="Times New Roman" w:hAnsi="Times New Roman"/>
                <w:sz w:val="12"/>
              </w:rPr>
              <w:t xml:space="preserve">0.90</w:t>
            </w:r>
          </w:p>
        </w:tc>
        <w:tc>
          <w:tcPr>
            <w:tcMar>
              <w:left w:w="40" w:type="dxa"/>
              <w:right w:w="40" w:type="dxa"/>
            </w:tcMar>
          </w:tcPr>
          <w:p>
            <w:pPr>
              <w:pStyle w:val="Compact"/>
              <w:spacing w:after="0"/>
              <w:jc w:val="left"/>
            </w:pPr>
            <w:r>
              <w:rPr>
                <w:rFonts w:ascii="Times New Roman" w:hAnsi="Times New Roman"/>
                <w:sz w:val="12"/>
              </w:rPr>
              <w:t xml:space="preserve">0.90 (0.85–0.96)</w:t>
            </w:r>
          </w:p>
        </w:tc>
        <w:tc>
          <w:tcPr>
            <w:tcMar>
              <w:left w:w="40" w:type="dxa"/>
              <w:right w:w="40" w:type="dxa"/>
            </w:tcMar>
          </w:tcPr>
          <w:p>
            <w:pPr>
              <w:pStyle w:val="Compact"/>
              <w:spacing w:after="0"/>
              <w:jc w:val="left"/>
            </w:pPr>
            <w:r>
              <w:rPr>
                <w:rFonts w:ascii="Times New Roman" w:hAnsi="Times New Roman"/>
                <w:sz w:val="12"/>
              </w:rPr>
              <w:t xml:space="preserve">1.2</w:t>
            </w:r>
          </w:p>
        </w:tc>
        <w:tc>
          <w:tcPr>
            <w:tcMar>
              <w:left w:w="40" w:type="dxa"/>
              <w:right w:w="40" w:type="dxa"/>
            </w:tcMar>
          </w:tcPr>
          <w:p>
            <w:pPr>
              <w:pStyle w:val="Compact"/>
              <w:spacing w:after="0"/>
              <w:jc w:val="left"/>
            </w:pPr>
            <w:r>
              <w:rPr>
                <w:rFonts w:ascii="Times New Roman" w:hAnsi="Times New Roman"/>
                <w:sz w:val="12"/>
              </w:rPr>
              <w:t xml:space="preserve">650</w:t>
            </w:r>
          </w:p>
        </w:tc>
      </w:tr>
    </w:tbl>
    <w:p>
      <w:pPr>
        <w:pStyle w:val="BodyText"/>
      </w:pPr>
      <w:r>
        <w:t xml:space="preserve">Table XVI shows three things. First, reachability carries through: success rose from 0.61 under the default to 0.85 (adaptive) and 0.88 (plain list of 24), and the number of outdated facts left at the end fell from 4.7 to 1.8 and 1.5 per persona. Second, once the target is in the prompt the model gets the update right about nine times in ten in every condition (0.91 to 0.91), and adding the true target to the default prompt gave 0.90 success; the remaining error, about one change turn in ten, is therefore not a selection problem in this setting. Third, the plain list of 24 was as good as the adaptive selection (0.88 against 0.85, with overlapping intervals) at about 1033 against 890 prompt tokens per call; with six personas we cannot say that either is better, and this agrees with the selection study, where the two were equal in reachability. The intervals of the adaptive, plain-list and oracle rows overlap; only the default differs clearly from the others.</w:t>
      </w:r>
    </w:p>
    <w:bookmarkEnd w:id="58"/>
    <w:bookmarkEnd w:id="59"/>
    <w:bookmarkStart w:id="64" w:name="sec:ablation"/>
    <w:p>
      <w:pPr>
        <w:pStyle w:val="Heading1"/>
      </w:pPr>
      <w:r>
        <w:t>X. Results: Ablation of the Two Switches</w:t>
      </w:r>
    </w:p>
    <w:bookmarkStart w:id="63" w:name="simulated"/>
    <w:p>
      <w:pPr>
        <w:pStyle w:val="Heading2"/>
      </w:pPr>
      <w:r>
        <w:t>A. Simulated</w:t>
      </w:r>
    </w:p>
    <w:p>
      <w:pPr>
        <w:pStyle w:val="FirstParagraph"/>
      </w:pPr>
      <w:r>
        <w:t xml:space="preserve">Table XVII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1" name="Picture"/>
            <a:graphic>
              <a:graphicData uri="http://schemas.openxmlformats.org/drawingml/2006/picture">
                <pic:pic>
                  <pic:nvPicPr>
                    <pic:cNvPr descr="figures/fig5_ablation.png" id="62" name="Picture"/>
                    <pic:cNvPicPr>
                      <a:picLocks noChangeArrowheads="1" noChangeAspect="1"/>
                    </pic:cNvPicPr>
                  </pic:nvPicPr>
                  <pic:blipFill>
                    <a:blip r:embed="rId60"/>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3"/>
    <w:bookmarkEnd w:id="64"/>
    <w:bookmarkStart w:id="73" w:name="sec:real"/>
    <w:p>
      <w:pPr>
        <w:pStyle w:val="Heading1"/>
      </w:pPr>
      <w:r>
        <w:t>XI. Results: Real Gemini Extractors</w:t>
      </w:r>
    </w:p>
    <w:p>
      <w:pPr>
        <w:pStyle w:val="FirstParagraph"/>
      </w:pPr>
      <w:r>
        <w:t xml:space="preserve">Table XVIII and Fig. 8 give the same ablation with a real extractor (12 personas, one seed, oracle user). Table XIX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6" name="Picture"/>
            <a:graphic>
              <a:graphicData uri="http://schemas.openxmlformats.org/drawingml/2006/picture">
                <pic:pic>
                  <pic:nvPicPr>
                    <pic:cNvPr descr="figures/fig6_real.png" id="67" name="Picture"/>
                    <pic:cNvPicPr>
                      <a:picLocks noChangeArrowheads="1" noChangeAspect="1"/>
                    </pic:cNvPicPr>
                  </pic:nvPicPr>
                  <pic:blipFill>
                    <a:blip r:embed="rId65"/>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12-persona real runs compared the default with F2 only; the same-budget list and an oracle-target condition were run later in a six-persona pilot (Sec. IX-A), in which the plain list matched F2 end to end.</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8" w:name="sec:cost"/>
      <w:bookmarkEnd w:id="68"/>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9" w:name="per-persona-results"/>
    <w:p>
      <w:pPr>
        <w:pStyle w:val="Heading2"/>
      </w:pPr>
      <w:r>
        <w:t>A. Per-persona results</w:t>
      </w:r>
    </w:p>
    <w:p>
      <w:pPr>
        <w:pStyle w:val="FirstParagraph"/>
      </w:pPr>
      <w:r>
        <w:t xml:space="preserve">Table XX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9"/>
    <w:bookmarkStart w:id="70" w:name="sec:example"/>
    <w:p>
      <w:pPr>
        <w:pStyle w:val="Heading2"/>
      </w:pPr>
      <w:r>
        <w:t>B. A worked example</w:t>
      </w:r>
    </w:p>
    <w:p>
      <w:pPr>
        <w:pStyle w:val="FirstParagraph"/>
      </w:pPr>
      <w:r>
        <w:t xml:space="preserve">Persona 1 (Table IV) is a typical case. Table XXI shows the proposals made under the baseline, Table XXII the final memories, and Tables XXIII and XXIV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XXIV</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70"/>
    <w:bookmarkStart w:id="71" w:name="cost-in-requests-tokens-and-time"/>
    <w:p>
      <w:pPr>
        <w:pStyle w:val="Heading2"/>
      </w:pPr>
      <w:r>
        <w:t>C. Cost in requests, tokens and time</w:t>
      </w:r>
    </w:p>
    <w:p>
      <w:pPr>
        <w:pStyle w:val="FirstParagraph"/>
      </w:pPr>
      <w:r>
        <w:t xml:space="preserve">Table XXV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keepNext/>
        <w:spacing w:after="60"/>
        <w:jc w:val="center"/>
      </w:pPr>
      <w:r>
        <w:rPr>
          <w:bCs/>
          <w:b/>
          <w:smallCaps w:val="0"/>
          <w:sz w:val="16"/>
        </w:rPr>
        <w:t xml:space="preserve">TABLE XXV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model</w:t>
            </w:r>
          </w:p>
        </w:tc>
        <w:tc>
          <w:tcPr>
            <w:tcMar>
              <w:left w:w="40" w:type="dxa"/>
              <w:right w:w="40" w:type="dxa"/>
            </w:tcMar>
          </w:tcPr>
          <w:p>
            <w:pPr>
              <w:pStyle w:val="Compact"/>
              <w:keepNext/>
              <w:spacing w:after="0"/>
              <w:jc w:val="left"/>
            </w:pPr>
            <w:r>
              <w:rPr>
                <w:rFonts w:ascii="Times New Roman" w:hAnsi="Times New Roman"/>
                <w:sz w:val="14"/>
              </w:rPr>
              <w:t xml:space="preserve">variant</w:t>
            </w:r>
          </w:p>
        </w:tc>
        <w:tc>
          <w:tcPr>
            <w:tcMar>
              <w:left w:w="40" w:type="dxa"/>
              <w:right w:w="40" w:type="dxa"/>
            </w:tcMar>
          </w:tcPr>
          <w:p>
            <w:pPr>
              <w:pStyle w:val="Compact"/>
              <w:keepNext/>
              <w:spacing w:after="0"/>
              <w:jc w:val="left"/>
            </w:pPr>
            <w:r>
              <w:rPr>
                <w:rFonts w:ascii="Times New Roman" w:hAnsi="Times New Roman"/>
                <w:sz w:val="14"/>
              </w:rPr>
              <w:t xml:space="preserve">requests</w:t>
            </w:r>
          </w:p>
        </w:tc>
        <w:tc>
          <w:tcPr>
            <w:tcMar>
              <w:left w:w="40" w:type="dxa"/>
              <w:right w:w="40" w:type="dxa"/>
            </w:tcMar>
          </w:tcPr>
          <w:p>
            <w:pPr>
              <w:pStyle w:val="Compact"/>
              <w:keepNext/>
              <w:spacing w:after="0"/>
              <w:jc w:val="left"/>
            </w:pPr>
            <w:r>
              <w:rPr>
                <w:rFonts w:ascii="Times New Roman" w:hAnsi="Times New Roman"/>
                <w:sz w:val="14"/>
              </w:rPr>
              <w:t xml:space="preserve">prompt tokens</w:t>
            </w:r>
          </w:p>
        </w:tc>
        <w:tc>
          <w:tcPr>
            <w:tcMar>
              <w:left w:w="40" w:type="dxa"/>
              <w:right w:w="40" w:type="dxa"/>
            </w:tcMar>
          </w:tcPr>
          <w:p>
            <w:pPr>
              <w:pStyle w:val="Compact"/>
              <w:keepNext/>
              <w:spacing w:after="0"/>
              <w:jc w:val="left"/>
            </w:pPr>
            <w:r>
              <w:rPr>
                <w:rFonts w:ascii="Times New Roman" w:hAnsi="Times New Roman"/>
                <w:sz w:val="14"/>
              </w:rPr>
              <w:t xml:space="preserve">output tokens</w:t>
            </w:r>
          </w:p>
        </w:tc>
        <w:tc>
          <w:tcPr>
            <w:tcMar>
              <w:left w:w="40" w:type="dxa"/>
              <w:right w:w="40" w:type="dxa"/>
            </w:tcMar>
          </w:tcPr>
          <w:p>
            <w:pPr>
              <w:pStyle w:val="Compact"/>
              <w:keepNext/>
              <w:spacing w:after="0"/>
              <w:jc w:val="left"/>
            </w:pPr>
            <w:r>
              <w:rPr>
                <w:rFonts w:ascii="Times New Roman" w:hAnsi="Times New Roman"/>
                <w:sz w:val="14"/>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gemini-3.5-flash-lite</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23.1</w:t>
            </w:r>
          </w:p>
        </w:tc>
        <w:tc>
          <w:tcPr>
            <w:tcMar>
              <w:left w:w="40" w:type="dxa"/>
              <w:right w:w="40" w:type="dxa"/>
            </w:tcMar>
          </w:tcPr>
          <w:p>
            <w:pPr>
              <w:pStyle w:val="Compact"/>
              <w:keepNext/>
              <w:spacing w:after="0"/>
              <w:jc w:val="left"/>
            </w:pPr>
            <w:r>
              <w:rPr>
                <w:rFonts w:ascii="Times New Roman" w:hAnsi="Times New Roman"/>
                <w:sz w:val="14"/>
              </w:rPr>
              <w:t xml:space="preserve">13 376</w:t>
            </w:r>
          </w:p>
        </w:tc>
        <w:tc>
          <w:tcPr>
            <w:tcMar>
              <w:left w:w="40" w:type="dxa"/>
              <w:right w:w="40" w:type="dxa"/>
            </w:tcMar>
          </w:tcPr>
          <w:p>
            <w:pPr>
              <w:pStyle w:val="Compact"/>
              <w:keepNext/>
              <w:spacing w:after="0"/>
              <w:jc w:val="left"/>
            </w:pPr>
            <w:r>
              <w:rPr>
                <w:rFonts w:ascii="Times New Roman" w:hAnsi="Times New Roman"/>
                <w:sz w:val="14"/>
              </w:rPr>
              <w:t xml:space="preserve">833</w:t>
            </w:r>
          </w:p>
        </w:tc>
        <w:tc>
          <w:tcPr>
            <w:tcMar>
              <w:left w:w="40" w:type="dxa"/>
              <w:right w:w="40" w:type="dxa"/>
            </w:tcMar>
          </w:tcPr>
          <w:p>
            <w:pPr>
              <w:pStyle w:val="Compact"/>
              <w:keepNext/>
              <w:spacing w:after="0"/>
              <w:jc w:val="left"/>
            </w:pPr>
            <w:r>
              <w:rPr>
                <w:rFonts w:ascii="Times New Roman" w:hAnsi="Times New Roman"/>
                <w:sz w:val="14"/>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23.1</w:t>
            </w:r>
          </w:p>
        </w:tc>
        <w:tc>
          <w:tcPr>
            <w:tcMar>
              <w:left w:w="40" w:type="dxa"/>
              <w:right w:w="40" w:type="dxa"/>
            </w:tcMar>
          </w:tcPr>
          <w:p>
            <w:pPr>
              <w:pStyle w:val="Compact"/>
              <w:keepNext/>
              <w:spacing w:after="0"/>
              <w:jc w:val="left"/>
            </w:pPr>
            <w:r>
              <w:rPr>
                <w:rFonts w:ascii="Times New Roman" w:hAnsi="Times New Roman"/>
                <w:sz w:val="14"/>
              </w:rPr>
              <w:t xml:space="preserve">18 072</w:t>
            </w:r>
          </w:p>
        </w:tc>
        <w:tc>
          <w:tcPr>
            <w:tcMar>
              <w:left w:w="40" w:type="dxa"/>
              <w:right w:w="40" w:type="dxa"/>
            </w:tcMar>
          </w:tcPr>
          <w:p>
            <w:pPr>
              <w:pStyle w:val="Compact"/>
              <w:keepNext/>
              <w:spacing w:after="0"/>
              <w:jc w:val="left"/>
            </w:pPr>
            <w:r>
              <w:rPr>
                <w:rFonts w:ascii="Times New Roman" w:hAnsi="Times New Roman"/>
                <w:sz w:val="14"/>
              </w:rPr>
              <w:t xml:space="preserve">796</w:t>
            </w:r>
          </w:p>
        </w:tc>
        <w:tc>
          <w:tcPr>
            <w:tcMar>
              <w:left w:w="40" w:type="dxa"/>
              <w:right w:w="40" w:type="dxa"/>
            </w:tcMar>
          </w:tcPr>
          <w:p>
            <w:pPr>
              <w:pStyle w:val="Compact"/>
              <w:keepNext/>
              <w:spacing w:after="0"/>
              <w:jc w:val="left"/>
            </w:pPr>
            <w:r>
              <w:rPr>
                <w:rFonts w:ascii="Times New Roman" w:hAnsi="Times New Roman"/>
                <w:sz w:val="14"/>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gemini-3.1-flash-lite</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23.1</w:t>
            </w:r>
          </w:p>
        </w:tc>
        <w:tc>
          <w:tcPr>
            <w:tcMar>
              <w:left w:w="40" w:type="dxa"/>
              <w:right w:w="40" w:type="dxa"/>
            </w:tcMar>
          </w:tcPr>
          <w:p>
            <w:pPr>
              <w:pStyle w:val="Compact"/>
              <w:keepNext/>
              <w:spacing w:after="0"/>
              <w:jc w:val="left"/>
            </w:pPr>
            <w:r>
              <w:rPr>
                <w:rFonts w:ascii="Times New Roman" w:hAnsi="Times New Roman"/>
                <w:sz w:val="14"/>
              </w:rPr>
              <w:t xml:space="preserve">13 347</w:t>
            </w:r>
          </w:p>
        </w:tc>
        <w:tc>
          <w:tcPr>
            <w:tcMar>
              <w:left w:w="40" w:type="dxa"/>
              <w:right w:w="40" w:type="dxa"/>
            </w:tcMar>
          </w:tcPr>
          <w:p>
            <w:pPr>
              <w:pStyle w:val="Compact"/>
              <w:keepNext/>
              <w:spacing w:after="0"/>
              <w:jc w:val="left"/>
            </w:pPr>
            <w:r>
              <w:rPr>
                <w:rFonts w:ascii="Times New Roman" w:hAnsi="Times New Roman"/>
                <w:sz w:val="14"/>
              </w:rPr>
              <w:t xml:space="preserve">932</w:t>
            </w:r>
          </w:p>
        </w:tc>
        <w:tc>
          <w:tcPr>
            <w:tcMar>
              <w:left w:w="40" w:type="dxa"/>
              <w:right w:w="40" w:type="dxa"/>
            </w:tcMar>
          </w:tcPr>
          <w:p>
            <w:pPr>
              <w:pStyle w:val="Compact"/>
              <w:keepNext/>
              <w:spacing w:after="0"/>
              <w:jc w:val="left"/>
            </w:pPr>
            <w:r>
              <w:rPr>
                <w:rFonts w:ascii="Times New Roman" w:hAnsi="Times New Roman"/>
                <w:sz w:val="14"/>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23.1</w:t>
            </w:r>
          </w:p>
        </w:tc>
        <w:tc>
          <w:tcPr>
            <w:tcMar>
              <w:left w:w="40" w:type="dxa"/>
              <w:right w:w="40" w:type="dxa"/>
            </w:tcMar>
          </w:tcPr>
          <w:p>
            <w:pPr>
              <w:pStyle w:val="Compact"/>
              <w:spacing w:after="0"/>
              <w:jc w:val="left"/>
            </w:pPr>
            <w:r>
              <w:rPr>
                <w:rFonts w:ascii="Times New Roman" w:hAnsi="Times New Roman"/>
                <w:sz w:val="14"/>
              </w:rPr>
              <w:t xml:space="preserve">18 394</w:t>
            </w:r>
          </w:p>
        </w:tc>
        <w:tc>
          <w:tcPr>
            <w:tcMar>
              <w:left w:w="40" w:type="dxa"/>
              <w:right w:w="40" w:type="dxa"/>
            </w:tcMar>
          </w:tcPr>
          <w:p>
            <w:pPr>
              <w:pStyle w:val="Compact"/>
              <w:spacing w:after="0"/>
              <w:jc w:val="left"/>
            </w:pPr>
            <w:r>
              <w:rPr>
                <w:rFonts w:ascii="Times New Roman" w:hAnsi="Times New Roman"/>
                <w:sz w:val="14"/>
              </w:rPr>
              <w:t xml:space="preserve">939</w:t>
            </w:r>
          </w:p>
        </w:tc>
        <w:tc>
          <w:tcPr>
            <w:tcMar>
              <w:left w:w="40" w:type="dxa"/>
              <w:right w:w="40" w:type="dxa"/>
            </w:tcMar>
          </w:tcPr>
          <w:p>
            <w:pPr>
              <w:pStyle w:val="Compact"/>
              <w:spacing w:after="0"/>
              <w:jc w:val="left"/>
            </w:pPr>
            <w:r>
              <w:rPr>
                <w:rFonts w:ascii="Times New Roman" w:hAnsi="Times New Roman"/>
                <w:sz w:val="14"/>
              </w:rPr>
              <w:t xml:space="preserve">5.74</w:t>
            </w:r>
          </w:p>
        </w:tc>
      </w:tr>
    </w:tbl>
    <w:bookmarkEnd w:id="71"/>
    <w:bookmarkStart w:id="72" w:name="scorer-validity"/>
    <w:p>
      <w:pPr>
        <w:pStyle w:val="Heading2"/>
      </w:pPr>
      <w:r>
        <w:t>D. Scorer validity</w:t>
      </w:r>
    </w:p>
    <w:p>
      <w:pPr>
        <w:pStyle w:val="FirstParagraph"/>
      </w:pPr>
      <w:r>
        <w:t xml:space="preserve">Table XXVI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2"/>
    <w:bookmarkEnd w:id="73"/>
    <w:bookmarkStart w:id="77"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[2]</w:t>
      </w:r>
      <w:r>
        <w:t xml:space="preserve">. We took 72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gemini-3.5-flash-lite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n=72</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0.819</w:t>
            </w:r>
          </w:p>
        </w:tc>
        <w:tc>
          <w:tcPr>
            <w:tcMar>
              <w:left w:w="40" w:type="dxa"/>
              <w:right w:w="40" w:type="dxa"/>
            </w:tcMar>
          </w:tcPr>
          <w:p>
            <w:pPr>
              <w:pStyle w:val="Compact"/>
              <w:keepNext/>
              <w:spacing w:after="0"/>
              <w:jc w:val="left"/>
            </w:pPr>
            <w:r>
              <w:rPr>
                <w:rFonts w:ascii="Times New Roman" w:hAnsi="Times New Roman"/>
                <w:sz w:val="14"/>
              </w:rPr>
              <w:t xml:space="preserve">0.847</w:t>
            </w:r>
          </w:p>
        </w:tc>
        <w:tc>
          <w:tcPr>
            <w:tcMar>
              <w:left w:w="40" w:type="dxa"/>
              <w:right w:w="40" w:type="dxa"/>
            </w:tcMar>
          </w:tcPr>
          <w:p>
            <w:pPr>
              <w:pStyle w:val="Compact"/>
              <w:keepNext/>
              <w:spacing w:after="0"/>
              <w:jc w:val="left"/>
            </w:pP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0.500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12/12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0.472</w:t>
            </w:r>
          </w:p>
        </w:tc>
        <w:tc>
          <w:tcPr>
            <w:tcMar>
              <w:left w:w="40" w:type="dxa"/>
              <w:right w:w="40" w:type="dxa"/>
            </w:tcMar>
          </w:tcPr>
          <w:p>
            <w:pPr>
              <w:pStyle w:val="Compact"/>
              <w:keepNext/>
              <w:spacing w:after="0"/>
              <w:jc w:val="left"/>
            </w:pPr>
            <w:r>
              <w:rPr>
                <w:rFonts w:ascii="Times New Roman" w:hAnsi="Times New Roman"/>
                <w:sz w:val="14"/>
              </w:rPr>
              <w:t xml:space="preserve">0.431</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0.042</w:t>
            </w:r>
          </w:p>
        </w:tc>
        <w:tc>
          <w:tcPr>
            <w:tcMar>
              <w:left w:w="40" w:type="dxa"/>
              <w:right w:w="40" w:type="dxa"/>
            </w:tcMar>
          </w:tcPr>
          <w:p>
            <w:pPr>
              <w:pStyle w:val="Compact"/>
              <w:keepNext/>
              <w:spacing w:after="0"/>
              <w:jc w:val="left"/>
            </w:pPr>
            <w:r>
              <w:rPr>
                <w:rFonts w:ascii="Times New Roman" w:hAnsi="Times New Roman"/>
                <w:sz w:val="14"/>
              </w:rPr>
              <w:t xml:space="preserve">11/8</w:t>
            </w:r>
          </w:p>
        </w:tc>
        <w:tc>
          <w:tcPr>
            <w:tcMar>
              <w:left w:w="40" w:type="dxa"/>
              <w:right w:w="40" w:type="dxa"/>
            </w:tcMar>
          </w:tcPr>
          <w:p>
            <w:pPr>
              <w:pStyle w:val="Compact"/>
              <w:keepNext/>
              <w:spacing w:after="0"/>
              <w:jc w:val="left"/>
            </w:pPr>
            <w:r>
              <w:rPr>
                <w:rFonts w:ascii="Times New Roman" w:hAnsi="Times New Roman"/>
                <w:sz w:val="14"/>
              </w:rPr>
              <w:t xml:space="preserve">0.648</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+0.000</w:t>
            </w:r>
          </w:p>
        </w:tc>
        <w:tc>
          <w:tcPr>
            <w:tcMar>
              <w:left w:w="40" w:type="dxa"/>
              <w:right w:w="40" w:type="dxa"/>
            </w:tcMar>
          </w:tcPr>
          <w:p>
            <w:pPr>
              <w:pStyle w:val="Compact"/>
              <w:spacing w:after="0"/>
              <w:jc w:val="left"/>
            </w:pPr>
            <w:r>
              <w:rPr>
                <w:rFonts w:ascii="Times New Roman" w:hAnsi="Times New Roman"/>
                <w:sz w:val="14"/>
              </w:rPr>
              <w:t xml:space="preserve">5/5</w:t>
            </w:r>
          </w:p>
        </w:tc>
        <w:tc>
          <w:tcPr>
            <w:tcMar>
              <w:left w:w="40" w:type="dxa"/>
              <w:right w:w="40" w:type="dxa"/>
            </w:tcMar>
          </w:tcPr>
          <w:p>
            <w:pPr>
              <w:pStyle w:val="Compact"/>
              <w:spacing w:after="0"/>
              <w:jc w:val="left"/>
            </w:pPr>
            <w:r>
              <w:rPr>
                <w:rFonts w:ascii="Times New Roman" w:hAnsi="Times New Roman"/>
                <w:sz w:val="14"/>
              </w:rPr>
              <w:t xml:space="preserve">1.000</w:t>
            </w:r>
          </w:p>
        </w:tc>
      </w:tr>
    </w:tbl>
    <w:p>
      <w:pPr>
        <w:pStyle w:val="BodyText"/>
      </w:pPr>
      <w:r>
        <w:drawing>
          <wp:inline>
            <wp:extent cx="3108960" cy="2032665"/>
            <wp:effectExtent b="0" l="0" r="0" t="0"/>
            <wp:docPr descr="image" title="" id="75" name="Picture"/>
            <a:graphic>
              <a:graphicData uri="http://schemas.openxmlformats.org/drawingml/2006/picture">
                <pic:pic>
                  <pic:nvPicPr>
                    <pic:cNvPr descr="figures/fig7_lme.png" id="76" name="Picture"/>
                    <pic:cNvPicPr>
                      <a:picLocks noChangeArrowheads="1" noChangeAspect="1"/>
                    </pic:cNvPicPr>
                  </pic:nvPicPr>
                  <pic:blipFill>
                    <a:blip r:embed="rId74"/>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XXVII and Fig. 9 show no measurable effect of the F1+F2 selection on this benchmark. The gate system scores 0.444 in the baseline run and 0.444 in the F1+F2 run (5 questions worse, 5 better,</w:t>
      </w:r>
      <w:r>
        <w:t xml:space="preserve"> </w:t>
      </w:r>
      <w:r>
        <w:rPr>
          <w:iCs/>
          <w:i/>
        </w:rPr>
        <w:t xml:space="preserve">p=1.000</w:t>
      </w:r>
      <w:r>
        <w:t xml:space="preserve">); append-only and auto-apply also do not differ between the runs (1.000 and 0.648). The systems without memory or with full context, which the selection cannot affect, differ by +0.028 between the two runs, which indicates the run-to-run noise of the answering and judging model. A smaller earlier run on the first 30 of these questions had suggested a gain for the gate (0.267 to 0.433,</w:t>
      </w:r>
      <w:r>
        <w:t xml:space="preserve"> </w:t>
      </w:r>
      <w:r>
        <w:rPr>
          <w:iCs/>
          <w:i/>
        </w:rPr>
        <w:t xml:space="preserve">p=0.063</w:t>
      </w:r>
      <w:r>
        <w:t xml:space="preserve">); on all 72 questions it is absent, and we regard the earlier difference as noise. Full-context answering (0.847 in the second run) remains far above the gate system (0.444; 31 vs. 2 discordant questions,</w:t>
      </w:r>
      <w:r>
        <w:t xml:space="preserve"> </w:t>
      </w:r>
      <w:r>
        <w:rPr>
          <w:iCs/>
          <w:i/>
        </w:rPr>
        <w:t xml:space="preserve">p=&lt;0.001</w:t>
      </w:r>
      <w:r>
        <w:t xml:space="preserve">): a memory system trades accuracy for the properties it provides, such as small prompts, forgetting and user control. Three reasons make this benchmark a weak test of the selection: each question is played with only a handful of sessions, so the store holds about ten memories and the default selection can already show nearly all of them; answers are limited by what the extractor stores as much as by what it updates (the reference answer was in an active memory for only 0.458 of questions under the gate); and the gate’s reviewer is an oracle approximation. It therefore shows that the selection does not hurt, not that it helps.</w:t>
      </w:r>
    </w:p>
    <w:bookmarkEnd w:id="77"/>
    <w:bookmarkStart w:id="78"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[8]</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8"/>
    <w:bookmarkStart w:id="79"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The oracle-target and same-size-list pilot has six personas, one model and one seed, after two planned personas were lost to an API quota error. 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72 questions (all non-abstention knowledge-update questions of the cleaned file),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9"/>
    <w:bookmarkStart w:id="80"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The pilot of Sec. IX-A used six personas and one model; repeating it with all planned personas, several seeds and a second model family, with the failed runs re-done, would turn its suggestive result into a finding.</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would turn several inconclusive results into findings; the LongMemEval check already covers every knowledge-update question of the file we used, and a harder setting with larger stores would test the selection better.</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80"/>
    <w:bookmarkStart w:id="81"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1"/>
    <w:bookmarkStart w:id="82"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2"/>
    <w:bookmarkStart w:id="83"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XXVI).</w:t>
      </w:r>
    </w:p>
    <w:bookmarkEnd w:id="83"/>
    <w:bookmarkStart w:id="84" w:name="complete-policy-results"/>
    <w:p>
      <w:pPr>
        <w:pStyle w:val="Heading1"/>
      </w:pPr>
      <w:r>
        <w:t>Appendix B</w:t>
        <w:br/>
        <w:t>Complete Policy Results</w:t>
      </w:r>
    </w:p>
    <w:p>
      <w:pPr>
        <w:pStyle w:val="FirstParagraph"/>
      </w:pPr>
      <w:r>
        <w:t xml:space="preserve">Table XXVIII gives all metrics of the policy comparison for all error rates.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4"/>
    <w:bookmarkStart w:id="85" w:name="complete-ablation-results"/>
    <w:p>
      <w:pPr>
        <w:pStyle w:val="Heading1"/>
      </w:pPr>
      <w:r>
        <w:t>Appendix C</w:t>
        <w:br/>
        <w:t>Complete Ablation Results</w:t>
      </w:r>
    </w:p>
    <w:p>
      <w:pPr>
        <w:pStyle w:val="FirstParagraph"/>
      </w:pPr>
      <w:r>
        <w:t xml:space="preserve">Tables XXIX and XXX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XXIX</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5"/>
    <w:bookmarkStart w:id="86" w:name="reachability-for-all-store-sizes"/>
    <w:p>
      <w:pPr>
        <w:pStyle w:val="Heading1"/>
      </w:pPr>
      <w:r>
        <w:t>Appendix D</w:t>
        <w:br/>
        <w:t>Reachability for All Store Sizes</w:t>
      </w:r>
    </w:p>
    <w:p>
      <w:pPr>
        <w:pStyle w:val="FirstParagraph"/>
      </w:pPr>
      <w:r>
        <w:t xml:space="preserve">Table XXXI gives reachability and mean candidate count for all selection modes, store sizes and turn types.</w:t>
      </w:r>
    </w:p>
    <w:p>
      <w:pPr>
        <w:pStyle w:val="BodyText"/>
        <w:keepNext/>
        <w:spacing w:after="60"/>
        <w:jc w:val="center"/>
      </w:pPr>
      <w:r>
        <w:rPr>
          <w:bCs/>
          <w:b/>
          <w:smallCaps w:val="0"/>
          <w:sz w:val="16"/>
        </w:rPr>
        <w:t xml:space="preserve">TABLE XXXI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6"/>
    <w:bookmarkStart w:id="87" w:name="selection-study-for-all-store-sizes"/>
    <w:p>
      <w:pPr>
        <w:pStyle w:val="Heading1"/>
      </w:pPr>
      <w:r>
        <w:t>Appendix E</w:t>
        <w:br/>
        <w:t>Selection Study for All Store Sizes</w:t>
      </w:r>
    </w:p>
    <w:p>
      <w:pPr>
        <w:pStyle w:val="FirstParagraph"/>
      </w:pPr>
      <w:r>
        <w:t xml:space="preserve">Table XXXII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7"/>
    <w:bookmarkStart w:id="105"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7"/>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7"/>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7"/>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7"/>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7"/>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7"/>
        </w:numPr>
      </w:pPr>
      <w:r>
        <w:rPr>
          <w:rStyle w:val="VerbatimChar"/>
        </w:rPr>
        <w:t xml:space="preserve">python eval/make_paper_assets.py –root eval –out paper</w:t>
      </w:r>
      <w:r>
        <w:t xml:space="preserve">: every other table, number macro and the real-run and LongMemEval figures of this paper.</w:t>
      </w:r>
    </w:p>
    <w:bookmarkStart w:id="104" w:name="refs"/>
    <w:bookmarkStart w:id="88" w:name="ref-maharana2024locomo"/>
    <w:p>
      <w:pPr>
        <w:pStyle w:val="Bibliography"/>
      </w:pPr>
      <w:r>
        <w:t xml:space="preserve">[1]</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[2]</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[3]</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[4]</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[5]</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[6]</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ong2026realm"/>
    <w:p>
      <w:pPr>
        <w:pStyle w:val="Bibliography"/>
      </w:pPr>
      <w:r>
        <w:t xml:space="preserve">[7]</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4"/>
    <w:bookmarkStart w:id="95" w:name="ref-zhang2026memgate"/>
    <w:p>
      <w:pPr>
        <w:pStyle w:val="Bibliography"/>
      </w:pPr>
      <w:r>
        <w:t xml:space="preserve">[8]</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5"/>
    <w:bookmarkStart w:id="96" w:name="ref-lam2026ssgm"/>
    <w:p>
      <w:pPr>
        <w:pStyle w:val="Bibliography"/>
      </w:pPr>
      <w:r>
        <w:t xml:space="preserve">[9]</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96"/>
    <w:bookmarkStart w:id="97" w:name="ref-xiong2025memory"/>
    <w:p>
      <w:pPr>
        <w:pStyle w:val="Bibliography"/>
      </w:pPr>
      <w:r>
        <w:t xml:space="preserve">[10]</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[11]</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sun2026pamu"/>
    <w:p>
      <w:pPr>
        <w:pStyle w:val="Bibliography"/>
      </w:pPr>
      <w:r>
        <w:t xml:space="preserve">[12]</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9"/>
    <w:bookmarkStart w:id="100"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100"/>
    <w:bookmarkStart w:id="101"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1"/>
    <w:bookmarkStart w:id="102"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2"/>
    <w:bookmarkStart w:id="103"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3"/>
    <w:bookmarkEnd w:id="104"/>
    <w:bookmarkEnd w:id="105"/>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60" Type="http://schemas.openxmlformats.org/officeDocument/2006/relationships/image" Target="media/rId60.png"/><Relationship Id="rId65" Type="http://schemas.openxmlformats.org/officeDocument/2006/relationships/image" Target="media/rId65.png"/><Relationship Id="rId74" Type="http://schemas.openxmlformats.org/officeDocument/2006/relationships/image" Target="media/rId74.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Selection and Review Gates for Wrong Writes and Missed Updates in User-Controlled LLM Memory</dc:title>
  <dc:creator/>
  <cp:keywords/>
  <dcterms:created xsi:type="dcterms:W3CDTF">2026-10-17T23:01:33Z</dcterms:created>
  <dcterms:modified xsi:type="dcterms:W3CDTF">2026-10-17T23:01:33Z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remember facts about their user ask for approval before changing what they believe. We study what such an approval gate protects and what it cannot, in AURA, whose language-model extractor proposes add, update, retire and forget operations over a retrieval-selected list of candidate memories. First, an update can succeed only if its target memory is in the extractor’s prompt, so a gate that acts afterwards cannot repair missed updates; in simulation it removes 94–98% of the true facts that automatic application destroys but leaves stale facts unchanged. Second, we define final-prompt reachability and measure its drivers on a new test set of 40 personas and 15 selection variants. With 350 unrelated memories the default selection reaches 0.667 of targets, an adaptive selection 0.845, and a plain list of the 24 best matches 0.849 (Holm p=0.860 for the difference); keyword and fused rankings do no better; a cross-encoder reranker reaches 0.887, and 7.7% of targets stay out of reach of every method. Third, with two real Gemini extractors the target was missing in 25 and 22 of 136 change turns under the default selection and in none under the adaptive one, and stale facts under the gate fell from about 1 to 0 per persona, at about 35% more prompt tokens. A six-persona pilot shows the plain list matching the adaptive selection end to end. On all 72 LongMemEval knowledge-update questions neither selection changed accuracy. Code, test sets and raw results are released.</vt:lpwstr>
  </property>
  <property fmtid="{D5CDD505-2E9C-101B-9397-08002B2CF9AE}" pid="3" name="bibliography">
    <vt:lpwstr>references.bib</vt:lpwstr>
  </property>
  <property fmtid="{D5CDD505-2E9C-101B-9397-08002B2CF9AE}" pid="4" name="csl">
    <vt:lpwstr>ieee.csl</vt:lpwstr>
  </property>
</Properties>
</file>