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400"/>
      </w:pPr>
      <w:r>
        <w:rPr>
          <w:rFonts w:ascii="맑은 고딕" w:cs="맑은 고딕" w:eastAsia="맑은 고딕" w:hAnsi="맑은 고딕"/>
        </w:rPr>
        <w:t xml:space="preserve">직업계고 학생의 졸업 후 경로 연구</w:t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연구설계 및 분석계획서 (전면개정판 · 자료 반출 전 확정용 · R 코드 스켈레톤 포함)</w:t>
      </w:r>
    </w:p>
    <w:p>
      <w:pPr>
        <w:pBdr>
          <w:left w:val="single" w:color="888888" w:sz="12"/>
        </w:pBdr>
        <w:shd w:fill="F7F7F7" w:color="auto" w:val="clear"/>
        <w:spacing w:after="200" w:before="120"/>
        <w:ind w:left="400"/>
      </w:pPr>
      <w:r>
        <w:rPr>
          <w:rFonts w:ascii="맑은 고딕" w:cs="맑은 고딕" w:eastAsia="맑은 고딕" w:hAnsi="맑은 고딕"/>
          <w:i/>
          <w:iCs/>
        </w:rPr>
        <w:t xml:space="preserve">이 문서는 결합자료 반출 전 단계에서 "분석만 실행하면 되는" 상태를 목표로 작성한 분석계획서(pre-analysis plan)이다. 변수·수식·검증절차는 기 확정된 자료 요청 항목(교육청 NEIS, 한국교육개발원 KEDI, 근로복지공단 고용보험DB)을 기준으로 정의하며, 실제 반출 레이아웃이 요청 항목과 다를 경우 조정이 필요한 지점은 본문에 "[반출 확인 필요]"로 표시한다. </w:t>
      </w:r>
      <w:r>
        <w:rPr>
          <w:rFonts w:ascii="맑은 고딕" w:cs="맑은 고딕" w:eastAsia="맑은 고딕" w:hAnsi="맑은 고딕"/>
          <w:b/>
          <w:bCs/>
          <w:i/>
          <w:iCs/>
        </w:rPr>
        <w:t xml:space="preserve">모든 변수명·데이터셋명은 작업용 가명(working name)이며, 반출 레이아웃 확정 즉시 실제 컬럼명 매핑표로 치환한다.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0. 요약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본 연구는 2015·2020·2023년 2월 직업계고(마이스터고·특성화고·일반고 직업반) 졸업 코호트의 교육·고용 행정이력을 가명정보 결합 방식으로 연계하여, 졸업 후 진로를 </w:t>
      </w:r>
      <w:r>
        <w:rPr>
          <w:rFonts w:ascii="맑은 고딕" w:cs="맑은 고딕" w:eastAsia="맑은 고딕" w:hAnsi="맑은 고딕"/>
          <w:b/>
          <w:bCs/>
        </w:rPr>
        <w:t xml:space="preserve">① 고용이행경로, ② 전공-직종 연계 및 이동, ③ 정책·제도 효과</w:t>
      </w:r>
      <w:r>
        <w:rPr>
          <w:rFonts w:ascii="맑은 고딕" w:cs="맑은 고딕" w:eastAsia="맑은 고딕" w:hAnsi="맑은 고딕"/>
        </w:rPr>
        <w:t xml:space="preserve">의 세 분석축으로 규명한다. 지역이동은 선행연구(최수현 외, 2023)가 이미 다룬 영역이며 본 연구의 행정자료 강점이 상대적으로 작게 작용하는 영역이므로 정식 분석축에서 제외하고, 필요 시 축1의 보조 기술통계로만 다룬다.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세 분석축은 </w:t>
      </w:r>
      <w:r>
        <w:rPr>
          <w:rFonts w:ascii="맑은 고딕" w:cs="맑은 고딕" w:eastAsia="맑은 고딕" w:hAnsi="맑은 고딕"/>
          <w:b/>
          <w:bCs/>
        </w:rPr>
        <w:t xml:space="preserve">서로 다른 인식론적 지위</w:t>
      </w:r>
      <w:r>
        <w:rPr>
          <w:rFonts w:ascii="맑은 고딕" w:cs="맑은 고딕" w:eastAsia="맑은 고딕" w:hAnsi="맑은 고딕"/>
        </w:rPr>
        <w:t xml:space="preserve">를 갖는다. 축1·축2는 기술적·서술적(descriptive) 분석이며 인과효과를 주장하지 않는다. 축3만이 성향점수매칭(PSM)과 이중차분(DiD)을 이용한 준실험적 인과추론이다. 이 구분을 본문 전체에서 명시적으로 유지하는 것이 이 계획서의 핵심 원칙이다.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0.1 분석환경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R ≥ 4.3 기준. 방법론별 필요 패키지는 각 절에 명시하며, 통합 목록은 다음과 같다.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pkgs &lt;- c(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"tidyverse",                          # 자료관리 공통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"TraMineR", "WeightedCluster", "cluster", "mclust",  # 축1: 시퀀스분석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"survival",                           # 축1: 사건사분석(KM, Cox)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"msm",                                # 축1: 다중상태모형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"lcmm",                               # 축1: GBTM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"vegan",                              # 축2: 엔트로피(대안: 수기 계산)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"ranger", "fastshap", "shapviz",      # 축2: RF+SHAP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"MatchIt", "cobalt", "WeightIt", "Matching", "rbounds",  # 축3: PSM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"did", "HonestDiD"                    # 축3: DiD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install.packages(setdiff(pkgs, rownames(installed.packages())))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I. 서론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1. 연구배경 및 필요성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정책적 배경.</w:t>
      </w:r>
      <w:r>
        <w:rPr>
          <w:rFonts w:ascii="맑은 고딕" w:cs="맑은 고딕" w:eastAsia="맑은 고딕" w:hAnsi="맑은 고딕"/>
        </w:rPr>
        <w:t xml:space="preserve"> 데이터 기반 교육정책 수립을 위한 교육데이터 연계·활용 확대는 현 정부 국정과제(99-1)이며, 직업계고 졸업생은 교육-노동시장 이행이 가장 직접적으로 드러나는 집단이다. 직업교육 정책 기조(선취업-후진학, 마이스터고, 산학일체형 도제학교, NCS 교육과정, 협약형 특성화고 등)는 시기별로 크게 변화해 왔고, 그 변화가 졸업생의 실제 경로에 어떻게 반영되는지를 검증할 행정자료 기반 연구는 국내에 없다.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학술적 배경 및 선행연구의 한계.</w:t>
      </w:r>
      <w:r>
        <w:rPr>
          <w:rFonts w:ascii="맑은 고딕" w:cs="맑은 고딕" w:eastAsia="맑은 고딕" w:hAnsi="맑은 고딕"/>
        </w:rPr>
        <w:t xml:space="preserve"> 국내 직업계고 경로 연구는 대부분 한국교육고용패널(KEEP)의 표본(약 2,000~3,000명, 관찰기간 4~10년)에 의존한다(김진모 외, 2018; 류지은 외, 2022; 류지은·서예린, 2023 등). 설문 기반 패널은 세 가지 구조적 제약을 갖는다.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패널마모로 인한 선택편의.</w:t>
      </w:r>
      <w:r>
        <w:rPr>
          <w:rFonts w:ascii="맑은 고딕" w:cs="맑은 고딕" w:eastAsia="맑은 고딕" w:hAnsi="맑은 고딕"/>
        </w:rPr>
        <w:t xml:space="preserve"> 조사 차수가 거듭될수록 무응답·탈락이 발생하며, 탈락은 무작위가 아니라 학업성취가 낮거나 사회경제적으로 취약한 집단, 노동시장 미진입자·비동거자에서 더 크게 일어난다(천영민 외, 2009; Eisner et al., 2019). 이는 잔존 표본이 상대적으로 안정적인 이행 경로를 과대표집하는 방향으로 결과를 왜곡한다.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자기보고 측정오차.</w:t>
      </w:r>
      <w:r>
        <w:rPr>
          <w:rFonts w:ascii="맑은 고딕" w:cs="맑은 고딕" w:eastAsia="맑은 고딕" w:hAnsi="맑은 고딕"/>
        </w:rPr>
        <w:t xml:space="preserve"> Kapteyn &amp; Ypma(2007)는 스웨덴 행정자료(LINDA)와 설문응답을 개인단위로 대조하여, 행정자료상 소득이 존재함에도 설문에서 "소득 없음"으로 응답한 비율이 18.2%에 달하고, 저소득층은 과대보고·고소득층은 과소보고하는 체계적 편향이 있음을 보였다.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표본 규모의 한계.</w:t>
      </w:r>
      <w:r>
        <w:rPr>
          <w:rFonts w:ascii="맑은 고딕" w:cs="맑은 고딕" w:eastAsia="맑은 고딕" w:hAnsi="맑은 고딕"/>
        </w:rPr>
        <w:t xml:space="preserve"> 학교유형·전공·지역으로 세분할수록 셀 크기가 급격히 줄어 세부 집단 비교가 불가능해진다.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본 연구의 접근.</w:t>
      </w:r>
      <w:r>
        <w:rPr>
          <w:rFonts w:ascii="맑은 고딕" w:cs="맑은 고딕" w:eastAsia="맑은 고딕" w:hAnsi="맑은 고딕"/>
        </w:rPr>
        <w:t xml:space="preserve"> 이러한 제약을 근본적으로 회피하기 위해, 본 연구는 졸업 코호트 명부를 기준으로 한 </w:t>
      </w:r>
      <w:r>
        <w:rPr>
          <w:rFonts w:ascii="맑은 고딕" w:cs="맑은 고딕" w:eastAsia="맑은 고딕" w:hAnsi="맑은 고딕"/>
          <w:b/>
          <w:bCs/>
        </w:rPr>
        <w:t xml:space="preserve">전수 행정자료 연계</w:t>
      </w:r>
      <w:r>
        <w:rPr>
          <w:rFonts w:ascii="맑은 고딕" w:cs="맑은 고딕" w:eastAsia="맑은 고딕" w:hAnsi="맑은 고딕"/>
        </w:rPr>
        <w:t xml:space="preserve">를 시도한다. 명부 기준 설계는 고용이력 보유자만을 표본으로 삼지 않으므로 탈락에 의한 선택편의가 구조적으로 발생하지 않으며, 취득·상실일이 일 단위로 기록되어 자기보고로는 포착 불가능한 정밀도(예: 3개월 미만 공백과 6개월 이상 공백의 구분)로 이행 과정을 관찰할 수 있다. 국제적으로는 독일 NEPS-ADIAB(Bachbauer et al., 2022)가 국가교육패널과 고용행정자료(IAB)를 개인단위로 연결한 대표 사례이며, 국내에서는 금종예 외(2025)가 교육종단자료와 수능 채점자료의 가명결합을 시도한 바 있으나, 교육이력과 고용행정이력을 개인단위로 연결한 사례는 아직 없다.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2. 통합 연구질문</w:t>
      </w:r>
    </w:p>
    <w:p>
      <w:pPr>
        <w:pBdr>
          <w:left w:val="single" w:color="888888" w:sz="12"/>
        </w:pBdr>
        <w:shd w:fill="F7F7F7" w:color="auto" w:val="clear"/>
        <w:spacing w:after="200" w:before="120"/>
        <w:ind w:left="400"/>
      </w:pPr>
      <w:r>
        <w:rPr>
          <w:rFonts w:ascii="맑은 고딕" w:cs="맑은 고딕" w:eastAsia="맑은 고딕" w:hAnsi="맑은 고딕"/>
          <w:i/>
          <w:iCs/>
        </w:rPr>
        <w:t xml:space="preserve">직업계고 졸업생의 진로형성은 졸업 시점의 취업·진학 여부라는 단일 스냅샷이 아니라 시간에 따라 전개되는 다차원적 이행과정이다. 이 과정은 (RQ1) 코호트(정책·경기 환경)와 학교유형·전공에 따라 어떻게 분화되며, (RQ2) 어떤 제도적 개입(도제학교 지정, 진학)이 그 분화에 유의미한 차이를 만드는가?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RQ1은 분석축 1·2가, RQ2는 분석축 3이 답한다.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3. 코호트 설계의 논리 — "왜 세 코호트를 함께 쓰는가"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코호트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추적기간(2025년 기준)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재학기간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 코호트가 아니면 볼 수 없는 것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분석축 참여 범위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2015.2 졸업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2012.3–2015.2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경력형성의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완결된 장기 궤적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도제학교 DiD의 정책 전(前) 기준점. 마이스터고 1기 졸업생의 장기 성과.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축1(주), 축3-마이스터고 PSM(가능). 축2·축3-진학효과·도제학교는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 제약으로 제외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[반출 확인 필요]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2020.2 졸업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2017.3–2020.2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코로나19 충격 진입과 회복 국면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도제학교 완전노출 첫 코호트(축3 DiD 처치집단). 진학자료 첫 확보.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축1·축2·축3 전체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2023.2 졸업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2020.3–2023.2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최신 정책환경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스냅샷. 세 코호트 비교의 현재 기준점.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축1·축2·축3 전체(단기 지표)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코호트 간 비교는 </w:t>
      </w:r>
      <w:r>
        <w:rPr>
          <w:rFonts w:ascii="맑은 고딕" w:cs="맑은 고딕" w:eastAsia="맑은 고딕" w:hAnsi="맑은 고딕"/>
          <w:b/>
          <w:bCs/>
        </w:rPr>
        <w:t xml:space="preserve">동일 경과기간</w:t>
      </w:r>
      <w:r>
        <w:rPr>
          <w:rFonts w:ascii="맑은 고딕" w:cs="맑은 고딕" w:eastAsia="맑은 고딕" w:hAnsi="맑은 고딕"/>
        </w:rPr>
        <w:t xml:space="preserve">(공통 초기 33개월) 지표로 수행한다. 코호트 차이는 경기·교육과정·학교구성·개인선택이 함께 반영된 결과이므로, 축1·축2에서는 이를 특정 정책의 인과효과로 해석하지 않는다.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4. 본 연구가 갖는 자료의 고유성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</w:rPr>
        <w:t xml:space="preserve">전수 행정자료 연계이므로 </w:t>
      </w:r>
      <w:r>
        <w:rPr>
          <w:rFonts w:ascii="맑은 고딕" w:cs="맑은 고딕" w:eastAsia="맑은 고딕" w:hAnsi="맑은 고딕"/>
          <w:b/>
          <w:bCs/>
        </w:rPr>
        <w:t xml:space="preserve">패널탈락에 의한 선택편의가 구조적으로 발생하지 않는다.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</w:rPr>
        <w:t xml:space="preserve">취득·상실일이 일 단위로 기록되어 </w:t>
      </w:r>
      <w:r>
        <w:rPr>
          <w:rFonts w:ascii="맑은 고딕" w:cs="맑은 고딕" w:eastAsia="맑은 고딕" w:hAnsi="맑은 고딕"/>
          <w:b/>
          <w:bCs/>
        </w:rPr>
        <w:t xml:space="preserve">정책이 실제로 사용하는 기간 기준(3·6개월 등)과 직접 대응하는 분석</w:t>
      </w:r>
      <w:r>
        <w:rPr>
          <w:rFonts w:ascii="맑은 고딕" w:cs="맑은 고딕" w:eastAsia="맑은 고딕" w:hAnsi="맑은 고딕"/>
        </w:rPr>
        <w:t xml:space="preserve">이 가능하다.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</w:rPr>
        <w:t xml:space="preserve">표준화된 교육분류(KSCED)–직업분류(KECO)를 개인단위·전수로 연결하고, </w:t>
      </w:r>
      <w:r>
        <w:rPr>
          <w:rFonts w:ascii="맑은 고딕" w:cs="맑은 고딕" w:eastAsia="맑은 고딕" w:hAnsi="맑은 고딕"/>
          <w:b/>
          <w:bCs/>
        </w:rPr>
        <w:t xml:space="preserve">비교집단을 둔 학교단위 정책평가</w:t>
      </w:r>
      <w:r>
        <w:rPr>
          <w:rFonts w:ascii="맑은 고딕" w:cs="맑은 고딕" w:eastAsia="맑은 고딕" w:hAnsi="맑은 고딕"/>
        </w:rPr>
        <w:t xml:space="preserve">(도제학교 DiD)를 시도한 국내 최초 사례다.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II. 선행연구와 방법론적 공백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1. 경로유형화 연구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김진모 외(2018, 412명·10년), 류지은·서예린(2023, 3,069명·42개월), 백예은·정혜원(2025, 시퀀스분석+설명가능AI) 등은 상태의 순서·지속기간을 유형화했다. 본 연구의 차별점은 유형화 기법의 도입 자체가 아니라, </w:t>
      </w:r>
      <w:r>
        <w:rPr>
          <w:rFonts w:ascii="맑은 고딕" w:cs="맑은 고딕" w:eastAsia="맑은 고딕" w:hAnsi="맑은 고딕"/>
          <w:b/>
          <w:bCs/>
        </w:rPr>
        <w:t xml:space="preserve">명부 기준 복수 코호트의 전수 고용이력을 동일 규칙으로 구성</w:t>
      </w:r>
      <w:r>
        <w:rPr>
          <w:rFonts w:ascii="맑은 고딕" w:cs="맑은 고딕" w:eastAsia="맑은 고딕" w:hAnsi="맑은 고딕"/>
        </w:rPr>
        <w:t xml:space="preserve">하고 전체기간 유형화와 동일경과기간 직접비교를 구분한다는 점이다.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2. 인과추론 방법론 사례와 공백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문헌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자료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처치/비교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우리 연구와의 관계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백승희·이정민(2021)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학교진로교육현황조사(유사종단)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PSM(캘리퍼 0.25SD)+DiD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NCS 적용 직업계고/일반고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국내 유일의 직업계고 PSM+DiD 결합 사례. 처치가 전국 동시 적용이라 비교집단이 일반고이며 선정 시점 차이(staggered)를 다루지 않음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KRIVET Issue Brief 244호(2022)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II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PSM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마이스터고/특성화고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매칭변수(중3 내신·소재지·부모학력·가구소득) 기준점 제공. 매칭 후에도 중3 내신 차이(3.92 vs 3.47)가 유의하게 남은 채 결과를 제시 — 균형진단 보고의 필요성을 보여주는 반면교사 사례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최수정(2018)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PIAAC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OLS+PSM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직업계고/일반고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OLS에서 나타난 일반고 임금우위가 PSM 표본에서 소멸 — 선택편의 보정이 결론을 바꾼 사례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결론:</w:t>
      </w:r>
      <w:r>
        <w:rPr>
          <w:rFonts w:ascii="맑은 고딕" w:cs="맑은 고딕" w:eastAsia="맑은 고딕" w:hAnsi="맑은 고딕"/>
        </w:rPr>
        <w:t xml:space="preserve"> 국내 직업계고 연구에서 PSM은 수 차례 시도되었으나 (a) 학교단위 정책으로 비교집단을 구성한 DiD 사례는 없고, (b) 행정자료로 같은 개인을 추적하여 패널탈락 문제 자체를 회피한 사례는 없다. 이 두 공백이 본 연구의 기여다.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III. 자료 및 연구설계 공통사항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1. 자료연계 구조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자료 제공기관:</w:t>
      </w:r>
      <w:r>
        <w:rPr>
          <w:rFonts w:ascii="맑은 고딕" w:cs="맑은 고딕" w:eastAsia="맑은 고딕" w:hAnsi="맑은 고딕"/>
        </w:rPr>
        <w:t xml:space="preserve"> 시·도교육청(NEIS 학생·학교정보), 한국교육개발원(KEDI, 직업계고 취업통계·고등교육통계), 근로복지공단(고용보험DB 자격·사업장·보수)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연계정보 생성기관:</w:t>
      </w:r>
      <w:r>
        <w:rPr>
          <w:rFonts w:ascii="맑은 고딕" w:cs="맑은 고딕" w:eastAsia="맑은 고딕" w:hAnsi="맑은 고딕"/>
        </w:rPr>
        <w:t xml:space="preserve"> 한국인터넷진흥원(KISA) — 결합키(성명+성별+생년월일) 연계정보 생성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결합전문기관:</w:t>
      </w:r>
      <w:r>
        <w:rPr>
          <w:rFonts w:ascii="맑은 고딕" w:cs="맑은 고딕" w:eastAsia="맑은 고딕" w:hAnsi="맑은 고딕"/>
        </w:rPr>
        <w:t xml:space="preserve"> 한국교육학술정보원(KERIS) — 분석 대상 정보 결합, 적정성·반출심사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연구기관:</w:t>
      </w:r>
      <w:r>
        <w:rPr>
          <w:rFonts w:ascii="맑은 고딕" w:cs="맑은 고딕" w:eastAsia="맑은 고딕" w:hAnsi="맑은 고딕"/>
        </w:rPr>
        <w:t xml:space="preserve"> 고려대학교 공공정책연구소 — 승인된 가명 식별자·성별·교육·고용 자료로 분석파일 구축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분석환경:</w:t>
      </w:r>
      <w:r>
        <w:rPr>
          <w:rFonts w:ascii="맑은 고딕" w:cs="맑은 고딕" w:eastAsia="맑은 고딕" w:hAnsi="맑은 고딕"/>
        </w:rPr>
        <w:t xml:space="preserve"> KERIS 데이터 안심구역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IRB:</w:t>
      </w:r>
      <w:r>
        <w:rPr>
          <w:rFonts w:ascii="맑은 고딕" w:cs="맑은 고딕" w:eastAsia="맑은 고딕" w:hAnsi="맑은 고딕"/>
        </w:rPr>
        <w:t xml:space="preserve"> 비심의 대상 확인(생명윤리법 제2조 제2항)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2. 관찰기간 및 코호트별 자료 범위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코호트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대표경로 도출·전체추적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동일경과기간 비교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교육이력 적용범위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2015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2015.4.1–2025.12.31 (129개월)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2015.4–2017.12 (33개월)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고등교육 이력 미제공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2020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2020.4.1–2025.12.31 (69개월)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2020.4–2022.12 (33개월)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2023–2025년 교육기록과 그 기록에서 식별되는 이전 교육구간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2023.4.1–2025.12.31 (33개월)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2023.4–2025.12 (33개월)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2023–2025년 교육기록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3. 상태공간 정의 (축1·축2 공통 기반)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 자료원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임금근로(고용보험 가입)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근로복지공단 자격이력, 월말 유효가입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고용이력 미관찰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잔여범주. 실업·비경제활동으로 확정하지 않음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C/U/R/A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전문대/대학/원격대학/기타고등교육 이력구간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KEDI 고등교육통계(2020·2023 코호트만)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E+교육코드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고용과 교육이력의 중첩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실제 재학·병행 확정값이 아님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HM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교육채널 결측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군집용 행동상태로 사용하지 않음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4. 변수사전 — 공통 인적·학교 특성 (모든 축에서 공유)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변수명(작업용)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코드·범위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person_id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문자 ID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가명 개인식별자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승인된 가명 식별자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KISA/KERIS 결합키 연계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school_id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문자 ID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 가명코드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NEIS 학교코드 기반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NEIS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cohort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졸업 코호트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2015/2020/2023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명부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hs_type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학교유형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1=특성화고, 2=마이스터고, 3=일반고 직업반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NEIS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hs_field2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고교 전공(KSCED 대분류)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00–10, M=결측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NEIS(2015)/KEDI(2020·2023)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hs_sido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고교 소재 시도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17개 시도코드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NEIS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sex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1=남성, 2=여성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결합키 공통항목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ref_gainja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기준일(4/1) 유효가입 여부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1=기가입자, 0=미관찰자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근로복지공단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5. 세 분석축 개관 (마스터 표)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분석축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방법론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인식론적 지위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 시각화</w:t>
            </w:r>
          </w:p>
        </w:tc>
        <w:tc>
          <w:tcPr>
            <w:tcW w:type="dxa" w:w="1900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참여 코호트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고용이행경로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기술통계, 시퀀스분석(OM-PAM), 사건사분석(KM+Cox), 다중상태모형, GBTM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서술적(descriptive)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상태전이 Sankey, KM 곡선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2015·2020·2023 전체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전공-직종 연계·이동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관련성 판정, 엔트로피지수, RF+SHAP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서술적/예측적(비인과)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전공-직종 Sankey, SHAP plot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2015(고용부문)·2020·2023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정책·제도 효과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PSM(진학·마이스터고), 조건부 DiD(도제학교)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인과추론(준실험)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Love plot, 성향점수 중첩도, event-study, forest plot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코호트별 상이(각 절 명시)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세 축은 보고서 본문에서 장 수준으로 분리하고, 각 장 서두에 인식론적 지위를 명시한다.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IV. 분석축 1 — 고용이행경로</w:t>
      </w:r>
    </w:p>
    <w:p>
      <w:pPr>
        <w:pBdr>
          <w:left w:val="single" w:color="888888" w:sz="12"/>
        </w:pBdr>
        <w:shd w:fill="F7F7F7" w:color="auto" w:val="clear"/>
        <w:spacing w:after="200" w:before="120"/>
        <w:ind w:left="400"/>
      </w:pPr>
      <w:r>
        <w:rPr>
          <w:rFonts w:ascii="맑은 고딕" w:cs="맑은 고딕" w:eastAsia="맑은 고딕" w:hAnsi="맑은 고딕"/>
          <w:i/>
          <w:iCs/>
        </w:rPr>
        <w:t xml:space="preserve">이 장은 </w:t>
      </w:r>
      <w:r>
        <w:rPr>
          <w:rFonts w:ascii="맑은 고딕" w:cs="맑은 고딕" w:eastAsia="맑은 고딕" w:hAnsi="맑은 고딕"/>
          <w:b/>
          <w:bCs/>
          <w:i/>
          <w:iCs/>
        </w:rPr>
        <w:t xml:space="preserve">서술적 분석</w:t>
      </w:r>
      <w:r>
        <w:rPr>
          <w:rFonts w:ascii="맑은 고딕" w:cs="맑은 고딕" w:eastAsia="맑은 고딕" w:hAnsi="맑은 고딕"/>
          <w:i/>
          <w:iCs/>
        </w:rPr>
        <w:t xml:space="preserve">이며 인과관계를 주장하지 않는다.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1. 연구문제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RQ1-1. 코호트·학교유형별 전체 고용경로와 입직·중단·재진입까지의 시간은 어떻게 다른가?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RQ1-2. 상태 전이는 어떤 유형(경로군집)으로 요약되며, 유형화 방법(거리기반 vs 모형기반)에 따라 결과가 강건한가?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2. 변수정의표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변수명(작업용)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코드·범위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month_idx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정수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졸업 후 경과월(1~129/69/33)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코호트별 상이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state_t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월말 상태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{E, O, C, U, R, A, EC, EU, ER, EA, HM}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spell_seq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정수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가입/공백 구간 순번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1,2,3,... (식별용, 설명변수 아님)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spell_type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구간 유형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E=가입, O=공백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spell_start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spell_end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날짜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구간 시작·종료일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YYYY-MM-DD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spell_len_days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정수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구간 지속일수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≥0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T_entry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delta_entry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수치/이분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관찰입직 사건시간·발생여부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일수 / 1=입직,0=중도절단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T_break1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delta_break1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수치/이분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입직후 첫중단 사건시간·발생여부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일수 / 1=중단,0=중도절단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T_reentry1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delta_reentry1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수치/이분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첫중단후 재진입 사건시간·발생여부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일수 / 1=재진입,0=중도절단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loss_reason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자격상실 사유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1개인사정~8기타행정종료(9개 범주)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wp_sido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wp_size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명목/순서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사업장 소재지·규모구간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17개 시도 / 1(5인미만)~8(1000인이상)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3. 시퀀스분석 (Optimal Matching + PAM 군집화)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수식.</w:t>
      </w:r>
      <w:r>
        <w:rPr>
          <w:rFonts w:ascii="맑은 고딕" w:cs="맑은 고딕" w:eastAsia="맑은 고딕" w:hAnsi="맑은 고딕"/>
        </w:rPr>
        <w:t xml:space="preserve"> 편집거리 </w:t>
      </w:r>
      <w:r>
        <w:rPr>
          <w:rFonts w:ascii="Cambria Math" w:cs="Cambria Math" w:eastAsia="Cambria Math" w:hAnsi="Cambria Math"/>
          <w:i/>
          <w:iCs/>
        </w:rPr>
        <w:t xml:space="preserve">d(x,y)=\min\sum(\text{삽입·삭제 비용}+\text{치환 비용})</w:t>
      </w:r>
      <w:r>
        <w:rPr>
          <w:rFonts w:ascii="맑은 고딕" w:cs="맑은 고딕" w:eastAsia="맑은 고딕" w:hAnsi="맑은 고딕"/>
        </w:rPr>
        <w:t xml:space="preserve">, indel=1, 이종상태 치환=2, 동일상태 치환=0. 군집 수 </w:t>
      </w:r>
      <w:r>
        <w:rPr>
          <w:rFonts w:ascii="Cambria Math" w:cs="Cambria Math" w:eastAsia="Cambria Math" w:hAnsi="Cambria Math"/>
          <w:i/>
          <w:iCs/>
        </w:rPr>
        <w:t xml:space="preserve">k^\*=\arg\max_{k\in\{2,...,8\}}\overline{ASW}(k)</w:t>
      </w:r>
      <w:r>
        <w:rPr>
          <w:rFonts w:ascii="맑은 고딕" w:cs="맑은 고딕" w:eastAsia="맑은 고딕" w:hAnsi="맑은 고딕"/>
        </w:rPr>
        <w:t xml:space="preserve">, ASW(average silhouette width, Rousseeuw 1987): </w:t>
      </w:r>
      <w:r>
        <w:rPr>
          <w:rFonts w:ascii="Cambria Math" w:cs="Cambria Math" w:eastAsia="Cambria Math" w:hAnsi="Cambria Math"/>
          <w:i/>
          <w:iCs/>
        </w:rPr>
        <w:t xml:space="preserve">s(i)=\dfrac{b(i)-a(i)}{\max\{a(i),b(i)\}}</w:t>
      </w:r>
      <w:r>
        <w:rPr>
          <w:rFonts w:ascii="맑은 고딕" w:cs="맑은 고딕" w:eastAsia="맑은 고딕" w:hAnsi="맑은 고딕"/>
        </w:rPr>
        <w:t xml:space="preserve"> (</w:t>
      </w:r>
      <w:r>
        <w:rPr>
          <w:rFonts w:ascii="Cambria Math" w:cs="Cambria Math" w:eastAsia="Cambria Math" w:hAnsi="Cambria Math"/>
          <w:i/>
          <w:iCs/>
        </w:rPr>
        <w:t xml:space="preserve">a(i)</w:t>
      </w:r>
      <w:r>
        <w:rPr>
          <w:rFonts w:ascii="맑은 고딕" w:cs="맑은 고딕" w:eastAsia="맑은 고딕" w:hAnsi="맑은 고딕"/>
        </w:rPr>
        <w:t xml:space="preserve">=군집 내 평균거리, </w:t>
      </w:r>
      <w:r>
        <w:rPr>
          <w:rFonts w:ascii="Cambria Math" w:cs="Cambria Math" w:eastAsia="Cambria Math" w:hAnsi="Cambria Math"/>
          <w:i/>
          <w:iCs/>
        </w:rPr>
        <w:t xml:space="preserve">b(i)</w:t>
      </w:r>
      <w:r>
        <w:rPr>
          <w:rFonts w:ascii="맑은 고딕" w:cs="맑은 고딕" w:eastAsia="맑은 고딕" w:hAnsi="맑은 고딕"/>
        </w:rPr>
        <w:t xml:space="preserve">=최근접 타군집 평균거리).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R 코드 스켈레톤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library(TraMineR); library(WeightedCluster); library(cluster); library(mclust)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seq_wide: 1행/1인, 열=month_01..month_K, 값∈{"E","O","C","U","R","A","EC","EU","ER","EA","HM"}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seq_obj &lt;- seqdef(seq_wide,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var    = grep("^month_", names(seq_wide), value = TRUE),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states = c("E","O","C","U","R","A","EC","EU","ER","EA","HM"),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labels = c("고용","미관찰","전문대","대학","원격대","기타고등교육",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"고용+전문대","고용+대학","고용+원격대","고용+기타","교육결측"),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id     = seq_wide$person_id)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sm  &lt;- seqsubm(seq_obj, method = "CONSTANT", cval = 2)   # 치환비용 2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om  &lt;- seqdist(seq_obj, method = "OM", indel = 1, sm = sm)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대규모 자료: 학교유형×성별 층화표본에서 대표점 탐색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strat_idx &lt;- seq_wide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mutate(.row = row_number())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group_by(hs_type, sex) %&gt;% slice_sample(prop = 0.10) %&gt;% pull(.row)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om_s &lt;- om[strat_idx, strat_idx]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asw &lt;- sapply(2:8, function(k) {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 &lt;- wcKMedoids(om_s, k = k, method = "PAMonce")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mean(wcSilhouetteObs(om_s, p$clustering))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k_star &lt;- (2:8)[which.max(asw)]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pam_final &lt;- wcKMedoids(om_s, k = k_star, method = "PAMonce")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medoid_idx &lt;- pam_final$medoids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full_assign &lt;- apply(om[, medoid_idx, drop = FALSE], 1, which.min)  # 전체 개인을 최근접 대표점에 배정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재현성(ARI) — 반복 층화표본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ari &lt;- replicate(50, {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idx2 &lt;- seq_wide %&gt;% mutate(.row = row_number())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group_by(hs_type, sex) %&gt;% slice_sample(prop = 0.10) %&gt;% pull(.row)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p2 &lt;- wcKMedoids(om[idx2, idx2], k = k_star, method = "PAMonce")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mclust::adjustedRandIndex(full_assign[idx2], p2$clustering)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[추가 제안] GBTM 교차검증.</w:t>
      </w:r>
      <w:r>
        <w:rPr>
          <w:rFonts w:ascii="맑은 고딕" w:cs="맑은 고딕" w:eastAsia="맑은 고딕" w:hAnsi="맑은 고딕"/>
        </w:rPr>
        <w:t xml:space="preserve"> OM-PAM(거리기반)과 집단중심궤적모형(모형기반, </w:t>
      </w:r>
      <w:r>
        <w:rPr>
          <w:rFonts w:ascii="Consolas" w:cs="Consolas" w:eastAsia="Consolas" w:hAnsi="Consolas"/>
          <w:sz w:val="19"/>
          <w:szCs w:val="19"/>
        </w:rPr>
        <w:t xml:space="preserve">lcmm::hlme</w:t>
      </w:r>
      <w:r>
        <w:rPr>
          <w:rFonts w:ascii="맑은 고딕" w:cs="맑은 고딕" w:eastAsia="맑은 고딕" w:hAnsi="맑은 고딕"/>
        </w:rPr>
        <w:t xml:space="preserve">)을 동일 시퀀스에 각각 적용해 군집 구성 일치도(Cohen's κ)로 유형화의 강건성을 확인한다.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library(lcmm)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panel_num: person_id, month_idx, emp01(=1 if state_t=="E" else 0)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gbtm_fits &lt;- map(2:6, ~ hlme(emp01 ~ month_idx + I(month_idx^2),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subject = "person_id", ng = .x,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mixture = ~ month_idx + I(month_idx^2),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data = panel_num, verbose = FALSE))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map_dbl(gbtm_fits, "BIC")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best_gbtm &lt;- gbtm_fits[[which.min(map_dbl(gbtm_fits, "BIC"))]]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gbtm_assign &lt;- best_gbtm$pprob %&gt;% select(person_id, class)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OM-PAM 군집과 교차표·카파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cross_tab &lt;- table(full_assign_df$cluster_om, gbtm_assign$class)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irr::kappa2(cbind(full_assign_df$cluster_om, gbtm_assign$class))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4. 사건사분석 (Event History Analysis)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사건</w:t>
            </w:r>
          </w:p>
        </w:tc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분석대상·시작점</w:t>
            </w:r>
          </w:p>
        </w:tc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결과변수 </w:t>
            </w:r>
            <w:r>
              <w:rPr>
                <w:rFonts w:ascii="Cambria Math" w:cs="Cambria Math" w:eastAsia="Cambria Math" w:hAnsi="Cambria Math"/>
                <w:b/>
                <w:bCs/>
                <w:i/>
                <w:iCs/>
                <w:color w:val="FFFFFF"/>
                <w:sz w:val="18"/>
                <w:szCs w:val="18"/>
              </w:rPr>
              <w:t xml:space="preserve">(T,\delta)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관찰 입직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기준일 미관찰자, 졸업연도 4/1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mbria Math" w:cs="Cambria Math" w:eastAsia="Cambria Math" w:hAnsi="Cambria Math"/>
                <w:i/>
                <w:i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=첫 가입 또는 종료까지 일수, </w:t>
            </w:r>
            <w:r>
              <w:rPr>
                <w:rFonts w:ascii="Cambria Math" w:cs="Cambria Math" w:eastAsia="Cambria Math" w:hAnsi="Cambria Math"/>
                <w:i/>
                <w:iCs/>
                <w:sz w:val="18"/>
                <w:szCs w:val="18"/>
              </w:rPr>
              <w:t xml:space="preserve">\delta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=1(입직)/0(중도절단)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입직 후 첫 중단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관찰 입직자, 입직일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mbria Math" w:cs="Cambria Math" w:eastAsia="Cambria Math" w:hAnsi="Cambria Math"/>
                <w:i/>
                <w:i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=첫 공백까지 일수, </w:t>
            </w:r>
            <w:r>
              <w:rPr>
                <w:rFonts w:ascii="Cambria Math" w:cs="Cambria Math" w:eastAsia="Cambria Math" w:hAnsi="Cambria Math"/>
                <w:i/>
                <w:iCs/>
                <w:sz w:val="18"/>
                <w:szCs w:val="18"/>
              </w:rPr>
              <w:t xml:space="preserve">\delta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=1(중단)/0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재진입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중단 경험자, 중단일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mbria Math" w:cs="Cambria Math" w:eastAsia="Cambria Math" w:hAnsi="Cambria Math"/>
                <w:i/>
                <w:i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=다음 가입까지 일수, </w:t>
            </w:r>
            <w:r>
              <w:rPr>
                <w:rFonts w:ascii="Cambria Math" w:cs="Cambria Math" w:eastAsia="Cambria Math" w:hAnsi="Cambria Math"/>
                <w:i/>
                <w:iCs/>
                <w:sz w:val="18"/>
                <w:szCs w:val="18"/>
              </w:rPr>
              <w:t xml:space="preserve">\delta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=1(재진입)/0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수식.</w:t>
      </w:r>
      <w:r>
        <w:rPr>
          <w:rFonts w:ascii="맑은 고딕" w:cs="맑은 고딕" w:eastAsia="맑은 고딕" w:hAnsi="맑은 고딕"/>
        </w:rPr>
        <w:t xml:space="preserve"> Kaplan–Meier: </w:t>
      </w:r>
      <w:r>
        <w:rPr>
          <w:rFonts w:ascii="Cambria Math" w:cs="Cambria Math" w:eastAsia="Cambria Math" w:hAnsi="Cambria Math"/>
          <w:i/>
          <w:iCs/>
        </w:rPr>
        <w:t xml:space="preserve">\hat S(t)=\prod_{t_i\le t}(1-d_i/n_i)</w:t>
      </w:r>
      <w:r>
        <w:rPr>
          <w:rFonts w:ascii="맑은 고딕" w:cs="맑은 고딕" w:eastAsia="맑은 고딕" w:hAnsi="맑은 고딕"/>
        </w:rPr>
        <w:t xml:space="preserve">. Cox 비례위험(코호트 층화): </w:t>
      </w:r>
      <w:r>
        <w:rPr>
          <w:rFonts w:ascii="Cambria Math" w:cs="Cambria Math" w:eastAsia="Cambria Math" w:hAnsi="Cambria Math"/>
          <w:i/>
          <w:iCs/>
        </w:rPr>
        <w:t xml:space="preserve">h_c(t\mid X)=h_{0c}(t)\exp(\beta_1 \text{hs\_type}+\beta_2 \text{sex}+\beta_3 \text{hs\_field2}+\beta_4 \text{hs\_sido})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R 코드 스켈레톤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library(survival)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event_entry: person_id, school_id, cohort, T, delta, hs_type, sex, hs_field2, hs_sido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km_entry &lt;- survfit(Surv(T, delta) ~ hs_type, data = event_entry %&gt;% filter(cohort == 2020))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summary(km_entry, times = c(365, 730))            # 12·24개월 누적 입직확률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km_entry_ci &lt;- survfit(Surv(T, delta) ~ hs_type, data = event_entry, cluster = school_id)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cox_entry &lt;- coxph(Surv(T, delta) ~ hs_type + sex + hs_field2 + hs_sido +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strata(cohort) + cluster(school_id),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data = event_entry, ties = "efron")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summary(cox_entry)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cox.zph(cox_entry)                                 # 비례위험(Schoenfeld) 검정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동일 구조를 event_break1, event_reentry1에 반복 적용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cox_break1  &lt;- update(cox_entry, data = event_break1)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cox_reentry &lt;- update(cox_entry, data = event_reentry1)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[추가 제안] 다중상태 강도모형.</w:t>
      </w:r>
      <w:r>
        <w:rPr>
          <w:rFonts w:ascii="맑은 고딕" w:cs="맑은 고딕" w:eastAsia="맑은 고딕" w:hAnsi="맑은 고딕"/>
        </w:rPr>
        <w:t xml:space="preserve"> O→E(동일직종 재취업) vs O→E(이직 재취업) 등 전이 종류별 강도 </w:t>
      </w:r>
      <w:r>
        <w:rPr>
          <w:rFonts w:ascii="Cambria Math" w:cs="Cambria Math" w:eastAsia="Cambria Math" w:hAnsi="Cambria Math"/>
          <w:i/>
          <w:iCs/>
        </w:rPr>
        <w:t xml:space="preserve">q_{ab}(t)</w:t>
      </w:r>
      <w:r>
        <w:rPr>
          <w:rFonts w:ascii="맑은 고딕" w:cs="맑은 고딕" w:eastAsia="맑은 고딕" w:hAnsi="맑은 고딕"/>
        </w:rPr>
        <w:t xml:space="preserve">까지 확장한다.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library(msm)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panel_ms: person_id, month_idx, state_num(정수코드: 1=E,2=O,3=EC,...)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Qmat_init &lt;- matrix(0.01, nrow = length(unique(panel_ms$state_num)),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ncol = length(unique(panel_ms$state_num)))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diag(Qmat_init) &lt;- -rowSums(Qmat_init) + diag(Qmat_init)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msm_fit &lt;- msm(state_num ~ month_idx, subject = person_id, data = panel_ms,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qmatrix = Qmat_init, covariates = ~ hs_type + sex, gen.inits = TRUE)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qmatrix.msm(msm_fit)          # 전이강도 q_ab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pmatrix.msm(msm_fit, t = 12)  # 12개월 전이확률행렬 — Sankey 원자료로 사용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5. 공백기간 조작정의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주 기준 3개월(통계청 신규실업자/장기실업자 경계) + 민감도 1개월(경활조사 실업자 정의)·6개월(장기실업자·청년일자리도약장려금 기준)로 삼각검증한다.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gap_flag &lt;- function(gap_days, cut_months) gap_days &gt;= cut_months * 30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(m in c(1, 3, 6)) event_break1[[paste0("gap_ge_", m, "m")]] &lt;- gap_flag(event_break1$gap_days, m)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6. 시각화 계획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그림1. 코호트×학교유형별 상태전이 Sankey (졸업→6→12→24→36개월; 원자료: </w:t>
      </w:r>
      <w:r>
        <w:rPr>
          <w:rFonts w:ascii="Consolas" w:cs="Consolas" w:eastAsia="Consolas" w:hAnsi="Consolas"/>
          <w:sz w:val="19"/>
          <w:szCs w:val="19"/>
        </w:rPr>
        <w:t xml:space="preserve">pmatrix.msm</w:t>
      </w:r>
      <w:r>
        <w:rPr>
          <w:rFonts w:ascii="맑은 고딕" w:cs="맑은 고딕" w:eastAsia="맑은 고딕" w:hAnsi="맑은 고딕"/>
        </w:rPr>
        <w:t xml:space="preserve"> 또는 월별 상태전환표)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그림2. 코호트별 Kaplan–Meier 곡선(입직/중단/재진입), 95% CI(학교단위 강건)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그림3. Schoenfeld 잔차도표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표1(결과표 양식). 코호트×학교유형별 12·24개월 누적 입직확률, 365일 누적 중단확률, 90·180·365일 누적 재진입확률 — [반출 후 숫자만 채움]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Sankey 원자료 산출 예시 (ggsankey 또는 networkD3 입력용)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sankey_src &lt;- panel_long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filter(month_idx %in% c(0,6,12,24,36))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select(person_id, cohort, hs_type, month_idx, state_t)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pivot_wider(names_from = month_idx, values_from = state_t, names_prefix = "m")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V. 분석축 2 — 전공-직종 연계 및 이동</w:t>
      </w:r>
    </w:p>
    <w:p>
      <w:pPr>
        <w:pBdr>
          <w:left w:val="single" w:color="888888" w:sz="12"/>
        </w:pBdr>
        <w:shd w:fill="F7F7F7" w:color="auto" w:val="clear"/>
        <w:spacing w:after="200" w:before="120"/>
        <w:ind w:left="400"/>
      </w:pPr>
      <w:r>
        <w:rPr>
          <w:rFonts w:ascii="맑은 고딕" w:cs="맑은 고딕" w:eastAsia="맑은 고딕" w:hAnsi="맑은 고딕"/>
          <w:i/>
          <w:iCs/>
        </w:rPr>
        <w:t xml:space="preserve">이 장은 </w:t>
      </w:r>
      <w:r>
        <w:rPr>
          <w:rFonts w:ascii="맑은 고딕" w:cs="맑은 고딕" w:eastAsia="맑은 고딕" w:hAnsi="맑은 고딕"/>
          <w:b/>
          <w:bCs/>
          <w:i/>
          <w:iCs/>
        </w:rPr>
        <w:t xml:space="preserve">서술적·예측적(비인과) 분석</w:t>
      </w:r>
      <w:r>
        <w:rPr>
          <w:rFonts w:ascii="맑은 고딕" w:cs="맑은 고딕" w:eastAsia="맑은 고딕" w:hAnsi="맑은 고딕"/>
          <w:i/>
          <w:iCs/>
        </w:rPr>
        <w:t xml:space="preserve">이며, RF+SHAP 결과를 인과효과로 해석하지 않는다.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1. 연구문제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RQ2-1. 고교 전공은 어떤 직종으로 연결되며, 연결의 강도·분산은 전공별로 어떻게 다른가?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RQ2-2. 취득이력 간 직종 변경은 어떤 조건에서 발생하는가?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RQ2-3. [예측적] 재학 중 특성으로 축1의 경로유형을 얼마나 예측할 수 있으며, 어떤 특성이 기여하는가?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2. 변수정의표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변수명(작업용)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코드·범위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occ_code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취득시점 직종(KECO 중분류)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차수(2·3/4/5차) 병기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occ_ver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직종분류 차수 코드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OCCUPATION_VER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field_occ_relate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전공-직종 분류상 관련성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1=관련, 2=관련가능·혼합, 3=무관련, 4=일반프로그램 비적용, M=미상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occ_change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취득이력 간 직종 변경 여부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1=변경, 0=유지, M=판정불가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occ_change_cnt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정수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개인별 변경 횟수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≥0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college_field2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college_type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대학 전공(KSCED)·유형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전문대/일반대/원격대/기타 (2020·2023만)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H_field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연속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전공별 도착직종 엔트로피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$H_m=-\sum_o p_{o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m}\log p_{o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m}$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pathway_cluster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명목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축1 PAM 경로군집 번호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1..k* (RF 종속변수)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cert_yn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재학중 자격증 취득 여부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1/0 [반출 확인 필요]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apprentice_flag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도제학교 소속 여부(학교단위)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1/0 (축3 마스터 명단 매칭)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3. 전공-직종 관련성 판정 및 엔트로피 지수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수식.</w:t>
      </w:r>
      <w:r>
        <w:rPr>
          <w:rFonts w:ascii="맑은 고딕" w:cs="맑은 고딕" w:eastAsia="맑은 고딕" w:hAnsi="맑은 고딕"/>
        </w:rPr>
        <w:t xml:space="preserve"> </w:t>
      </w:r>
      <w:r>
        <w:rPr>
          <w:rFonts w:ascii="Cambria Math" w:cs="Cambria Math" w:eastAsia="Cambria Math" w:hAnsi="Cambria Math"/>
          <w:i/>
          <w:iCs/>
        </w:rPr>
        <w:t xml:space="preserve">H_m=-\sum_{o} p_{o|m}\log p_{o|m}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ambria Math" w:cs="Cambria Math" w:eastAsia="Cambria Math" w:hAnsi="Cambria Math"/>
          <w:i/>
          <w:iCs/>
        </w:rPr>
        <w:t xml:space="preserve">p_{o|m}</w:t>
      </w:r>
      <w:r>
        <w:rPr>
          <w:rFonts w:ascii="맑은 고딕" w:cs="맑은 고딕" w:eastAsia="맑은 고딕" w:hAnsi="맑은 고딕"/>
        </w:rPr>
        <w:t xml:space="preserve">=전공 </w:t>
      </w:r>
      <w:r>
        <w:rPr>
          <w:rFonts w:ascii="Cambria Math" w:cs="Cambria Math" w:eastAsia="Cambria Math" w:hAnsi="Cambria Math"/>
          <w:i/>
          <w:iCs/>
        </w:rPr>
        <w:t xml:space="preserve">m</w:t>
      </w:r>
      <w:r>
        <w:rPr>
          <w:rFonts w:ascii="맑은 고딕" w:cs="맑은 고딕" w:eastAsia="맑은 고딕" w:hAnsi="맑은 고딕"/>
        </w:rPr>
        <w:t xml:space="preserve">에서 직종 </w:t>
      </w:r>
      <w:r>
        <w:rPr>
          <w:rFonts w:ascii="Cambria Math" w:cs="Cambria Math" w:eastAsia="Cambria Math" w:hAnsi="Cambria Math"/>
          <w:i/>
          <w:iCs/>
        </w:rPr>
        <w:t xml:space="preserve">o</w:t>
      </w:r>
      <w:r>
        <w:rPr>
          <w:rFonts w:ascii="맑은 고딕" w:cs="맑은 고딕" w:eastAsia="맑은 고딕" w:hAnsi="맑은 고딕"/>
        </w:rPr>
        <w:t xml:space="preserve">로 연결된 비율. </w:t>
      </w:r>
      <w:r>
        <w:rPr>
          <w:rFonts w:ascii="Cambria Math" w:cs="Cambria Math" w:eastAsia="Cambria Math" w:hAnsi="Cambria Math"/>
          <w:i/>
          <w:iCs/>
        </w:rPr>
        <w:t xml:space="preserve">H_m</w:t>
      </w:r>
      <w:r>
        <w:rPr>
          <w:rFonts w:ascii="맑은 고딕" w:cs="맑은 고딕" w:eastAsia="맑은 고딕" w:hAnsi="맑은 고딕"/>
        </w:rPr>
        <w:t xml:space="preserve">이 낮을수록 특정 직종 종속적, 높을수록 범용적 흡수 경로.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R 코드 스켈레톤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occ_link: person_id, hs_field2, occ_group(공통 직종 비교군)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entropy_tab &lt;- occ_link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filter(!is.na(occ_group))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count(hs_field2, occ_group)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group_by(hs_field2)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mutate(p = n / sum(n))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summarise(H_field = -sum(p * log(p)), n_obs = sum(n), .groups = "drop")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판정자 간 일치도(관련성 코딩)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irr::kappa2(cbind(rater1$field_occ_relate, rater2$field_occ_relate))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4. 직종 변경 분석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transition_pairs: person_id, prior_occ, next_occ, prior_loss_reason, wp_size_prior, wp_size_next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transition_pairs &lt;- transition_pairs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mutate(occ_change = if_else(!is.na(prior_occ) &amp; !is.na(next_occ),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as.integer(prior_occ != next_occ), NA_integer_),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size_change = case_when(wp_size_next &gt; wp_size_prior ~ 1L,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wp_size_next == wp_size_prior ~ 0L,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wp_size_next &lt; wp_size_prior ~ -1L, TRUE ~ NA_integer_))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5. 예측모형 — Random Forest + SHAP</w:t>
      </w:r>
    </w:p>
    <w:p>
      <w:pPr>
        <w:pBdr>
          <w:left w:val="single" w:color="888888" w:sz="12"/>
        </w:pBdr>
        <w:shd w:fill="F7F7F7" w:color="auto" w:val="clear"/>
        <w:spacing w:after="200" w:before="120"/>
        <w:ind w:left="400"/>
      </w:pPr>
      <w:r>
        <w:rPr>
          <w:rFonts w:ascii="맑은 고딕" w:cs="맑은 고딕" w:eastAsia="맑은 고딕" w:hAnsi="맑은 고딕"/>
          <w:b/>
          <w:bCs/>
          <w:i/>
          <w:iCs/>
        </w:rPr>
        <w:t xml:space="preserve">caveat.</w:t>
      </w:r>
      <w:r>
        <w:rPr>
          <w:rFonts w:ascii="맑은 고딕" w:cs="맑은 고딕" w:eastAsia="맑은 고딕" w:hAnsi="맑은 고딕"/>
          <w:i/>
          <w:iCs/>
        </w:rPr>
        <w:t xml:space="preserve"> SHAP 특성기여도는 "예측 기여도"이며 "인과효과"가 아니다. 결과는 탐색적 정보로만 사용한다.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R 코드 스켈레톤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library(ranger); library(fastshap); library(shapviz)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predictors &lt;- c("hs_type","hs_field2","hs_sido","sex","cert_yn","apprentice_flag")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train_df &lt;- panel_wide %&gt;% select(pathway_cluster, all_of(predictors))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mutate(across(where(is.character), as.factor))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rf_fit &lt;- ranger(pathway_cluster ~ ., data = train_df, probability = TRUE,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num.trees = 2000, importance = "permutation", seed = 1234)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pred_wrapper &lt;- function(object, newdata) predict(object, data = newdata)$predictions[, 1]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shap_vals &lt;- fastshap::explain(rf_fit, X = train_df[, predictors],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pred_wrapper = pred_wrapper, nsim = 50)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sv &lt;- shapviz(shap_vals, X = train_df[, predictors])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sv_importance(sv, kind = "beeswarm")   # 그림6: SHAP summary plot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6. 시각화 계획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그림4. 고교전공→첫 관찰직종→[진학자] 대학전공→재이동직종 Sankey(3~4단)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그림5. 전공별 </w:t>
      </w:r>
      <w:r>
        <w:rPr>
          <w:rFonts w:ascii="Cambria Math" w:cs="Cambria Math" w:eastAsia="Cambria Math" w:hAnsi="Cambria Math"/>
          <w:i/>
          <w:iCs/>
        </w:rPr>
        <w:t xml:space="preserve">H_m</w:t>
      </w:r>
      <w:r>
        <w:rPr>
          <w:rFonts w:ascii="맑은 고딕" w:cs="맑은 고딕" w:eastAsia="맑은 고딕" w:hAnsi="맑은 고딕"/>
        </w:rPr>
        <w:t xml:space="preserve"> 막대그래프(학교유형별)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그림6. SHAP summary plot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표2(결과표 양식). 전공×직종 연결표(관련/관련가능/무관련/미상 비율), 코호트별 — [반출 후 숫자만 채움]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VI. 분석축 3 — 정책·제도 효과의 준실험적 분석</w:t>
      </w:r>
    </w:p>
    <w:p>
      <w:pPr>
        <w:pBdr>
          <w:left w:val="single" w:color="888888" w:sz="12"/>
        </w:pBdr>
        <w:shd w:fill="F7F7F7" w:color="auto" w:val="clear"/>
        <w:spacing w:after="200" w:before="120"/>
        <w:ind w:left="400"/>
      </w:pPr>
      <w:r>
        <w:rPr>
          <w:rFonts w:ascii="맑은 고딕" w:cs="맑은 고딕" w:eastAsia="맑은 고딕" w:hAnsi="맑은 고딕"/>
          <w:b/>
          <w:bCs/>
          <w:i/>
          <w:iCs/>
        </w:rPr>
        <w:t xml:space="preserve">이 장 전체는 인과추론이다.</w:t>
      </w:r>
      <w:r>
        <w:rPr>
          <w:rFonts w:ascii="맑은 고딕" w:cs="맑은 고딕" w:eastAsia="맑은 고딕" w:hAnsi="맑은 고딕"/>
          <w:i/>
          <w:iCs/>
        </w:rPr>
        <w:t xml:space="preserve"> 추정치를 "효과(effect)"로 명명하며, 각 하위분석마다 식별가정·위협요인·대응방법을 명시한다.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1. 방법론 개념 및 공통 수식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반사실 구조: 개인 </w:t>
      </w:r>
      <w:r>
        <w:rPr>
          <w:rFonts w:ascii="Cambria Math" w:cs="Cambria Math" w:eastAsia="Cambria Math" w:hAnsi="Cambria Math"/>
          <w:i/>
          <w:iCs/>
        </w:rPr>
        <w:t xml:space="preserve">i</w:t>
      </w:r>
      <w:r>
        <w:rPr>
          <w:rFonts w:ascii="맑은 고딕" w:cs="맑은 고딕" w:eastAsia="맑은 고딕" w:hAnsi="맑은 고딕"/>
        </w:rPr>
        <w:t xml:space="preserve">에게 </w:t>
      </w:r>
      <w:r>
        <w:rPr>
          <w:rFonts w:ascii="Cambria Math" w:cs="Cambria Math" w:eastAsia="Cambria Math" w:hAnsi="Cambria Math"/>
          <w:i/>
          <w:iCs/>
        </w:rPr>
        <w:t xml:space="preserve">Y_i(1)</w:t>
      </w:r>
      <w:r>
        <w:rPr>
          <w:rFonts w:ascii="맑은 고딕" w:cs="맑은 고딕" w:eastAsia="맑은 고딕" w:hAnsi="맑은 고딕"/>
        </w:rPr>
        <w:t xml:space="preserve">(처치)과 </w:t>
      </w:r>
      <w:r>
        <w:rPr>
          <w:rFonts w:ascii="Cambria Math" w:cs="Cambria Math" w:eastAsia="Cambria Math" w:hAnsi="Cambria Math"/>
          <w:i/>
          <w:iCs/>
        </w:rPr>
        <w:t xml:space="preserve">Y_i(0)</w:t>
      </w:r>
      <w:r>
        <w:rPr>
          <w:rFonts w:ascii="맑은 고딕" w:cs="맑은 고딕" w:eastAsia="맑은 고딕" w:hAnsi="맑은 고딕"/>
        </w:rPr>
        <w:t xml:space="preserve">(무처치) 중 하나만 관찰됨. 추정 대상은 ATT: </w:t>
      </w:r>
      <w:r>
        <w:rPr>
          <w:rFonts w:ascii="Cambria Math" w:cs="Cambria Math" w:eastAsia="Cambria Math" w:hAnsi="Cambria Math"/>
          <w:i/>
          <w:iCs/>
        </w:rPr>
        <w:t xml:space="preserve">\tau_{ATT}=E[Y(1)-Y(0)\mid D=1]</w:t>
      </w:r>
      <w:r>
        <w:rPr>
          <w:rFonts w:ascii="맑은 고딕" w:cs="맑은 고딕" w:eastAsia="맑은 고딕" w:hAnsi="맑은 고딕"/>
        </w:rPr>
        <w:t xml:space="preserve">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PSM</w:t>
            </w:r>
          </w:p>
        </w:tc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DiD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교란 제거 방식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관측 특성이 비슷한 사람끼리 비교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집단의 시간에 따른 변화량을 비교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핵심 가정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비혼입(unconfoundedness) + 겹침(overlap): </w:t>
            </w:r>
            <w:r>
              <w:rPr>
                <w:rFonts w:ascii="Cambria Math" w:cs="Cambria Math" w:eastAsia="Cambria Math" w:hAnsi="Cambria Math"/>
                <w:i/>
                <w:iCs/>
                <w:sz w:val="18"/>
                <w:szCs w:val="18"/>
              </w:rPr>
              <w:t xml:space="preserve">0&lt;P(D=1\mid X)&lt;1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평행추세 + 무예측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필요 데이터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처치 전 특성 + 결과(단일 시점 가능)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처치 전·후 결과값이 양쪽 집단 모두에 필요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2. 하위분석 A — 진학효과 (PSM)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변수정의표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변수명(작업용)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코드·범위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enroll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처치: 졸업 직후 진학 여부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1=진학, 0=고졸취업(비교집단)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gpa_ms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연속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성적 대리변수 [반출 확인 필요]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KRIVET(2022) 중3 내신 상응 항목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hh_proxy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연속/명목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가정배경 대리변수 [반출 확인 필요]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교육급여·급식비 지원이력 등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fieldtrip_yn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현장실습 참여 여부 [반출 확인 필요]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1/0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income_year_n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순서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졸업 후 n년차 연간 보수구간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100만원 단위 구간(doc1 표8 기준)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ps_score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연속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추정 성향점수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로지스틱 예측확률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matched_weight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연속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매칭/IPTW 가중치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≥0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모형식.</w:t>
      </w:r>
      <w:r>
        <w:rPr>
          <w:rFonts w:ascii="맑은 고딕" w:cs="맑은 고딕" w:eastAsia="맑은 고딕" w:hAnsi="맑은 고딕"/>
        </w:rPr>
        <w:t xml:space="preserve"> 로지스틱 성향점수모형: </w:t>
      </w:r>
      <w:r>
        <w:rPr>
          <w:rFonts w:ascii="Cambria Math" w:cs="Cambria Math" w:eastAsia="Cambria Math" w:hAnsi="Cambria Math"/>
          <w:i/>
          <w:iCs/>
        </w:rPr>
        <w:t xml:space="preserve">\text{logit}\,P(\text{enroll}_i=1)=\alpha+\beta_1 \text{gpa\_ms}_i+\beta_2 \text{hs\_field2}_i+\beta_3 \text{hs\_type}_i+\beta_4 \text{hs\_sido}_i+\beta_5 \text{cert\_yn}_i+\beta_6 \text{fieldtrip\_yn}_i+\beta_7 \text{hh\_proxy}_i</w:t>
      </w:r>
      <w:r>
        <w:rPr>
          <w:rFonts w:ascii="맑은 고딕" w:cs="맑은 고딕" w:eastAsia="맑은 고딕" w:hAnsi="맑은 고딕"/>
        </w:rPr>
        <w:t xml:space="preserve">. 결과모형(매칭 표본 내): </w:t>
      </w:r>
      <w:r>
        <w:rPr>
          <w:rFonts w:ascii="Cambria Math" w:cs="Cambria Math" w:eastAsia="Cambria Math" w:hAnsi="Cambria Math"/>
          <w:i/>
          <w:iCs/>
        </w:rPr>
        <w:t xml:space="preserve">\text{income\_year\_n}_i=\gamma_0+\gamma_1 \text{enroll}_i+\epsilon_i</w:t>
      </w:r>
      <w:r>
        <w:rPr>
          <w:rFonts w:ascii="맑은 고딕" w:cs="맑은 고딕" w:eastAsia="맑은 고딕" w:hAnsi="맑은 고딕"/>
        </w:rPr>
        <w:t xml:space="preserve"> (매칭/IPTW 가중치 적용).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R 코드 스켈레톤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library(MatchIt); library(cobalt); library(WeightIt); library(rbounds)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ps_formula &lt;- enroll ~ gpa_ms + hs_field2 + hs_type + hs_sido + cert_yn + fieldtrip_yn + hh_proxy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m_out &lt;- matchit(ps_formula, data = psm_df, method = "nearest", distance = "glm",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caliper = 0.2, std.caliper = TRUE, ratio = 1)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summary(m_out)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love.plot(m_out, stats = "mean.diffs", threshold = 0.1, abs = TRUE)   # 그림7-보조: 균형진단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matched_df &lt;- match.data(m_out)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연차별 ATT (n = 1..5)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att_by_year &lt;- map_dfr(1:5, function(n) {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yvar &lt;- paste0("income_year_", n)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fit &lt;- lm(reformulate("enroll", response = yvar), data = matched_df, weights = weights)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broom::tidy(fit) %&gt;% filter(term == "enroll") %&gt;% mutate(year = n)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IPTW 교차확인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w_out &lt;- weightit(ps_formula, data = psm_df, method = "glm", estimand = "ATT")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lm_iptw &lt;- lm(income_year_3 ~ enroll, data = psm_df, weights = w_out$weights)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Rosenbaum bounds (미측정 교란 민감도)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psens(matched_df$income_year_3[matched_df$enroll == 1],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matched_df$income_year_3[matched_df$enroll == 0], Gamma = 2, GammaInc = 0.1)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시간가변 처리 — 선취업-후진학자.</w:t>
      </w:r>
      <w:r>
        <w:rPr>
          <w:rFonts w:ascii="맑은 고딕" w:cs="맑은 고딕" w:eastAsia="맑은 고딕" w:hAnsi="맑은 고딕"/>
        </w:rPr>
        <w:t xml:space="preserve"> 주분석: 진학 시점에서 우측절단. 민감도: 포함/제외 이분법.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psm_df &lt;- psm_df %&gt;%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mutate(income_year_n_censored = if_else(!is.na(late_enroll_year) &amp; year_idx &gt;= late_enroll_year,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NA_real_, income_year_n))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3. 하위분석 B — 도제학교 효과 (조건부 DiD)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변수정의표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변수명(작업용)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375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코드·범위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apprentice_school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학교의 도제학교 지정 여부(처치)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1/0, 마스터 명단(194개교) 매칭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first_treat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정수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처치 개시연도(미처치=0)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2015/2016/2017/0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apprentice_intensity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연속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처치강도(학습기업 수)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고용24 과정 수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school_size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hs_field_mix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baseline_emp_rate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연속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매칭변수: 학교규모·계열구성비·2015년 취업률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sme_program_yn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중소기업 인력양성사업 참여여부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1/0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meister_yn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이분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마이스터고 지정여부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1/0</w:t>
            </w:r>
          </w:p>
        </w:tc>
      </w:tr>
      <w:tr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연속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결과변수(졸업 후 취업률 또는 평균소득, 학교단위 집계)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모형식.</w:t>
      </w:r>
      <w:r>
        <w:rPr>
          <w:rFonts w:ascii="맑은 고딕" w:cs="맑은 고딕" w:eastAsia="맑은 고딕" w:hAnsi="맑은 고딕"/>
        </w:rPr>
        <w:t xml:space="preserve"> 기본형(2×2, 백승희·이정민 2021): </w:t>
      </w:r>
      <w:r>
        <w:rPr>
          <w:rFonts w:ascii="Cambria Math" w:cs="Cambria Math" w:eastAsia="Cambria Math" w:hAnsi="Cambria Math"/>
          <w:i/>
          <w:iCs/>
        </w:rPr>
        <w:t xml:space="preserve">Y=\beta_0+\beta_1\text{시점}+\beta_2\text{처치}+\beta_3(\text{시점}\times\text{처치})+\epsilon</w:t>
      </w:r>
      <w:r>
        <w:rPr>
          <w:rFonts w:ascii="맑은 고딕" w:cs="맑은 고딕" w:eastAsia="맑은 고딕" w:hAnsi="맑은 고딕"/>
        </w:rPr>
        <w:t xml:space="preserve">. Staggered 확장(Callaway &amp; Sant'Anna, 2021): </w:t>
      </w:r>
      <w:r>
        <w:rPr>
          <w:rFonts w:ascii="Cambria Math" w:cs="Cambria Math" w:eastAsia="Cambria Math" w:hAnsi="Cambria Math"/>
          <w:i/>
          <w:iCs/>
        </w:rPr>
        <w:t xml:space="preserve">ATT(g,t)=E[Y_t(g)-Y_t(0)\mid G=g]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ambria Math" w:cs="Cambria Math" w:eastAsia="Cambria Math" w:hAnsi="Cambria Math"/>
          <w:i/>
          <w:iCs/>
        </w:rPr>
        <w:t xml:space="preserve">g</w:t>
      </w:r>
      <w:r>
        <w:rPr>
          <w:rFonts w:ascii="맑은 고딕" w:cs="맑은 고딕" w:eastAsia="맑은 고딕" w:hAnsi="맑은 고딕"/>
        </w:rPr>
        <w:t xml:space="preserve">=처치개시집단.</w:t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</w:rPr>
        <w:t xml:space="preserve">R 코드 스켈레톤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library(did); library(HonestDiD)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school_panel: school_id, year, Y, first_treat, school_size, hs_field_mix, hs_sido,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              baseline_emp_rate, sme_program_yn, meister_yn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1) 조건부(매칭) 대조군 구성 — 비도제 학교를 학교특성으로 매칭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m_school &lt;- matchit(apprentice_school ~ school_size + hs_field_mix + hs_sido +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baseline_emp_rate + sme_program_yn + meister_yn,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data = school_baseline, method = "nearest", caliper = 0.2)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matched_schools &lt;- match.data(m_school)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school_panel_m &lt;- school_panel %&gt;% semi_join(matched_schools, by = "school_id")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2) Callaway–Sant'Anna 이질성강건 추정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cs_out &lt;- att_gt(yname = "Y", tname = "year", idname = "school_id", gname = "first_treat",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xformla = ~ school_size + hs_field_mix + baseline_emp_rate,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data = school_panel_m, control_group = "notyettreated",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est_method = "dr", clustervars = "school_id")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agg_es &lt;- aggte(cs_out, type = "dynamic")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ggdid(agg_es)                                    # 그림9: event-study plot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3) honestDiD 민감도(평행추세 미검정 보완)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beta_hat &lt;- cs_out$att; sigma_hat &lt;- cs_out$V_analytical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sens &lt;- createSensitivityResults_relativeMagnitudes(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betahat = beta_hat, sigma = sigma_hat, numPrePeriods = 1, numPostPeriods = length(beta_hat) - 1)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createSensitivityPlot_relativeMagnitudes(sens)   # 그림10: 민감도 경계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4) 처치강도 보조추정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lm_intensity &lt;- lm(Y ~ apprentice_intensity + school_size + hs_field_mix,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data = school_panel_m %&gt;% filter(year &gt;= first_treat))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4. 하위분석 C — 마이스터고 효과 (PSM)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KRIVET(2022) 매칭변수 체계를 기준점으로 삼아 축3-A와 동일한 코드 구조(</w:t>
      </w:r>
      <w:r>
        <w:rPr>
          <w:rFonts w:ascii="Consolas" w:cs="Consolas" w:eastAsia="Consolas" w:hAnsi="Consolas"/>
          <w:sz w:val="19"/>
          <w:szCs w:val="19"/>
        </w:rPr>
        <w:t xml:space="preserve">matchit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love.plot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matched_data</w:t>
      </w:r>
      <w:r>
        <w:rPr>
          <w:rFonts w:ascii="맑은 고딕" w:cs="맑은 고딕" w:eastAsia="맑은 고딕" w:hAnsi="맑은 고딕"/>
        </w:rPr>
        <w:t xml:space="preserve"> → 연차별 ATT)를 </w:t>
      </w:r>
      <w:r>
        <w:rPr>
          <w:rFonts w:ascii="Consolas" w:cs="Consolas" w:eastAsia="Consolas" w:hAnsi="Consolas"/>
          <w:sz w:val="19"/>
          <w:szCs w:val="19"/>
        </w:rPr>
        <w:t xml:space="preserve">enroll</w:t>
      </w:r>
      <w:r>
        <w:rPr>
          <w:rFonts w:ascii="맑은 고딕" w:cs="맑은 고딕" w:eastAsia="맑은 고딕" w:hAnsi="맑은 고딕"/>
        </w:rPr>
        <w:t xml:space="preserve"> 대신 </w:t>
      </w:r>
      <w:r>
        <w:rPr>
          <w:rFonts w:ascii="Consolas" w:cs="Consolas" w:eastAsia="Consolas" w:hAnsi="Consolas"/>
          <w:sz w:val="19"/>
          <w:szCs w:val="19"/>
        </w:rPr>
        <w:t xml:space="preserve">meister_yn</w:t>
      </w:r>
      <w:r>
        <w:rPr>
          <w:rFonts w:ascii="맑은 고딕" w:cs="맑은 고딕" w:eastAsia="맑은 고딕" w:hAnsi="맑은 고딕"/>
        </w:rPr>
        <w:t xml:space="preserve">을 처치로 재사용한다. </w:t>
      </w:r>
      <w:r>
        <w:rPr>
          <w:rFonts w:ascii="맑은 고딕" w:cs="맑은 고딕" w:eastAsia="맑은 고딕" w:hAnsi="맑은 고딕"/>
          <w:b/>
          <w:bCs/>
        </w:rPr>
        <w:t xml:space="preserve">[반출 확인 필요]</w:t>
      </w:r>
      <w:r>
        <w:rPr>
          <w:rFonts w:ascii="맑은 고딕" w:cs="맑은 고딕" w:eastAsia="맑은 고딕" w:hAnsi="맑은 고딕"/>
        </w:rPr>
        <w:t xml:space="preserve"> 입학전형 커트라인 점수가 확보되면 다음 RD 설계로 상향한다.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RD 설계(커트라인 점수 확보 시)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library(rdrobust)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rdrobust(y = outcome_df$income_year_3, x = outcome_df$admission_score_centered,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c = 0, p = 1, kernel = "triangular")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5. 시각화 계획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그림7. 성향점수 분포 중첩도(진학효과·마이스터고효과)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그림8. Love plot(매칭 전후 표준화차이)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그림9. Callaway–Sant'Anna event-study plot(도제학교효과)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그림10. honestDiD 민감도 경계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그림11. 코호트·서브그룹별 ATT forest plot(세 하위분석 종합)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표3(결과표 양식). 하위분석별 ATT·95%CI·매칭표본수·균형진단 요약 — [반출 후 숫자만 채움]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80" w:before="80"/>
      </w:pPr>
      <w:r>
        <w:rPr>
          <w:rFonts w:ascii="Consolas" w:cs="Consolas" w:eastAsia="Consolas" w:hAnsi="Consolas"/>
          <w:color w:val="666666"/>
          <w:sz w:val="16"/>
          <w:szCs w:val="16"/>
        </w:rPr>
        <w:t xml:space="preserve">[r]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forest plot 원자료 통합 예시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forest_src &lt;- bind_rows(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att_by_year %&gt;% mutate(analysis = "진학효과"),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meister_att %&gt;% mutate(analysis = "마이스터고효과"),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agg_es$att.egt %&gt;% as_tibble() %&gt;% mutate(analysis = "도제학교효과(event-time)")</w:t>
      </w:r>
    </w:p>
    <w:p>
      <w:pPr>
        <w:pBdr>
          <w:left w:val="single" w:color="CCCCCC" w:sz="4"/>
          <w:right w:val="single" w:color="CCCCCC" w:sz="4"/>
        </w:pBd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pBdr>
          <w:bottom w:val="single" w:color="CCCCCC" w:sz="4"/>
          <w:left w:val="single" w:color="CCCCCC" w:sz="4"/>
          <w:right w:val="single" w:color="CCCCCC" w:sz="4"/>
        </w:pBdr>
        <w:shd w:fill="F0F0F0" w:color="auto" w:val="clear"/>
        <w:spacing w:after="200"/>
      </w:pPr>
      <w:r>
        <w:rPr>
          <w:rFonts w:ascii="Consolas" w:cs="Consolas" w:eastAsia="Consolas" w:hAnsi="Consolas"/>
          <w:sz w:val="4"/>
          <w:szCs w:val="4"/>
        </w:rPr>
        <w:t xml:space="preserve"> </w:t>
      </w:r>
    </w:p>
    <w:p>
      <w:pPr>
        <w:pBdr>
          <w:left w:val="single" w:color="888888" w:sz="12"/>
        </w:pBdr>
        <w:shd w:fill="F7F7F7" w:color="auto" w:val="clear"/>
        <w:spacing w:after="200" w:before="120"/>
        <w:ind w:left="400"/>
      </w:pPr>
      <w:r>
        <w:rPr>
          <w:rFonts w:ascii="맑은 고딕" w:cs="맑은 고딕" w:eastAsia="맑은 고딕" w:hAnsi="맑은 고딕"/>
          <w:b/>
          <w:bCs/>
          <w:i/>
          <w:iCs/>
        </w:rPr>
        <w:t xml:space="preserve">시각화 원칙.</w:t>
      </w:r>
      <w:r>
        <w:rPr>
          <w:rFonts w:ascii="맑은 고딕" w:cs="맑은 고딕" w:eastAsia="맑은 고딕" w:hAnsi="맑은 고딕"/>
          <w:i/>
          <w:iCs/>
        </w:rPr>
        <w:t xml:space="preserve"> 이 장에서는 Sankey를 사용하지 않는다. 인과효과 추정치는 "차이"이므로 분포중첩·러브플롯·event-study·forest plot이 표준이다.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VII. 분석 결과의 검증과 통합 제시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내용</w:t>
            </w:r>
          </w:p>
        </w:tc>
        <w:tc>
          <w:tcPr>
            <w:tcW w:type="dxa" w:w="3166"/>
            <w:shd w:fill="2F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보고·해석 기준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관찰범위·대상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원천 제공기간·적용대상, 기가입·미관찰 구분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명부 및 원천별 이력 보유 인원 명시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상태·사건(축1)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날짜 역전·중첩, 월말 상태와 일별 구간 일치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짧은 공백·진행중 구간 보존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대표경로(축1)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ASW·ARI, GBTM과의 교차검증 일치도(κ)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k별 평가·구성비 변동 보고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사건사·다중상태(축1)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학교내 상관·모형수렴·비례위험·시작연도별 추적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학교수·인원·사건수·강건신뢰구간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전공·직종(축2)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일치(κ), SHAP은 예측력 지표로만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관련성과 실제 적합성 구분, 인과 해석 금지 명시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PSM(축3-A,C)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균형진단(표준화차이&lt;0.1), 겹침, Rosenbaum bounds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t검정·c-통계량은 균형진단에 미사용</w:t>
            </w:r>
          </w:p>
        </w:tc>
      </w:tr>
      <w:tr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DiD(축3-B)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평행추세 미검정 명시, honestDiD 민감도, staggered 대응</w:t>
            </w:r>
          </w:p>
        </w:tc>
        <w:tc>
          <w:tcPr>
            <w:tcW w:type="dxa" w:w="3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점추정치보다 민감도 한계값 우선 보고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맑은 고딕" w:cs="맑은 고딕" w:eastAsia="맑은 고딕" w:hAnsi="맑은 고딕"/>
        </w:rPr>
        <w:t xml:space="preserve">결과 장 구성(안)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</w:rPr>
        <w:t xml:space="preserve">분석대상과 관찰범위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</w:rPr>
        <w:t xml:space="preserve">고용이행경로(축1)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</w:rPr>
        <w:t xml:space="preserve">전공-직종 연계·이동(축2)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</w:rPr>
        <w:t xml:space="preserve">정책·제도 효과(축3-A/B/C)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맑은 고딕" w:cs="맑은 고딕" w:eastAsia="맑은 고딕" w:hAnsi="맑은 고딕"/>
        </w:rPr>
        <w:t xml:space="preserve">결론 및 정책제언 — 서술적 결과(축1·2)와 인과추론 결과(축3)를 혼동하지 않도록 절을 분리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VIII. 남은 확인·수집 항목 (2026.9 기준)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[반출 확인 필요] 2015 코호트 진학여부 판정 항목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[반출 확인 필요] 재학 중 고용보험 이력(NEIS 학급코드 대안 포함)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[반출 확인 필요] </w:t>
      </w:r>
      <w:r>
        <w:rPr>
          <w:rFonts w:ascii="Consolas" w:cs="Consolas" w:eastAsia="Consolas" w:hAnsi="Consolas"/>
          <w:sz w:val="19"/>
          <w:szCs w:val="19"/>
        </w:rPr>
        <w:t xml:space="preserve">gpa_ms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hh_proxy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cert_yn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fieldtrip_yn</w:t>
      </w:r>
      <w:r>
        <w:rPr>
          <w:rFonts w:ascii="맑은 고딕" w:cs="맑은 고딕" w:eastAsia="맑은 고딕" w:hAnsi="맑은 고딕"/>
        </w:rPr>
        <w:t xml:space="preserve"> 등 PSM 매칭변수의 실제 확보 가능 항목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[수집 예정] 중소기업 특성화고 인력양성사업·2016 학생비중확대사업 선정교 명단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[수집 예정] KESS 학교기본정보(학교코드 포함), 학교별 시계열 취업률(2014–2023)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맑은 고딕" w:cs="맑은 고딕" w:eastAsia="맑은 고딕" w:hAnsi="맑은 고딕"/>
        </w:rPr>
        <w:t xml:space="preserve">[확인 필요] 마이스터고 입학전형 커트라인 점수 확보 가능성(RD 설계 상향 여부)</w:t>
      </w:r>
    </w:p>
    <w:p>
      <w:pPr>
        <w:pBdr>
          <w:bottom w:val="single" w:color="999999" w:sz="6"/>
        </w:pBdr>
        <w:spacing w:after="30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맑은 고딕" w:cs="맑은 고딕" w:eastAsia="맑은 고딕" w:hAnsi="맑은 고딕"/>
        </w:rPr>
        <w:t xml:space="preserve">참고문헌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Abadie, A. (2005). Semiparametric difference-in-differences estimators. *Review of Economic Studies*, 72(1), 1–19.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Bachbauer, N., Wolf, C., &amp; Fuß, D. (2022). Education and employment trajectories in NEPS-ADIAB. *European Sociological Review*, 38(4), 663–676.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Callaway, B., &amp; Sant'Anna, P. H. C. (2021). Difference-in-differences with multiple time periods. *Journal of Econometrics*, 225(2), 200–230.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Cox, D. R. (1972). Regression models and life-tables. *Journal of the Royal Statistical Society: Series B*, 34(2), 187–202.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Eisner, N. L., Murray, A. L., Eisner, M., &amp; Ribeaud, D. (2019). A practical guide to the analysis of non-response and attrition. *International Journal of Behavioral Development*, 43(6), 553–562.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Gabadinho, A., Ritschard, G., Müller, N. S., &amp; Studer, M. (2011). Analyzing and visualizing state sequences in R with TraMineR. *Journal of Statistical Software*, 40(4), 1–37.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Kaplan, E. L., &amp; Meier, P. (1958). Nonparametric estimation from incomplete observations. *JASA*, 53(282), 457–481.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Kapteyn, A., &amp; Ypma, J. Y. (2007). Measurement error and misclassification. *Journal of Labor Economics*, 25(3), 513–551.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Lundberg, S. M., &amp; Lee, S.-I. (2017). A unified approach to interpreting model predictions. *NeurIPS 30*.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Montt, G. (2015). The causes and consequences of field-of-study mismatch. *OECD Social, Employment and Migration Working Papers*, 167.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Rambachan, A., &amp; Roth, J. (2022). A more credible approach to parallel trends. *Review of Economic Studies*, 90(5), 2555–2591.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Rosenbaum, P. R. (2002). *Observational Studies* (2nd ed.). Springer.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Rousseeuw, P. J. (1987). Silhouettes. *Journal of Computational and Applied Mathematics*, 20, 53–65.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Ryan, P. (2001). The school-to-work transition. *Journal of Economic Literature*, 39(1), 34–92.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Sant'Anna, P. H. C., &amp; Zhao, J. (2020). Doubly robust difference-in-differences estimators. *Journal of Econometrics*, 219(1), 101–122.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Studer, M., Sadeghi, R., &amp; Tochon, L. (2024). Sequence analysis for large databases. *LIVES Working Papers*, 104.</w:t>
      </w:r>
    </w:p>
    <w:p>
      <w:pPr>
        <w:spacing w:after="200"/>
      </w:pPr>
      <w:r>
        <w:rPr>
          <w:rFonts w:ascii="맑은 고딕" w:cs="맑은 고딕" w:eastAsia="맑은 고딕" w:hAnsi="맑은 고딕"/>
        </w:rPr>
        <w:t xml:space="preserve">강순희(2016); 김성남(2013); 김진모 외(2018, 2026); 류지은 외(2022, 2023); 류지은·서예린(2023); 백승희·이정민(2021); 백예은·정혜원(2025); 안재영·김세훈(2022); 유진영·윤종혁(2022); 전지연 외(2025a); 최수정(2018); 최수현 외(2023); 천영민 외(2009); 금종예 외(2025) — 세부 서지사항은 기존 연구설계 초안(doc1)·PSM/DiD 검토보고(doc2)의 참고문헌 목록을 승계함.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4"/>
        <w:szCs w:val="14"/>
      </w:rPr>
      <w:t xml:space="preserve">직업계고 학생의 졸업 후 경로 연구 — 연구설계 및 분석계획서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8"/>
      </w:pBdr>
      <w:spacing w:after="200" w:before="40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pPr>
      <w:spacing w:after="160" w:before="320"/>
    </w:pPr>
    <w:rPr>
      <w:rFonts w:ascii="맑은 고딕" w:cs="맑은 고딕" w:eastAsia="맑은 고딕" w:hAnsi="맑은 고딕"/>
      <w:b/>
      <w:bCs/>
      <w:color w:val="2F5496"/>
      <w:sz w:val="27"/>
      <w:szCs w:val="27"/>
    </w:rPr>
  </w:style>
  <w:style w:type="paragraph" w:styleId="Heading3">
    <w:name w:val="Heading 3"/>
    <w:basedOn w:val="Normal"/>
    <w:next w:val="Normal"/>
    <w:pPr>
      <w:spacing w:after="120" w:before="240"/>
    </w:pPr>
    <w:rPr>
      <w:rFonts w:ascii="맑은 고딕" w:cs="맑은 고딕" w:eastAsia="맑은 고딕" w:hAnsi="맑은 고딕"/>
      <w:b/>
      <w:bCs/>
      <w:color w:val="1F3864"/>
      <w:sz w:val="23"/>
      <w:szCs w:val="23"/>
    </w:rPr>
  </w:style>
  <w:style w:type="paragraph" w:styleId="Heading4">
    <w:name w:val="Heading 4"/>
    <w:basedOn w:val="Normal"/>
    <w:next w:val="Normal"/>
    <w:pPr>
      <w:spacing w:after="100" w:before="200"/>
    </w:pPr>
    <w:rPr>
      <w:rFonts w:ascii="맑은 고딕" w:cs="맑은 고딕" w:eastAsia="맑은 고딕" w:hAnsi="맑은 고딕"/>
      <w:b/>
      <w:bCs/>
      <w:i/>
      <w:iCs/>
      <w:color w:val="444444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2026-09-18T06:48:45.523Z</dcterms:created>
  <dcterms:modified xsi:type="dcterms:W3CDTF">2026-09-18T06:48:45.524Z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