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rFonts w:ascii="맑은 고딕" w:cs="맑은 고딕" w:eastAsia="맑은 고딕" w:hAnsi="맑은 고딕"/>
        </w:rPr>
        <w:t xml:space="preserve">직업계고 학생의 졸업 후 경로 연구</w:t>
      </w:r>
    </w:p>
    <w:p>
      <w:pPr>
        <w:pStyle w:val="Heading2"/>
        <w:spacing w:after="160" w:before="300"/>
      </w:pPr>
      <w:r>
        <w:rPr>
          <w:rFonts w:ascii="맑은 고딕" w:cs="맑은 고딕" w:eastAsia="맑은 고딕" w:hAnsi="맑은 고딕"/>
        </w:rPr>
        <w:t xml:space="preserve">연구설계 및 분석계획서 (전면개정판 · 자료 반출 전 확정용 · R 코드 스켈레톤 포함)</w:t>
      </w:r>
    </w:p>
    <w:p>
      <w:pPr>
        <w:pBdr>
          <w:left w:val="single" w:color="888888" w:sz="12"/>
        </w:pBdr>
        <w:shd w:fill="F7F7F7" w:color="auto" w:val="clear"/>
        <w:spacing w:after="200" w:before="120"/>
        <w:ind w:left="400"/>
      </w:pPr>
      <w:r>
        <w:rPr>
          <w:rFonts w:ascii="맑은 고딕" w:cs="맑은 고딕" w:eastAsia="맑은 고딕" w:hAnsi="맑은 고딕"/>
          <w:i/>
          <w:iCs/>
        </w:rPr>
        <w:t xml:space="preserve">이 문서는 결합자료 반출 전 단계에서 "분석만 실행하면 되는" 상태를 목표로 작성한 분석계획서(pre-analysis plan)이다. 변수·수식·검증절차는 기 확정된 자료 요청 항목(교육청 NEIS, 한국교육개발원 KEDI, 근로복지공단 고용보험DB)을 기준으로 정의하며, 실제 반출 레이아웃이 요청 항목과 다를 경우 조정이 필요한 지점은 본문에 "[반출 확인 필요]"로 표시한다. </w:t>
      </w:r>
      <w:r>
        <w:rPr>
          <w:rFonts w:ascii="맑은 고딕" w:cs="맑은 고딕" w:eastAsia="맑은 고딕" w:hAnsi="맑은 고딕"/>
          <w:b/>
          <w:bCs/>
          <w:i/>
          <w:iCs/>
        </w:rPr>
        <w:t xml:space="preserve">모든 변수명·데이터셋명은 작업용 가명(working name)이며, 반출 레이아웃 확정 즉시 실제 컬럼명 매핑표로 치환한다.</w:t>
      </w:r>
    </w:p>
    <w:p>
      <w:pPr>
        <w:pBdr>
          <w:bottom w:val="single" w:color="999999" w:sz="6"/>
        </w:pBdr>
        <w:spacing w:after="300" w:before="100"/>
      </w:pPr>
      <w:r>
        <w:t xml:space="preserve"/>
      </w:r>
    </w:p>
    <w:p>
      <w:pPr>
        <w:pStyle w:val="Heading2"/>
        <w:spacing w:after="160" w:before="300"/>
      </w:pPr>
      <w:r>
        <w:rPr>
          <w:rFonts w:ascii="맑은 고딕" w:cs="맑은 고딕" w:eastAsia="맑은 고딕" w:hAnsi="맑은 고딕"/>
        </w:rPr>
        <w:t xml:space="preserve">0. 요약</w:t>
      </w:r>
    </w:p>
    <w:p>
      <w:pPr>
        <w:pBdr>
          <w:left w:val="single" w:color="888888" w:sz="12"/>
        </w:pBdr>
        <w:shd w:fill="F7F7F7" w:color="auto" w:val="clear"/>
        <w:spacing w:after="200" w:before="120"/>
        <w:ind w:left="400"/>
      </w:pPr>
      <w:r>
        <w:rPr>
          <w:rFonts w:ascii="맑은 고딕" w:cs="맑은 고딕" w:eastAsia="맑은 고딕" w:hAnsi="맑은 고딕"/>
          <w:b/>
          <w:bCs/>
          <w:i/>
          <w:iCs/>
        </w:rPr>
        <w:t xml:space="preserve">v2 개정 안내(2026.9, 외부 방법론 리뷰 반영).</w:t>
      </w:r>
      <w:r>
        <w:rPr>
          <w:rFonts w:ascii="맑은 고딕" w:cs="맑은 고딕" w:eastAsia="맑은 고딕" w:hAnsi="맑은 고딕"/>
          <w:i/>
          <w:iCs/>
        </w:rPr>
        <w:t xml:space="preserve"> 초판은 "쓸 수 있는 방법을 모두 담은" 종합계획서에 가까웠다. v2는 각 연구질문에 방법을 하나씩만 고정하는 방향으로 슬림화했다: (a) 시퀀스분석의 상태공간을 고용(E/O) 채널과 교육 채널로 분리, (b) GBTM·다중상태모형·RF+SHAP을 본문에서 제외하고 후속연구용으로 격하, (c) 진학효과·마이스터고효과의 PSM을 제외했다 — 매칭에 필요한 성적·가정배경 대리변수가 확정 자료요청 항목에 없어 인과추론의 근거가 되지 못하기 때문이다. 진학은 축2의 서술적 경로비교로 재배치했다. 자세한 변경사유는 각 장 서두의 개정 안내박스 참조.</w:t>
      </w:r>
    </w:p>
    <w:p>
      <w:pPr>
        <w:spacing w:after="200"/>
      </w:pPr>
      <w:r>
        <w:rPr>
          <w:rFonts w:ascii="맑은 고딕" w:cs="맑은 고딕" w:eastAsia="맑은 고딕" w:hAnsi="맑은 고딕"/>
        </w:rPr>
        <w:t xml:space="preserve">본 연구는 2015·2020·2023년 2월 직업계고(마이스터고·특성화고·일반고 직업반) 졸업 코호트의 교육·고용 행정이력을 가명정보 결합 방식으로 연계하여, 졸업 후 진로를 </w:t>
      </w:r>
      <w:r>
        <w:rPr>
          <w:rFonts w:ascii="맑은 고딕" w:cs="맑은 고딕" w:eastAsia="맑은 고딕" w:hAnsi="맑은 고딕"/>
          <w:b/>
          <w:bCs/>
        </w:rPr>
        <w:t xml:space="preserve">① 고용이행경로(주축), ② 교육분야-직종-진학 연결, ③ 정책학교(도제학교) 비교</w:t>
      </w:r>
      <w:r>
        <w:rPr>
          <w:rFonts w:ascii="맑은 고딕" w:cs="맑은 고딕" w:eastAsia="맑은 고딕" w:hAnsi="맑은 고딕"/>
        </w:rPr>
        <w:t xml:space="preserve">의 세 분석축으로 규명한다. 지역이동은 선행연구(최수현 외, 2023)가 이미 다룬 영역이며 본 연구의 행정자료 강점이 상대적으로 작게 작용하는 영역이므로 정식 분석축에서 제외하고, 필요 시 축1의 보조 기술통계로만 다룬다.</w:t>
      </w:r>
    </w:p>
    <w:p>
      <w:pPr>
        <w:spacing w:after="200"/>
      </w:pPr>
      <w:r>
        <w:rPr>
          <w:rFonts w:ascii="맑은 고딕" w:cs="맑은 고딕" w:eastAsia="맑은 고딕" w:hAnsi="맑은 고딕"/>
        </w:rPr>
        <w:t xml:space="preserve">세 분석축은 </w:t>
      </w:r>
      <w:r>
        <w:rPr>
          <w:rFonts w:ascii="맑은 고딕" w:cs="맑은 고딕" w:eastAsia="맑은 고딕" w:hAnsi="맑은 고딕"/>
          <w:b/>
          <w:bCs/>
        </w:rPr>
        <w:t xml:space="preserve">서로 다른 인식론적 지위</w:t>
      </w:r>
      <w:r>
        <w:rPr>
          <w:rFonts w:ascii="맑은 고딕" w:cs="맑은 고딕" w:eastAsia="맑은 고딕" w:hAnsi="맑은 고딕"/>
        </w:rPr>
        <w:t xml:space="preserve">를 갖는다. 축1·축2는 기술적·서술적(descriptive) 분석이며 인과효과를 주장하지 않는다. 축3(도제학교 비교)만이 식별조건이 충족되는 범위까지 단계적으로 이중차분(DiD)을 적용하는 준실험적 인과추론이다. 이 구분을 본문 전체에서 명시적으로 유지하는 것이 이 계획서의 핵심 원칙이다.</w:t>
      </w:r>
    </w:p>
    <w:p>
      <w:pPr>
        <w:pStyle w:val="Heading3"/>
        <w:spacing w:after="160" w:before="300"/>
      </w:pPr>
      <w:r>
        <w:rPr>
          <w:rFonts w:ascii="맑은 고딕" w:cs="맑은 고딕" w:eastAsia="맑은 고딕" w:hAnsi="맑은 고딕"/>
        </w:rPr>
        <w:t xml:space="preserve">0.1 분석환경</w:t>
      </w:r>
    </w:p>
    <w:p>
      <w:pPr>
        <w:spacing w:after="200"/>
      </w:pPr>
      <w:r>
        <w:rPr>
          <w:rFonts w:ascii="맑은 고딕" w:cs="맑은 고딕" w:eastAsia="맑은 고딕" w:hAnsi="맑은 고딕"/>
        </w:rPr>
        <w:t xml:space="preserve">R ≥ 4.3 기준. 방법론별 필요 패키지는 각 절에 명시하며, 통합 목록은 다음과 같다.</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pkgs &lt;- c(</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"tidyverse",                          # 자료관리 공통</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"TraMineR", "WeightedCluster", "cluster", "mclust",  # 축1: 시퀀스분석</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"survival",                           # 축1: 사건사분석(KM, Cox)</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"msm",                                # 축1: 다중상태모형</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"lcmm",                               # 축1: GBTM</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"vegan",                              # 축2: 엔트로피(대안: 수기 계산)</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"ranger", "fastshap", "shapviz",      # 축2: RF+SHAP</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"MatchIt", "cobalt", "WeightIt", "Matching", "rbounds",  # 축3: PSM</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"did", "HonestDiD"                    # 축3: DiD</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install.packages(setdiff(pkgs, rownames(installed.packages())))</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Bdr>
          <w:bottom w:val="single" w:color="999999" w:sz="6"/>
        </w:pBdr>
        <w:spacing w:after="300" w:before="100"/>
      </w:pPr>
      <w:r>
        <w:t xml:space="preserve"/>
      </w:r>
    </w:p>
    <w:p>
      <w:pPr>
        <w:pStyle w:val="Heading2"/>
        <w:spacing w:after="160" w:before="300"/>
      </w:pPr>
      <w:r>
        <w:rPr>
          <w:rFonts w:ascii="맑은 고딕" w:cs="맑은 고딕" w:eastAsia="맑은 고딕" w:hAnsi="맑은 고딕"/>
        </w:rPr>
        <w:t xml:space="preserve">I. 서론</w:t>
      </w:r>
    </w:p>
    <w:p>
      <w:pPr>
        <w:pStyle w:val="Heading3"/>
        <w:spacing w:after="160" w:before="300"/>
      </w:pPr>
      <w:r>
        <w:rPr>
          <w:rFonts w:ascii="맑은 고딕" w:cs="맑은 고딕" w:eastAsia="맑은 고딕" w:hAnsi="맑은 고딕"/>
        </w:rPr>
        <w:t xml:space="preserve">1. 연구배경 및 필요성</w:t>
      </w:r>
    </w:p>
    <w:p>
      <w:pPr>
        <w:spacing w:after="200"/>
      </w:pPr>
      <w:r>
        <w:rPr>
          <w:rFonts w:ascii="맑은 고딕" w:cs="맑은 고딕" w:eastAsia="맑은 고딕" w:hAnsi="맑은 고딕"/>
          <w:b/>
          <w:bCs/>
        </w:rPr>
        <w:t xml:space="preserve">정책적 배경.</w:t>
      </w:r>
      <w:r>
        <w:rPr>
          <w:rFonts w:ascii="맑은 고딕" w:cs="맑은 고딕" w:eastAsia="맑은 고딕" w:hAnsi="맑은 고딕"/>
        </w:rPr>
        <w:t xml:space="preserve"> 데이터 기반 교육정책 수립을 위한 교육데이터 연계·활용 확대는 현 정부 국정과제(99-1)이며, 직업계고 졸업생은 교육-노동시장 이행이 가장 직접적으로 드러나는 집단이다. 직업교육 정책 기조(선취업-후진학, 마이스터고, 산학일체형 도제학교, NCS 교육과정, 협약형 특성화고 등)는 시기별로 크게 변화해 왔고, 그 변화가 졸업생의 실제 경로에 어떻게 반영되는지를 검증할 행정자료 기반 연구는 국내에 없다.</w:t>
      </w:r>
    </w:p>
    <w:p>
      <w:pPr>
        <w:spacing w:after="200"/>
      </w:pPr>
      <w:r>
        <w:rPr>
          <w:rFonts w:ascii="맑은 고딕" w:cs="맑은 고딕" w:eastAsia="맑은 고딕" w:hAnsi="맑은 고딕"/>
          <w:b/>
          <w:bCs/>
        </w:rPr>
        <w:t xml:space="preserve">학술적 배경 및 선행연구의 한계.</w:t>
      </w:r>
      <w:r>
        <w:rPr>
          <w:rFonts w:ascii="맑은 고딕" w:cs="맑은 고딕" w:eastAsia="맑은 고딕" w:hAnsi="맑은 고딕"/>
        </w:rPr>
        <w:t xml:space="preserve"> 국내 직업계고 경로 연구는 대부분 한국교육고용패널(KEEP)의 표본(약 2,000~3,000명, 관찰기간 4~10년)에 의존한다(김진모 외, 2018; 류지은 외, 2022; 류지은·서예린, 2023 등). 설문 기반 패널은 세 가지 구조적 제약을 갖는다.</w:t>
      </w:r>
    </w:p>
    <w:p>
      <w:pPr>
        <w:pStyle w:val="ListParagraph"/>
        <w:numPr>
          <w:ilvl w:val="0"/>
          <w:numId w:val="2"/>
        </w:numPr>
        <w:spacing w:after="100"/>
      </w:pPr>
      <w:r>
        <w:rPr>
          <w:rFonts w:ascii="맑은 고딕" w:cs="맑은 고딕" w:eastAsia="맑은 고딕" w:hAnsi="맑은 고딕"/>
          <w:b/>
          <w:bCs/>
        </w:rPr>
        <w:t xml:space="preserve">패널마모로 인한 선택편의.</w:t>
      </w:r>
      <w:r>
        <w:rPr>
          <w:rFonts w:ascii="맑은 고딕" w:cs="맑은 고딕" w:eastAsia="맑은 고딕" w:hAnsi="맑은 고딕"/>
        </w:rPr>
        <w:t xml:space="preserve"> 조사 차수가 거듭될수록 무응답·탈락이 발생하며, 탈락은 무작위가 아니라 학업성취가 낮거나 사회경제적으로 취약한 집단, 노동시장 미진입자·비동거자에서 더 크게 일어난다(천영민 외, 2009; Eisner et al., 2019). 이는 잔존 표본이 상대적으로 안정적인 이행 경로를 과대표집하는 방향으로 결과를 왜곡한다.</w:t>
      </w:r>
    </w:p>
    <w:p>
      <w:pPr>
        <w:pStyle w:val="ListParagraph"/>
        <w:numPr>
          <w:ilvl w:val="0"/>
          <w:numId w:val="2"/>
        </w:numPr>
        <w:spacing w:after="100"/>
      </w:pPr>
      <w:r>
        <w:rPr>
          <w:rFonts w:ascii="맑은 고딕" w:cs="맑은 고딕" w:eastAsia="맑은 고딕" w:hAnsi="맑은 고딕"/>
          <w:b/>
          <w:bCs/>
        </w:rPr>
        <w:t xml:space="preserve">자기보고 측정오차.</w:t>
      </w:r>
      <w:r>
        <w:rPr>
          <w:rFonts w:ascii="맑은 고딕" w:cs="맑은 고딕" w:eastAsia="맑은 고딕" w:hAnsi="맑은 고딕"/>
        </w:rPr>
        <w:t xml:space="preserve"> Kapteyn &amp; Ypma(2007)는 스웨덴 행정자료(LINDA)와 설문응답을 개인단위로 대조하여, 행정자료상 소득이 존재함에도 설문에서 "소득 없음"으로 응답한 비율이 18.2%에 달하고, 저소득층은 과대보고·고소득층은 과소보고하는 체계적 편향이 있음을 보였다.</w:t>
      </w:r>
    </w:p>
    <w:p>
      <w:pPr>
        <w:pStyle w:val="ListParagraph"/>
        <w:numPr>
          <w:ilvl w:val="0"/>
          <w:numId w:val="2"/>
        </w:numPr>
        <w:spacing w:after="100"/>
      </w:pPr>
      <w:r>
        <w:rPr>
          <w:rFonts w:ascii="맑은 고딕" w:cs="맑은 고딕" w:eastAsia="맑은 고딕" w:hAnsi="맑은 고딕"/>
          <w:b/>
          <w:bCs/>
        </w:rPr>
        <w:t xml:space="preserve">표본 규모의 한계.</w:t>
      </w:r>
      <w:r>
        <w:rPr>
          <w:rFonts w:ascii="맑은 고딕" w:cs="맑은 고딕" w:eastAsia="맑은 고딕" w:hAnsi="맑은 고딕"/>
        </w:rPr>
        <w:t xml:space="preserve"> 학교유형·전공·지역으로 세분할수록 셀 크기가 급격히 줄어 세부 집단 비교가 불가능해진다.</w:t>
      </w:r>
    </w:p>
    <w:p>
      <w:pPr>
        <w:spacing w:after="200"/>
      </w:pPr>
      <w:r>
        <w:rPr>
          <w:rFonts w:ascii="맑은 고딕" w:cs="맑은 고딕" w:eastAsia="맑은 고딕" w:hAnsi="맑은 고딕"/>
          <w:b/>
          <w:bCs/>
        </w:rPr>
        <w:t xml:space="preserve">본 연구의 접근.</w:t>
      </w:r>
      <w:r>
        <w:rPr>
          <w:rFonts w:ascii="맑은 고딕" w:cs="맑은 고딕" w:eastAsia="맑은 고딕" w:hAnsi="맑은 고딕"/>
        </w:rPr>
        <w:t xml:space="preserve"> 이러한 제약을 근본적으로 회피하기 위해, 본 연구는 졸업 코호트 명부를 기준으로 한 </w:t>
      </w:r>
      <w:r>
        <w:rPr>
          <w:rFonts w:ascii="맑은 고딕" w:cs="맑은 고딕" w:eastAsia="맑은 고딕" w:hAnsi="맑은 고딕"/>
          <w:b/>
          <w:bCs/>
        </w:rPr>
        <w:t xml:space="preserve">전수 행정자료 연계</w:t>
      </w:r>
      <w:r>
        <w:rPr>
          <w:rFonts w:ascii="맑은 고딕" w:cs="맑은 고딕" w:eastAsia="맑은 고딕" w:hAnsi="맑은 고딕"/>
        </w:rPr>
        <w:t xml:space="preserve">를 시도한다. 명부 기준 설계는 고용이력 보유자만을 표본으로 삼지 않으므로 탈락에 의한 선택편의가 구조적으로 발생하지 않으며, 취득·상실일이 일 단위로 기록되어 자기보고로는 포착 불가능한 정밀도(예: 3개월 미만 공백과 6개월 이상 공백의 구분)로 이행 과정을 관찰할 수 있다. 국제적으로는 독일 NEPS-ADIAB(Bachbauer et al., 2022)가 국가교육패널과 고용행정자료(IAB)를 개인단위로 연결한 대표 사례이며, 국내에서는 금종예 외(2025)가 교육종단자료와 수능 채점자료의 가명결합을 시도한 바 있으나, 교육이력과 고용행정이력을 개인단위로 연결한 사례는 아직 없다.</w:t>
      </w:r>
    </w:p>
    <w:p>
      <w:pPr>
        <w:pStyle w:val="Heading3"/>
        <w:spacing w:after="160" w:before="300"/>
      </w:pPr>
      <w:r>
        <w:rPr>
          <w:rFonts w:ascii="맑은 고딕" w:cs="맑은 고딕" w:eastAsia="맑은 고딕" w:hAnsi="맑은 고딕"/>
        </w:rPr>
        <w:t xml:space="preserve">2. 통합 연구질문</w:t>
      </w:r>
    </w:p>
    <w:p>
      <w:pPr>
        <w:pBdr>
          <w:left w:val="single" w:color="888888" w:sz="12"/>
        </w:pBdr>
        <w:shd w:fill="F7F7F7" w:color="auto" w:val="clear"/>
        <w:spacing w:after="200" w:before="120"/>
        <w:ind w:left="400"/>
      </w:pPr>
      <w:r>
        <w:rPr>
          <w:rFonts w:ascii="맑은 고딕" w:cs="맑은 고딕" w:eastAsia="맑은 고딕" w:hAnsi="맑은 고딕"/>
          <w:i/>
          <w:iCs/>
        </w:rPr>
        <w:t xml:space="preserve">직업계고 졸업생의 진로형성은 졸업 시점의 취업·진학 여부라는 단일 스냅샷이 아니라 시간에 따라 전개되는 다차원적 이행과정이다. 이 과정은 (RQ1) 코호트(정책·경기 환경)와 학교유형·전공에 따라 어떻게 분화되며, (RQ2) 어떤 제도적 개입(도제학교 지정, 진학)이 그 분화에 유의미한 차이를 만드는가?</w:t>
      </w:r>
    </w:p>
    <w:p>
      <w:pPr>
        <w:spacing w:after="200"/>
      </w:pPr>
      <w:r>
        <w:rPr>
          <w:rFonts w:ascii="맑은 고딕" w:cs="맑은 고딕" w:eastAsia="맑은 고딕" w:hAnsi="맑은 고딕"/>
        </w:rPr>
        <w:t xml:space="preserve">RQ1은 분석축 1·2가, RQ2는 분석축 3이 답한다.</w:t>
      </w:r>
    </w:p>
    <w:p>
      <w:pPr>
        <w:pStyle w:val="Heading3"/>
        <w:spacing w:after="160" w:before="300"/>
      </w:pPr>
      <w:r>
        <w:rPr>
          <w:rFonts w:ascii="맑은 고딕" w:cs="맑은 고딕" w:eastAsia="맑은 고딕" w:hAnsi="맑은 고딕"/>
        </w:rPr>
        <w:t xml:space="preserve">3. 코호트 설계의 논리 — "왜 세 코호트를 함께 쓰는가"</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코호트</w:t>
            </w:r>
          </w:p>
        </w:tc>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추적기간(2025년 기준)</w:t>
            </w:r>
          </w:p>
        </w:tc>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재학기간</w:t>
            </w:r>
          </w:p>
        </w:tc>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이 코호트가 아니면 볼 수 없는 것</w:t>
            </w:r>
          </w:p>
        </w:tc>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분석축 참여 범위</w:t>
            </w:r>
          </w:p>
        </w:tc>
      </w:tr>
      <w:tr>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2015.2 졸업</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11년</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2012.3–2015.2</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경력형성의 </w:t>
            </w:r>
            <w:r>
              <w:rPr>
                <w:rFonts w:ascii="맑은 고딕" w:cs="맑은 고딕" w:eastAsia="맑은 고딕" w:hAnsi="맑은 고딕"/>
                <w:b/>
                <w:bCs/>
                <w:sz w:val="18"/>
                <w:szCs w:val="18"/>
              </w:rPr>
              <w:t xml:space="preserve">완결된 장기 궤적</w:t>
            </w:r>
            <w:r>
              <w:rPr>
                <w:rFonts w:ascii="맑은 고딕" w:cs="맑은 고딕" w:eastAsia="맑은 고딕" w:hAnsi="맑은 고딕"/>
                <w:sz w:val="18"/>
                <w:szCs w:val="18"/>
              </w:rPr>
              <w:t xml:space="preserve">. 도제학교 DiD의 정책 전(前) 기준점. 마이스터고 1기 졸업생의 장기 성과.</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축1(주), 축3-마이스터고 PSM(가능). 축2·축3-진학효과·도제학교는 </w:t>
            </w:r>
            <w:r>
              <w:rPr>
                <w:rFonts w:ascii="맑은 고딕" w:cs="맑은 고딕" w:eastAsia="맑은 고딕" w:hAnsi="맑은 고딕"/>
                <w:b/>
                <w:bCs/>
                <w:sz w:val="18"/>
                <w:szCs w:val="18"/>
              </w:rPr>
              <w:t xml:space="preserve">자료 제약으로 제외</w:t>
            </w:r>
            <w:r>
              <w:rPr>
                <w:rFonts w:ascii="맑은 고딕" w:cs="맑은 고딕" w:eastAsia="맑은 고딕" w:hAnsi="맑은 고딕"/>
                <w:sz w:val="18"/>
                <w:szCs w:val="18"/>
              </w:rPr>
              <w:t xml:space="preserve">[반출 확인 필요]</w:t>
            </w:r>
          </w:p>
        </w:tc>
      </w:tr>
      <w:tr>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2020.2 졸업</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6년</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2017.3–2020.2</w:t>
            </w:r>
          </w:p>
        </w:tc>
        <w:tc>
          <w:tcPr>
            <w:tcW w:type="dxa" w:w="1900"/>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코로나19 충격 진입과 회복 국면</w:t>
            </w:r>
            <w:r>
              <w:rPr>
                <w:rFonts w:ascii="맑은 고딕" w:cs="맑은 고딕" w:eastAsia="맑은 고딕" w:hAnsi="맑은 고딕"/>
                <w:sz w:val="18"/>
                <w:szCs w:val="18"/>
              </w:rPr>
              <w:t xml:space="preserve">. 도제학교 완전노출 첫 코호트(축3 DiD 처치집단). 진학자료 첫 확보.</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축1·축2·축3 전체</w:t>
            </w:r>
          </w:p>
        </w:tc>
      </w:tr>
      <w:tr>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2023.2 졸업</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3년</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2020.3–2023.2</w:t>
            </w:r>
          </w:p>
        </w:tc>
        <w:tc>
          <w:tcPr>
            <w:tcW w:type="dxa" w:w="1900"/>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최신 정책환경</w:t>
            </w:r>
            <w:r>
              <w:rPr>
                <w:rFonts w:ascii="맑은 고딕" w:cs="맑은 고딕" w:eastAsia="맑은 고딕" w:hAnsi="맑은 고딕"/>
                <w:sz w:val="18"/>
                <w:szCs w:val="18"/>
              </w:rPr>
              <w:t xml:space="preserve">의 스냅샷. 세 코호트 비교의 현재 기준점.</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축1·축2·축3 전체(단기 지표)</w:t>
            </w:r>
          </w:p>
        </w:tc>
      </w:tr>
    </w:tbl>
    <w:p>
      <w:pPr>
        <w:spacing w:after="160"/>
      </w:pPr>
    </w:p>
    <w:p>
      <w:pPr>
        <w:spacing w:after="200"/>
      </w:pPr>
      <w:r>
        <w:rPr>
          <w:rFonts w:ascii="맑은 고딕" w:cs="맑은 고딕" w:eastAsia="맑은 고딕" w:hAnsi="맑은 고딕"/>
        </w:rPr>
        <w:t xml:space="preserve">코호트 간 비교는 </w:t>
      </w:r>
      <w:r>
        <w:rPr>
          <w:rFonts w:ascii="맑은 고딕" w:cs="맑은 고딕" w:eastAsia="맑은 고딕" w:hAnsi="맑은 고딕"/>
          <w:b/>
          <w:bCs/>
        </w:rPr>
        <w:t xml:space="preserve">동일 경과기간</w:t>
      </w:r>
      <w:r>
        <w:rPr>
          <w:rFonts w:ascii="맑은 고딕" w:cs="맑은 고딕" w:eastAsia="맑은 고딕" w:hAnsi="맑은 고딕"/>
        </w:rPr>
        <w:t xml:space="preserve">(공통 초기 33개월) 지표로 수행한다. 코호트 차이는 경기·교육과정·학교구성·개인선택이 함께 반영된 결과이므로, 축1·축2에서는 이를 특정 정책의 인과효과로 해석하지 않는다.</w:t>
      </w:r>
    </w:p>
    <w:p>
      <w:pPr>
        <w:pStyle w:val="Heading3"/>
        <w:spacing w:after="160" w:before="300"/>
      </w:pPr>
      <w:r>
        <w:rPr>
          <w:rFonts w:ascii="맑은 고딕" w:cs="맑은 고딕" w:eastAsia="맑은 고딕" w:hAnsi="맑은 고딕"/>
        </w:rPr>
        <w:t xml:space="preserve">4. 본 연구가 갖는 자료의 고유성</w:t>
      </w:r>
    </w:p>
    <w:p>
      <w:pPr>
        <w:pStyle w:val="ListParagraph"/>
        <w:numPr>
          <w:ilvl w:val="0"/>
          <w:numId w:val="2"/>
        </w:numPr>
        <w:spacing w:after="100"/>
      </w:pPr>
      <w:r>
        <w:rPr>
          <w:rFonts w:ascii="맑은 고딕" w:cs="맑은 고딕" w:eastAsia="맑은 고딕" w:hAnsi="맑은 고딕"/>
        </w:rPr>
        <w:t xml:space="preserve">전수 행정자료 연계이므로 </w:t>
      </w:r>
      <w:r>
        <w:rPr>
          <w:rFonts w:ascii="맑은 고딕" w:cs="맑은 고딕" w:eastAsia="맑은 고딕" w:hAnsi="맑은 고딕"/>
          <w:b/>
          <w:bCs/>
        </w:rPr>
        <w:t xml:space="preserve">패널탈락에 의한 선택편의가 구조적으로 발생하지 않는다.</w:t>
      </w:r>
    </w:p>
    <w:p>
      <w:pPr>
        <w:pStyle w:val="ListParagraph"/>
        <w:numPr>
          <w:ilvl w:val="0"/>
          <w:numId w:val="2"/>
        </w:numPr>
        <w:spacing w:after="100"/>
      </w:pPr>
      <w:r>
        <w:rPr>
          <w:rFonts w:ascii="맑은 고딕" w:cs="맑은 고딕" w:eastAsia="맑은 고딕" w:hAnsi="맑은 고딕"/>
        </w:rPr>
        <w:t xml:space="preserve">취득·상실일이 일 단위로 기록되어 </w:t>
      </w:r>
      <w:r>
        <w:rPr>
          <w:rFonts w:ascii="맑은 고딕" w:cs="맑은 고딕" w:eastAsia="맑은 고딕" w:hAnsi="맑은 고딕"/>
          <w:b/>
          <w:bCs/>
        </w:rPr>
        <w:t xml:space="preserve">정책이 실제로 사용하는 기간 기준(3·6개월 등)과 직접 대응하는 분석</w:t>
      </w:r>
      <w:r>
        <w:rPr>
          <w:rFonts w:ascii="맑은 고딕" w:cs="맑은 고딕" w:eastAsia="맑은 고딕" w:hAnsi="맑은 고딕"/>
        </w:rPr>
        <w:t xml:space="preserve">이 가능하다.</w:t>
      </w:r>
    </w:p>
    <w:p>
      <w:pPr>
        <w:pStyle w:val="ListParagraph"/>
        <w:numPr>
          <w:ilvl w:val="0"/>
          <w:numId w:val="2"/>
        </w:numPr>
        <w:spacing w:after="100"/>
      </w:pPr>
      <w:r>
        <w:rPr>
          <w:rFonts w:ascii="맑은 고딕" w:cs="맑은 고딕" w:eastAsia="맑은 고딕" w:hAnsi="맑은 고딕"/>
        </w:rPr>
        <w:t xml:space="preserve">표준화된 교육분류(KSCED)–직업분류(KECO)를 개인단위·전수로 연결하고, </w:t>
      </w:r>
      <w:r>
        <w:rPr>
          <w:rFonts w:ascii="맑은 고딕" w:cs="맑은 고딕" w:eastAsia="맑은 고딕" w:hAnsi="맑은 고딕"/>
          <w:b/>
          <w:bCs/>
        </w:rPr>
        <w:t xml:space="preserve">비교집단을 둔 학교단위 정책평가</w:t>
      </w:r>
      <w:r>
        <w:rPr>
          <w:rFonts w:ascii="맑은 고딕" w:cs="맑은 고딕" w:eastAsia="맑은 고딕" w:hAnsi="맑은 고딕"/>
        </w:rPr>
        <w:t xml:space="preserve">(도제학교 DiD)를 시도한 국내 최초 사례다.</w:t>
      </w:r>
    </w:p>
    <w:p>
      <w:pPr>
        <w:pBdr>
          <w:bottom w:val="single" w:color="999999" w:sz="6"/>
        </w:pBdr>
        <w:spacing w:after="300" w:before="100"/>
      </w:pPr>
      <w:r>
        <w:t xml:space="preserve"/>
      </w:r>
    </w:p>
    <w:p>
      <w:pPr>
        <w:pStyle w:val="Heading2"/>
        <w:spacing w:after="160" w:before="300"/>
      </w:pPr>
      <w:r>
        <w:rPr>
          <w:rFonts w:ascii="맑은 고딕" w:cs="맑은 고딕" w:eastAsia="맑은 고딕" w:hAnsi="맑은 고딕"/>
        </w:rPr>
        <w:t xml:space="preserve">II. 선행연구와 방법론적 공백</w:t>
      </w:r>
    </w:p>
    <w:p>
      <w:pPr>
        <w:pStyle w:val="Heading3"/>
        <w:spacing w:after="160" w:before="300"/>
      </w:pPr>
      <w:r>
        <w:rPr>
          <w:rFonts w:ascii="맑은 고딕" w:cs="맑은 고딕" w:eastAsia="맑은 고딕" w:hAnsi="맑은 고딕"/>
        </w:rPr>
        <w:t xml:space="preserve">1. 경로유형화 연구</w:t>
      </w:r>
    </w:p>
    <w:p>
      <w:pPr>
        <w:spacing w:after="200"/>
      </w:pPr>
      <w:r>
        <w:rPr>
          <w:rFonts w:ascii="맑은 고딕" w:cs="맑은 고딕" w:eastAsia="맑은 고딕" w:hAnsi="맑은 고딕"/>
        </w:rPr>
        <w:t xml:space="preserve">김진모 외(2018, 412명·10년), 류지은·서예린(2023, 3,069명·42개월), 백예은·정혜원(2025, 시퀀스분석+설명가능AI) 등은 상태의 순서·지속기간을 유형화했다. 본 연구의 차별점은 유형화 기법의 도입 자체가 아니라, </w:t>
      </w:r>
      <w:r>
        <w:rPr>
          <w:rFonts w:ascii="맑은 고딕" w:cs="맑은 고딕" w:eastAsia="맑은 고딕" w:hAnsi="맑은 고딕"/>
          <w:b/>
          <w:bCs/>
        </w:rPr>
        <w:t xml:space="preserve">명부 기준 복수 코호트의 전수 고용이력을 동일 규칙으로 구성</w:t>
      </w:r>
      <w:r>
        <w:rPr>
          <w:rFonts w:ascii="맑은 고딕" w:cs="맑은 고딕" w:eastAsia="맑은 고딕" w:hAnsi="맑은 고딕"/>
        </w:rPr>
        <w:t xml:space="preserve">하고 전체기간 유형화와 동일경과기간 직접비교를 구분한다는 점이다.</w:t>
      </w:r>
    </w:p>
    <w:p>
      <w:pPr>
        <w:pStyle w:val="Heading3"/>
        <w:spacing w:after="160" w:before="300"/>
      </w:pPr>
      <w:r>
        <w:rPr>
          <w:rFonts w:ascii="맑은 고딕" w:cs="맑은 고딕" w:eastAsia="맑은 고딕" w:hAnsi="맑은 고딕"/>
        </w:rPr>
        <w:t xml:space="preserve">2. 인과추론 방법론 사례와 공백</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문헌</w:t>
            </w:r>
          </w:p>
        </w:tc>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자료</w:t>
            </w:r>
          </w:p>
        </w:tc>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방법</w:t>
            </w:r>
          </w:p>
        </w:tc>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처치/비교</w:t>
            </w:r>
          </w:p>
        </w:tc>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우리 연구와의 관계</w:t>
            </w:r>
          </w:p>
        </w:tc>
      </w:tr>
      <w:tr>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백승희·이정민(2021)</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학교진로교육현황조사(유사종단)</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PSM(캘리퍼 0.25SD)+DiD</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NCS 적용 직업계고/일반고</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국내 유일의 직업계고 PSM+DiD 결합 사례. 처치가 전국 동시 적용이라 비교집단이 일반고이며 선정 시점 차이(staggered)를 다루지 않음</w:t>
            </w:r>
          </w:p>
        </w:tc>
      </w:tr>
      <w:tr>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KRIVET Issue Brief 244호(2022)</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KEEP II</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PSM</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마이스터고/특성화고</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매칭변수(중3 내신·소재지·부모학력·가구소득) 기준점 제공. 매칭 후에도 중3 내신 차이(3.92 vs 3.47)가 유의하게 남은 채 결과를 제시 — 균형진단 보고의 필요성을 보여주는 반면교사 사례</w:t>
            </w:r>
          </w:p>
        </w:tc>
      </w:tr>
      <w:tr>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최수정(2018)</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PIAAC</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OLS+PSM</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직업계고/일반고</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OLS에서 나타난 일반고 임금우위가 PSM 표본에서 소멸 — 선택편의 보정이 결론을 바꾼 사례</w:t>
            </w:r>
          </w:p>
        </w:tc>
      </w:tr>
    </w:tbl>
    <w:p>
      <w:pPr>
        <w:spacing w:after="160"/>
      </w:pPr>
    </w:p>
    <w:p>
      <w:pPr>
        <w:spacing w:after="200"/>
      </w:pPr>
      <w:r>
        <w:rPr>
          <w:rFonts w:ascii="맑은 고딕" w:cs="맑은 고딕" w:eastAsia="맑은 고딕" w:hAnsi="맑은 고딕"/>
          <w:b/>
          <w:bCs/>
        </w:rPr>
        <w:t xml:space="preserve">결론:</w:t>
      </w:r>
      <w:r>
        <w:rPr>
          <w:rFonts w:ascii="맑은 고딕" w:cs="맑은 고딕" w:eastAsia="맑은 고딕" w:hAnsi="맑은 고딕"/>
        </w:rPr>
        <w:t xml:space="preserve"> 국내 직업계고 연구에서 PSM은 수 차례 시도되었으나 (a) 학교단위 정책으로 비교집단을 구성한 DiD 사례는 없고, (b) 행정자료로 같은 개인을 추적하여 패널탈락 문제 자체를 회피한 사례는 없다. 이 두 공백이 본 연구의 기여다.</w:t>
      </w:r>
    </w:p>
    <w:p>
      <w:pPr>
        <w:pStyle w:val="Heading3"/>
        <w:spacing w:after="160" w:before="300"/>
      </w:pPr>
      <w:r>
        <w:rPr>
          <w:rFonts w:ascii="맑은 고딕" w:cs="맑은 고딕" w:eastAsia="맑은 고딕" w:hAnsi="맑은 고딕"/>
        </w:rPr>
        <w:t xml:space="preserve">3. 시퀀스분석과 최적일치법(Optimal Matching) — 기원·수식·적용</w:t>
      </w:r>
    </w:p>
    <w:p>
      <w:pPr>
        <w:spacing w:after="200"/>
      </w:pPr>
      <w:r>
        <w:rPr>
          <w:rFonts w:ascii="맑은 고딕" w:cs="맑은 고딕" w:eastAsia="맑은 고딕" w:hAnsi="맑은 고딕"/>
          <w:b/>
          <w:bCs/>
        </w:rPr>
        <w:t xml:space="preserve">기원과 발전.</w:t>
      </w:r>
      <w:r>
        <w:rPr>
          <w:rFonts w:ascii="맑은 고딕" w:cs="맑은 고딕" w:eastAsia="맑은 고딕" w:hAnsi="맑은 고딕"/>
        </w:rPr>
        <w:t xml:space="preserve"> 최적일치법은 원래 생물정보학의 DNA 서열정렬 알고리즘(Needleman &amp; Wunsch, 1970)과 문자열 편집거리 이론(Levenshtein, 1966)에서 출발했다. 이를 사회과학의 생애과정 자료에 처음 이식한 것은 Abbott &amp; Forrest(1986)이며, Abbott(1995)의 "Sequence Analysis: New Methods for Old Ideas"(Annual Review of Sociology)가 방법론을 정식화해 사회학의 표준 도구로 확산시켰다. 이후 Abbott &amp; Tsay(2000)의 종합 리뷰 논문은 OM의 성과와 한계를 함께 평가했고, 같은 호에 실린 토론 논문들이 비용설정의 자의성을 비판하며 방법론 논쟁을 촉발했다. Aisenbrey &amp; Fasang(2010)은 이 논쟁 이후의 "제2세대 시퀀스분석"을 정리하며 생애과정(course)을 다시 방법의 중심에 되돌려 놓았다고 평가한다.</w:t>
      </w:r>
    </w:p>
    <w:p>
      <w:pPr>
        <w:spacing w:after="200"/>
      </w:pPr>
      <w:r>
        <w:rPr>
          <w:rFonts w:ascii="맑은 고딕" w:cs="맑은 고딕" w:eastAsia="맑은 고딕" w:hAnsi="맑은 고딕"/>
          <w:b/>
          <w:bCs/>
        </w:rPr>
        <w:t xml:space="preserve">수학적 정식화.</w:t>
      </w:r>
      <w:r>
        <w:rPr>
          <w:rFonts w:ascii="맑은 고딕" w:cs="맑은 고딕" w:eastAsia="맑은 고딕" w:hAnsi="맑은 고딕"/>
        </w:rPr>
        <w:t xml:space="preserve"> 두 시퀀스 </w:t>
      </w:r>
      <w:r>
        <w:rPr>
          <w:rFonts w:ascii="Cambria Math" w:cs="Cambria Math" w:eastAsia="Cambria Math" w:hAnsi="Cambria Math"/>
          <w:i/>
          <w:iCs/>
        </w:rPr>
        <w:t xml:space="preserve">x=(x_1,...,x_m)</w:t>
      </w:r>
      <w:r>
        <w:rPr>
          <w:rFonts w:ascii="맑은 고딕" w:cs="맑은 고딕" w:eastAsia="맑은 고딕" w:hAnsi="맑은 고딕"/>
        </w:rPr>
        <w:t xml:space="preserve">, </w:t>
      </w:r>
      <w:r>
        <w:rPr>
          <w:rFonts w:ascii="Cambria Math" w:cs="Cambria Math" w:eastAsia="Cambria Math" w:hAnsi="Cambria Math"/>
          <w:i/>
          <w:iCs/>
        </w:rPr>
        <w:t xml:space="preserve">y=(y_1,...,y_n)</w:t>
      </w:r>
      <w:r>
        <w:rPr>
          <w:rFonts w:ascii="맑은 고딕" w:cs="맑은 고딕" w:eastAsia="맑은 고딕" w:hAnsi="맑은 고딕"/>
        </w:rPr>
        <w:t xml:space="preserve"> 사이의 편집거리는 삽입·삭제(indel) 비용 </w:t>
      </w:r>
      <w:r>
        <w:rPr>
          <w:rFonts w:ascii="Cambria Math" w:cs="Cambria Math" w:eastAsia="Cambria Math" w:hAnsi="Cambria Math"/>
          <w:i/>
          <w:iCs/>
        </w:rPr>
        <w:t xml:space="preserve">c_{indel}</w:t>
      </w:r>
      <w:r>
        <w:rPr>
          <w:rFonts w:ascii="맑은 고딕" w:cs="맑은 고딕" w:eastAsia="맑은 고딕" w:hAnsi="맑은 고딕"/>
        </w:rPr>
        <w:t xml:space="preserve">과 상태 </w:t>
      </w:r>
      <w:r>
        <w:rPr>
          <w:rFonts w:ascii="Cambria Math" w:cs="Cambria Math" w:eastAsia="Cambria Math" w:hAnsi="Cambria Math"/>
          <w:i/>
          <w:iCs/>
        </w:rPr>
        <w:t xml:space="preserve">a,b</w:t>
      </w:r>
      <w:r>
        <w:rPr>
          <w:rFonts w:ascii="맑은 고딕" w:cs="맑은 고딕" w:eastAsia="맑은 고딕" w:hAnsi="맑은 고딕"/>
        </w:rPr>
        <w:t xml:space="preserve"> 간 치환비용 </w:t>
      </w:r>
      <w:r>
        <w:rPr>
          <w:rFonts w:ascii="Cambria Math" w:cs="Cambria Math" w:eastAsia="Cambria Math" w:hAnsi="Cambria Math"/>
          <w:i/>
          <w:iCs/>
        </w:rPr>
        <w:t xml:space="preserve">c(a,b)</w:t>
      </w:r>
      <w:r>
        <w:rPr>
          <w:rFonts w:ascii="맑은 고딕" w:cs="맑은 고딕" w:eastAsia="맑은 고딕" w:hAnsi="맑은 고딕"/>
        </w:rPr>
        <w:t xml:space="preserve">로 구성된 비용함수를 최소화하는 동적계획법으로 계산한다:</w:t>
      </w:r>
    </w:p>
    <w:p>
      <w:pPr>
        <w:spacing w:after="200"/>
      </w:pPr>
      <w:r>
        <w:rPr>
          <w:rFonts w:ascii="맑은 고딕" w:cs="맑은 고딕" w:eastAsia="맑은 고딕" w:hAnsi="맑은 고딕"/>
        </w:rPr>
        <w:t xml:space="preserve">$</w:t>
      </w:r>
      <w:r>
        <w:rPr>
          <w:rFonts w:ascii="Cambria Math" w:cs="Cambria Math" w:eastAsia="Cambria Math" w:hAnsi="Cambria Math"/>
          <w:i/>
          <w:iCs/>
        </w:rPr>
        <w:t xml:space="preserve">D(i,j)=\min\begin{cases}D(i-1,j)+c_{indel}\\D(i,j-1)+c_{indel}\\D(i-1,j-1)+c(x_i,y_j)\end{cases}</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치환비용 행렬 </w:t>
      </w:r>
      <w:r>
        <w:rPr>
          <w:rFonts w:ascii="Cambria Math" w:cs="Cambria Math" w:eastAsia="Cambria Math" w:hAnsi="Cambria Math"/>
          <w:i/>
          <w:iCs/>
        </w:rPr>
        <w:t xml:space="preserve">c(a,b)</w:t>
      </w:r>
      <w:r>
        <w:rPr>
          <w:rFonts w:ascii="맑은 고딕" w:cs="맑은 고딕" w:eastAsia="맑은 고딕" w:hAnsi="맑은 고딕"/>
        </w:rPr>
        <w:t xml:space="preserve">를 설정하는 방식은 크게 세 갈래로 나뉜다: (i) 이론적 근접성에 기반한 상수설정(CONSTANT, 본 연구 채택), (ii) 상태 간 관측된 전이빈도의 역수를 쓰는 TRATE(transition-rate) 방식(Rohwer &amp; Pötter의 제안을 Studer &amp; Ritschard(2016)가 정식화), (iii) 특징기반(feature-based) 설정. Studer &amp; Ritschard(2016)의 비교연구는 어떤 단일 기준도 보편적으로 우월하지 않으며 연구질문에 맞춰 선택해야 한다고 결론짓는다.</w:t>
      </w:r>
    </w:p>
    <w:p>
      <w:pPr>
        <w:spacing w:after="200"/>
      </w:pPr>
      <w:r>
        <w:rPr>
          <w:rFonts w:ascii="맑은 고딕" w:cs="맑은 고딕" w:eastAsia="맑은 고딕" w:hAnsi="맑은 고딕"/>
          <w:b/>
          <w:bCs/>
        </w:rPr>
        <w:t xml:space="preserve">핵심 논쟁과 본 연구의 대응.</w:t>
      </w:r>
      <w:r>
        <w:rPr>
          <w:rFonts w:ascii="맑은 고딕" w:cs="맑은 고딕" w:eastAsia="맑은 고딕" w:hAnsi="맑은 고딕"/>
        </w:rPr>
        <w:t xml:space="preserve"> Hollister(2009)는 "Is Optimal Matching Suboptimal?"에서 OM의 비용설정이 사실상 임의적이며 그 자의성이 결과를 좌우한다고 비판했다. 이 비판에 대한 표준적 대응은 (a) 복수의 비용설정으로 강건성을 확인하고, (b) 결과를 비용값의 실체적 의미(예: "1년의 어긋남"이 아니라 "가입 상태의 순서·지속 형태 차이")로 해석하지 않는 것이다. 본 연구는 이를 반영해 CONSTANT(주분석)와 TRATE(민감도) 두 비용체계를 병행한다. GBTM 교차검증(아래 5절)은 유형화 결과의 모형독립적 강건성을 확인하는 개념적으로 타당한 보완이나, 본 연구는 이를 Ⅳ.7절의 "탐색적 보완(본문 결과 미포함)"으로 격하했다 — 사유는 해당 절 참조. 군집 수 선택의 Rousseeuw(1987) ASW 기준과 대규모자료의 대표점 샘플링(Studer, Sadeghi &amp; Tochon, 2024)은 Ⅳ.3절에 이미 반영되어 있다.</w:t>
      </w:r>
    </w:p>
    <w:p>
      <w:pPr>
        <w:pStyle w:val="Heading3"/>
        <w:spacing w:after="160" w:before="300"/>
      </w:pPr>
      <w:r>
        <w:rPr>
          <w:rFonts w:ascii="맑은 고딕" w:cs="맑은 고딕" w:eastAsia="맑은 고딕" w:hAnsi="맑은 고딕"/>
        </w:rPr>
        <w:t xml:space="preserve">4. 사건사분석(생존분석) — 기원·수식·적용</w:t>
      </w:r>
    </w:p>
    <w:p>
      <w:pPr>
        <w:spacing w:after="200"/>
      </w:pPr>
      <w:r>
        <w:rPr>
          <w:rFonts w:ascii="맑은 고딕" w:cs="맑은 고딕" w:eastAsia="맑은 고딕" w:hAnsi="맑은 고딕"/>
          <w:b/>
          <w:bCs/>
        </w:rPr>
        <w:t xml:space="preserve">기원과 발전.</w:t>
      </w:r>
      <w:r>
        <w:rPr>
          <w:rFonts w:ascii="맑은 고딕" w:cs="맑은 고딕" w:eastAsia="맑은 고딕" w:hAnsi="맑은 고딕"/>
        </w:rPr>
        <w:t xml:space="preserve"> 생존함수의 비모수 추정은 Kaplan &amp; Meier(1958)의 곱-한계 추정량(product-limit estimator)에서 시작되었고, Cox(1972)의 비례위험모형이 공변량을 반영한 준모수적 표준을 확립했다. Andersen &amp; Gill(1982)은 계수과정(counting process) 이론으로 Cox모형을 시간가변 공변량·반복사건으로 일반화했으며, 이 계수과정 틀이 아래 5절의 다중상태모형으로 이어진다. 사회과학에서는 Allison(1982)이 이산시간 위험모형(discrete-time hazard model)을 정식화해 응답이 월·년 단위로 집계되는 자료에 적용 가능하게 했고, Singer &amp; Willett(2003)의 교과서가 이를 종단자료 분석의 표준 틀로 정착시켰다.</w:t>
      </w:r>
    </w:p>
    <w:p>
      <w:pPr>
        <w:spacing w:after="200"/>
      </w:pPr>
      <w:r>
        <w:rPr>
          <w:rFonts w:ascii="맑은 고딕" w:cs="맑은 고딕" w:eastAsia="맑은 고딕" w:hAnsi="맑은 고딕"/>
          <w:b/>
          <w:bCs/>
        </w:rPr>
        <w:t xml:space="preserve">수학적 정식화.</w:t>
      </w:r>
      <w:r>
        <w:rPr>
          <w:rFonts w:ascii="맑은 고딕" w:cs="맑은 고딕" w:eastAsia="맑은 고딕" w:hAnsi="맑은 고딕"/>
        </w:rPr>
        <w:t xml:space="preserve"> 생존함수 </w:t>
      </w:r>
      <w:r>
        <w:rPr>
          <w:rFonts w:ascii="Cambria Math" w:cs="Cambria Math" w:eastAsia="Cambria Math" w:hAnsi="Cambria Math"/>
          <w:i/>
          <w:iCs/>
        </w:rPr>
        <w:t xml:space="preserve">S(t)=P(T&gt;t)</w:t>
      </w:r>
      <w:r>
        <w:rPr>
          <w:rFonts w:ascii="맑은 고딕" w:cs="맑은 고딕" w:eastAsia="맑은 고딕" w:hAnsi="맑은 고딕"/>
        </w:rPr>
        <w:t xml:space="preserve">의 Kaplan–Meier 추정량은 </w:t>
      </w:r>
      <w:r>
        <w:rPr>
          <w:rFonts w:ascii="Cambria Math" w:cs="Cambria Math" w:eastAsia="Cambria Math" w:hAnsi="Cambria Math"/>
          <w:i/>
          <w:iCs/>
        </w:rPr>
        <w:t xml:space="preserve">\hat S(t)=\prod_{t_i\le t}\left(1-\dfrac{d_i}{n_i}\right)</w:t>
      </w:r>
      <w:r>
        <w:rPr>
          <w:rFonts w:ascii="맑은 고딕" w:cs="맑은 고딕" w:eastAsia="맑은 고딕" w:hAnsi="맑은 고딕"/>
        </w:rPr>
        <w:t xml:space="preserve">(</w:t>
      </w:r>
      <w:r>
        <w:rPr>
          <w:rFonts w:ascii="Cambria Math" w:cs="Cambria Math" w:eastAsia="Cambria Math" w:hAnsi="Cambria Math"/>
          <w:i/>
          <w:iCs/>
        </w:rPr>
        <w:t xml:space="preserve">d_i</w:t>
      </w:r>
      <w:r>
        <w:rPr>
          <w:rFonts w:ascii="맑은 고딕" w:cs="맑은 고딕" w:eastAsia="맑은 고딕" w:hAnsi="맑은 고딕"/>
        </w:rPr>
        <w:t xml:space="preserve">=사건 수, </w:t>
      </w:r>
      <w:r>
        <w:rPr>
          <w:rFonts w:ascii="Cambria Math" w:cs="Cambria Math" w:eastAsia="Cambria Math" w:hAnsi="Cambria Math"/>
          <w:i/>
          <w:iCs/>
        </w:rPr>
        <w:t xml:space="preserve">n_i</w:t>
      </w:r>
      <w:r>
        <w:rPr>
          <w:rFonts w:ascii="맑은 고딕" w:cs="맑은 고딕" w:eastAsia="맑은 고딕" w:hAnsi="맑은 고딕"/>
        </w:rPr>
        <w:t xml:space="preserve">=위험집단 수)이며, Cox 비례위험모형은 위험함수를 </w:t>
      </w:r>
      <w:r>
        <w:rPr>
          <w:rFonts w:ascii="Cambria Math" w:cs="Cambria Math" w:eastAsia="Cambria Math" w:hAnsi="Cambria Math"/>
          <w:i/>
          <w:iCs/>
        </w:rPr>
        <w:t xml:space="preserve">h(t\mid X)=h_0(t)\exp(\beta'X)</w:t>
      </w:r>
      <w:r>
        <w:rPr>
          <w:rFonts w:ascii="맑은 고딕" w:cs="맑은 고딕" w:eastAsia="맑은 고딕" w:hAnsi="맑은 고딕"/>
        </w:rPr>
        <w:t xml:space="preserve">로 분해해 기저위험 </w:t>
      </w:r>
      <w:r>
        <w:rPr>
          <w:rFonts w:ascii="Cambria Math" w:cs="Cambria Math" w:eastAsia="Cambria Math" w:hAnsi="Cambria Math"/>
          <w:i/>
          <w:iCs/>
        </w:rPr>
        <w:t xml:space="preserve">h_0(t)</w:t>
      </w:r>
      <w:r>
        <w:rPr>
          <w:rFonts w:ascii="맑은 고딕" w:cs="맑은 고딕" w:eastAsia="맑은 고딕" w:hAnsi="맑은 고딕"/>
        </w:rPr>
        <w:t xml:space="preserve">의 형태를 특정하지 않고도 상대적 위험비(hazard ratio, </w:t>
      </w:r>
      <w:r>
        <w:rPr>
          <w:rFonts w:ascii="Cambria Math" w:cs="Cambria Math" w:eastAsia="Cambria Math" w:hAnsi="Cambria Math"/>
          <w:i/>
          <w:iCs/>
        </w:rPr>
        <w:t xml:space="preserve">\exp(\beta)</w:t>
      </w:r>
      <w:r>
        <w:rPr>
          <w:rFonts w:ascii="맑은 고딕" w:cs="맑은 고딕" w:eastAsia="맑은 고딕" w:hAnsi="맑은 고딕"/>
        </w:rPr>
        <w:t xml:space="preserve">)를 추정한다. 부분우도(partial likelihood)는 </w:t>
      </w:r>
      <w:r>
        <w:rPr>
          <w:rFonts w:ascii="Cambria Math" w:cs="Cambria Math" w:eastAsia="Cambria Math" w:hAnsi="Cambria Math"/>
          <w:i/>
          <w:iCs/>
        </w:rPr>
        <w:t xml:space="preserve">L(\beta)=\prod_{i:\delta_i=1}\dfrac{\exp(\beta'X_i)}{\sum_{j\in R(t_i)}\exp(\beta'X_j)}</w:t>
      </w:r>
      <w:r>
        <w:rPr>
          <w:rFonts w:ascii="맑은 고딕" w:cs="맑은 고딕" w:eastAsia="맑은 고딕" w:hAnsi="맑은 고딕"/>
        </w:rPr>
        <w:t xml:space="preserve">이며, 동시사건은 Efron(1977) 근사로 처리한다.</w:t>
      </w:r>
    </w:p>
    <w:p>
      <w:pPr>
        <w:spacing w:after="200"/>
      </w:pPr>
      <w:r>
        <w:rPr>
          <w:rFonts w:ascii="맑은 고딕" w:cs="맑은 고딕" w:eastAsia="맑은 고딕" w:hAnsi="맑은 고딕"/>
          <w:b/>
          <w:bCs/>
        </w:rPr>
        <w:t xml:space="preserve">핵심 가정과 본 연구의 적용.</w:t>
      </w:r>
      <w:r>
        <w:rPr>
          <w:rFonts w:ascii="맑은 고딕" w:cs="맑은 고딕" w:eastAsia="맑은 고딕" w:hAnsi="맑은 고딕"/>
        </w:rPr>
        <w:t xml:space="preserve"> 비례위험 가정(위험비가 시간에 불변)은 Grambsch &amp; Therneau(1994)의 척도화 Schoenfeld 잔차 검정으로 확인한다(Ⅳ.4절). 이산시간 모형(Allison, 1982)과 연속시간 모형(Cox, 1972) 중 본 연구가 후자를 택한 이유는, 우리 자료가 자기보고 설문의 조사차수 단위가 아니라 취득·상실일이 일 단위로 기록된 행정자료이기 때문이다 — 이는 Ⅰ.4절에서 강조한 자료의 고유성이 방법론 선택에 직접 반영되는 지점이다. Van den Berg(2001)가 지적하듯 노동시장 지속기간 모형은 관측되지 않는 이질성(unobserved heterogeneity)에 취약할 수 있으므로, 본 연구는 학교단위 군집강건 표준오차(Therneau &amp; Grambsch, 2000)로 학교수준 공통충격을 부분적으로 통제한다.</w:t>
      </w:r>
    </w:p>
    <w:p>
      <w:pPr>
        <w:pStyle w:val="Heading3"/>
        <w:spacing w:after="160" w:before="300"/>
      </w:pPr>
      <w:r>
        <w:rPr>
          <w:rFonts w:ascii="맑은 고딕" w:cs="맑은 고딕" w:eastAsia="맑은 고딕" w:hAnsi="맑은 고딕"/>
        </w:rPr>
        <w:t xml:space="preserve">5. 다중상태모형(Multi-state Models) — 기원·수식·적용</w:t>
      </w:r>
    </w:p>
    <w:p>
      <w:pPr>
        <w:spacing w:after="200"/>
      </w:pPr>
      <w:r>
        <w:rPr>
          <w:rFonts w:ascii="맑은 고딕" w:cs="맑은 고딕" w:eastAsia="맑은 고딕" w:hAnsi="맑은 고딕"/>
          <w:b/>
          <w:bCs/>
        </w:rPr>
        <w:t xml:space="preserve">기원과 발전.</w:t>
      </w:r>
      <w:r>
        <w:rPr>
          <w:rFonts w:ascii="맑은 고딕" w:cs="맑은 고딕" w:eastAsia="맑은 고딕" w:hAnsi="맑은 고딕"/>
        </w:rPr>
        <w:t xml:space="preserve"> 다중상태모형은 Andersen, Borgan, Gill &amp; Keiding(1993)의 계수과정 기반 통계모형 저작에서 체계화되었으며, Aalen &amp; Johansen(1978)의 비모수 전이확률 추정량이 그 경험적 토대다. Jackson(2011)의 JSS 논문은 이 이론을 패널자료(불규칙 관측시점)에 적용 가능한 </w:t>
      </w:r>
      <w:r>
        <w:rPr>
          <w:rFonts w:ascii="Consolas" w:cs="Consolas" w:eastAsia="Consolas" w:hAnsi="Consolas"/>
          <w:sz w:val="19"/>
          <w:szCs w:val="19"/>
        </w:rPr>
        <w:t xml:space="preserve">msm</w:t>
      </w:r>
      <w:r>
        <w:rPr>
          <w:rFonts w:ascii="맑은 고딕" w:cs="맑은 고딕" w:eastAsia="맑은 고딕" w:hAnsi="맑은 고딕"/>
        </w:rPr>
        <w:t xml:space="preserve"> R 패키지로 구현했으며, 본 연구가 그대로 채택한다. Putter, Fiocco &amp; Geskus(2007)의 생물통계학 튜토리얼은 경쟁위험(competing risks)과 다중상태모형의 관계를 정리해 사회과학에서도 널리 인용된다.</w:t>
      </w:r>
    </w:p>
    <w:p>
      <w:pPr>
        <w:spacing w:after="200"/>
      </w:pPr>
      <w:r>
        <w:rPr>
          <w:rFonts w:ascii="맑은 고딕" w:cs="맑은 고딕" w:eastAsia="맑은 고딕" w:hAnsi="맑은 고딕"/>
          <w:b/>
          <w:bCs/>
        </w:rPr>
        <w:t xml:space="preserve">수학적 정식화.</w:t>
      </w:r>
      <w:r>
        <w:rPr>
          <w:rFonts w:ascii="맑은 고딕" w:cs="맑은 고딕" w:eastAsia="맑은 고딕" w:hAnsi="맑은 고딕"/>
        </w:rPr>
        <w:t xml:space="preserve"> 상태공간 </w:t>
      </w:r>
      <w:r>
        <w:rPr>
          <w:rFonts w:ascii="Cambria Math" w:cs="Cambria Math" w:eastAsia="Cambria Math" w:hAnsi="Cambria Math"/>
          <w:i/>
          <w:iCs/>
        </w:rPr>
        <w:t xml:space="preserve">S=\{1,...,K\}</w:t>
      </w:r>
      <w:r>
        <w:rPr>
          <w:rFonts w:ascii="맑은 고딕" w:cs="맑은 고딕" w:eastAsia="맑은 고딕" w:hAnsi="맑은 고딕"/>
        </w:rPr>
        <w:t xml:space="preserve">에서 전이강도(transition intensity)는 </w:t>
      </w:r>
      <w:r>
        <w:rPr>
          <w:rFonts w:ascii="Cambria Math" w:cs="Cambria Math" w:eastAsia="Cambria Math" w:hAnsi="Cambria Math"/>
          <w:i/>
          <w:iCs/>
        </w:rPr>
        <w:t xml:space="preserve">q_{ab}(t)=\lim_{\Delta t\to 0}\dfrac{P(X(t+\Delta t)=b\mid X(t)=a)}{\Delta t}</w:t>
      </w:r>
      <w:r>
        <w:rPr>
          <w:rFonts w:ascii="맑은 고딕" w:cs="맑은 고딕" w:eastAsia="맑은 고딕" w:hAnsi="맑은 고딕"/>
        </w:rPr>
        <w:t xml:space="preserve">로 정의되며, 강도행렬 </w:t>
      </w:r>
      <w:r>
        <w:rPr>
          <w:rFonts w:ascii="Cambria Math" w:cs="Cambria Math" w:eastAsia="Cambria Math" w:hAnsi="Cambria Math"/>
          <w:i/>
          <w:iCs/>
        </w:rPr>
        <w:t xml:space="preserve">Q=[q_{ab}]</w:t>
      </w:r>
      <w:r>
        <w:rPr>
          <w:rFonts w:ascii="맑은 고딕" w:cs="맑은 고딕" w:eastAsia="맑은 고딕" w:hAnsi="맑은 고딕"/>
        </w:rPr>
        <w:t xml:space="preserve">(대각원소 </w:t>
      </w:r>
      <w:r>
        <w:rPr>
          <w:rFonts w:ascii="Cambria Math" w:cs="Cambria Math" w:eastAsia="Cambria Math" w:hAnsi="Cambria Math"/>
          <w:i/>
          <w:iCs/>
        </w:rPr>
        <w:t xml:space="preserve">q_{aa}=-\sum_{b\ne a}q_{ab}</w:t>
      </w:r>
      <w:r>
        <w:rPr>
          <w:rFonts w:ascii="맑은 고딕" w:cs="맑은 고딕" w:eastAsia="맑은 고딕" w:hAnsi="맑은 고딕"/>
        </w:rPr>
        <w:t xml:space="preserve">)가 주어지면 전이확률행렬은 콜모고로프 전진방정식의 해 </w:t>
      </w:r>
      <w:r>
        <w:rPr>
          <w:rFonts w:ascii="Cambria Math" w:cs="Cambria Math" w:eastAsia="Cambria Math" w:hAnsi="Cambria Math"/>
          <w:i/>
          <w:iCs/>
        </w:rPr>
        <w:t xml:space="preserve">P(t)=\exp(Qt)</w:t>
      </w:r>
      <w:r>
        <w:rPr>
          <w:rFonts w:ascii="맑은 고딕" w:cs="맑은 고딕" w:eastAsia="맑은 고딕" w:hAnsi="맑은 고딕"/>
        </w:rPr>
        <w:t xml:space="preserve">로 얻는다. 시간불변 강도를 가정하는 동차(homogeneous) 마르코프모형이 기본형이며, 공변량은 </w:t>
      </w:r>
      <w:r>
        <w:rPr>
          <w:rFonts w:ascii="Cambria Math" w:cs="Cambria Math" w:eastAsia="Cambria Math" w:hAnsi="Cambria Math"/>
          <w:i/>
          <w:iCs/>
        </w:rPr>
        <w:t xml:space="preserve">q_{ab}(t\mid X)=q_{ab}^{(0)}\exp(\beta_{ab}'X)</w:t>
      </w:r>
      <w:r>
        <w:rPr>
          <w:rFonts w:ascii="맑은 고딕" w:cs="맑은 고딕" w:eastAsia="맑은 고딕" w:hAnsi="맑은 고딕"/>
        </w:rPr>
        <w:t xml:space="preserve">로 비례강도(proportional intensities) 형태로 투입한다.</w:t>
      </w:r>
    </w:p>
    <w:p>
      <w:pPr>
        <w:spacing w:after="200"/>
      </w:pPr>
      <w:r>
        <w:rPr>
          <w:rFonts w:ascii="맑은 고딕" w:cs="맑은 고딕" w:eastAsia="맑은 고딕" w:hAnsi="맑은 고딕"/>
          <w:b/>
          <w:bCs/>
        </w:rPr>
        <w:t xml:space="preserve">본 연구에서의 적용과 한계.</w:t>
      </w:r>
      <w:r>
        <w:rPr>
          <w:rFonts w:ascii="맑은 고딕" w:cs="맑은 고딕" w:eastAsia="맑은 고딕" w:hAnsi="맑은 고딕"/>
        </w:rPr>
        <w:t xml:space="preserve"> 사건사분석(4절)이 "E→O(입직→중단)"라는 단일 유형의 전이만 다룬다면, 다중상태모형은 "O→E(동일직종 재취업)"와 "O→E(이직 재취업)"처럼 </w:t>
      </w:r>
      <w:r>
        <w:rPr>
          <w:rFonts w:ascii="맑은 고딕" w:cs="맑은 고딕" w:eastAsia="맑은 고딕" w:hAnsi="맑은 고딕"/>
          <w:b/>
          <w:bCs/>
        </w:rPr>
        <w:t xml:space="preserve">도착 상태의 성격까지 구분한 강도</w:t>
      </w:r>
      <w:r>
        <w:rPr>
          <w:rFonts w:ascii="맑은 고딕" w:cs="맑은 고딕" w:eastAsia="맑은 고딕" w:hAnsi="맑은 고딕"/>
        </w:rPr>
        <w:t xml:space="preserve">를 추정할 수 있어 Ⅴ장(전공-직종 이동)과 결합될 수 있는 확장이다. 다만 상태공간이 커질수록(우리 설계는 최대 11개 상태) 추정할 강도모수가 </w:t>
      </w:r>
      <w:r>
        <w:rPr>
          <w:rFonts w:ascii="Cambria Math" w:cs="Cambria Math" w:eastAsia="Cambria Math" w:hAnsi="Cambria Math"/>
          <w:i/>
          <w:iCs/>
        </w:rPr>
        <w:t xml:space="preserve">K(K-1)</w:t>
      </w:r>
      <w:r>
        <w:rPr>
          <w:rFonts w:ascii="맑은 고딕" w:cs="맑은 고딕" w:eastAsia="맑은 고딕" w:hAnsi="맑은 고딕"/>
        </w:rPr>
        <w:t xml:space="preserve">개로 늘어나 희소전이(rare transition)의 추정이 불안정해지므로, 본 연구는 이를 </w:t>
      </w:r>
      <w:r>
        <w:rPr>
          <w:rFonts w:ascii="맑은 고딕" w:cs="맑은 고딕" w:eastAsia="맑은 고딕" w:hAnsi="맑은 고딕"/>
          <w:b/>
          <w:bCs/>
        </w:rPr>
        <w:t xml:space="preserve">축1의 보조 분석</w:t>
      </w:r>
      <w:r>
        <w:rPr>
          <w:rFonts w:ascii="맑은 고딕" w:cs="맑은 고딕" w:eastAsia="맑은 고딕" w:hAnsi="맑은 고딕"/>
        </w:rPr>
        <w:t xml:space="preserve">으로 위치시키고 주분석(사건사분석)의 상태공간보다 단순화한 통합상태(예: E/O/교육 3범주)로 축소해 적용한다.</w:t>
      </w:r>
    </w:p>
    <w:p>
      <w:pPr>
        <w:pStyle w:val="Heading3"/>
        <w:spacing w:after="160" w:before="300"/>
      </w:pPr>
      <w:r>
        <w:rPr>
          <w:rFonts w:ascii="맑은 고딕" w:cs="맑은 고딕" w:eastAsia="맑은 고딕" w:hAnsi="맑은 고딕"/>
        </w:rPr>
        <w:t xml:space="preserve">6. 집단중심궤적모형(GBTM) — 기원·수식·적용, 그리고 시퀀스분석과의 관계</w:t>
      </w:r>
    </w:p>
    <w:p>
      <w:pPr>
        <w:spacing w:after="200"/>
      </w:pPr>
      <w:r>
        <w:rPr>
          <w:rFonts w:ascii="맑은 고딕" w:cs="맑은 고딕" w:eastAsia="맑은 고딕" w:hAnsi="맑은 고딕"/>
          <w:b/>
          <w:bCs/>
        </w:rPr>
        <w:t xml:space="preserve">기원과 발전.</w:t>
      </w:r>
      <w:r>
        <w:rPr>
          <w:rFonts w:ascii="맑은 고딕" w:cs="맑은 고딕" w:eastAsia="맑은 고딕" w:hAnsi="맑은 고딕"/>
        </w:rPr>
        <w:t xml:space="preserve"> Nagin(1999)이 제안한 준모수적(semiparametric) 집단기반 접근은 개인의 발달궤적을 소수의 잠재집단(latent class) 각각의 다항식 성장곡선으로 근사한다. Jones, Nagin &amp; Roeder(2001)가 이를 구현한 SAS 프로시저를 발표했고, Nagin(2005)의 저서와 Nagin &amp; Odgers(2010)의 리뷰가 범죄학·발달심리학을 넘어 광범위하게 확산시켰다. 유사한 잠재계층 성장모형으로 Muthén &amp; Muthén(2000)의 성장혼합모형(growth mixture modeling, GMM)이 있는데, GBTM은 계층 내 개인차(분산)를 0으로 고정하는 반면 GMM은 계층 내 개인차를 별도로 추정한다는 점에서 다르다 — 본 연구는 계층 자체의 형태 구분이 목적이므로 GBTM(구현: </w:t>
      </w:r>
      <w:r>
        <w:rPr>
          <w:rFonts w:ascii="Consolas" w:cs="Consolas" w:eastAsia="Consolas" w:hAnsi="Consolas"/>
          <w:sz w:val="19"/>
          <w:szCs w:val="19"/>
        </w:rPr>
        <w:t xml:space="preserve">lcmm::hlme</w:t>
      </w:r>
      <w:r>
        <w:rPr>
          <w:rFonts w:ascii="맑은 고딕" w:cs="맑은 고딕" w:eastAsia="맑은 고딕" w:hAnsi="맑은 고딕"/>
        </w:rPr>
        <w:t xml:space="preserve">)을 택한다.</w:t>
      </w:r>
    </w:p>
    <w:p>
      <w:pPr>
        <w:spacing w:after="200"/>
      </w:pPr>
      <w:r>
        <w:rPr>
          <w:rFonts w:ascii="맑은 고딕" w:cs="맑은 고딕" w:eastAsia="맑은 고딕" w:hAnsi="맑은 고딕"/>
          <w:b/>
          <w:bCs/>
        </w:rPr>
        <w:t xml:space="preserve">수학적 정식화.</w:t>
      </w:r>
      <w:r>
        <w:rPr>
          <w:rFonts w:ascii="맑은 고딕" w:cs="맑은 고딕" w:eastAsia="맑은 고딕" w:hAnsi="맑은 고딕"/>
        </w:rPr>
        <w:t xml:space="preserve"> 잠재계층 </w:t>
      </w:r>
      <w:r>
        <w:rPr>
          <w:rFonts w:ascii="Cambria Math" w:cs="Cambria Math" w:eastAsia="Cambria Math" w:hAnsi="Cambria Math"/>
          <w:i/>
          <w:iCs/>
        </w:rPr>
        <w:t xml:space="preserve">j=1,...,J</w:t>
      </w:r>
      <w:r>
        <w:rPr>
          <w:rFonts w:ascii="맑은 고딕" w:cs="맑은 고딕" w:eastAsia="맑은 고딕" w:hAnsi="맑은 고딕"/>
        </w:rPr>
        <w:t xml:space="preserve">에 속할 사전확률 </w:t>
      </w:r>
      <w:r>
        <w:rPr>
          <w:rFonts w:ascii="Cambria Math" w:cs="Cambria Math" w:eastAsia="Cambria Math" w:hAnsi="Cambria Math"/>
          <w:i/>
          <w:iCs/>
        </w:rPr>
        <w:t xml:space="preserve">\pi_j</w:t>
      </w:r>
      <w:r>
        <w:rPr>
          <w:rFonts w:ascii="맑은 고딕" w:cs="맑은 고딕" w:eastAsia="맑은 고딕" w:hAnsi="맑은 고딕"/>
        </w:rPr>
        <w:t xml:space="preserve">과, 계층 내 성장곡선 </w:t>
      </w:r>
      <w:r>
        <w:rPr>
          <w:rFonts w:ascii="Cambria Math" w:cs="Cambria Math" w:eastAsia="Cambria Math" w:hAnsi="Cambria Math"/>
          <w:i/>
          <w:iCs/>
        </w:rPr>
        <w:t xml:space="preserve">E[Y_{it}\mid j]=\beta_{0j}+\beta_{1j}t+\beta_{2j}t^2</w:t>
      </w:r>
      <w:r>
        <w:rPr>
          <w:rFonts w:ascii="맑은 고딕" w:cs="맑은 고딕" w:eastAsia="맑은 고딕" w:hAnsi="맑은 고딕"/>
        </w:rPr>
        <w:t xml:space="preserve">로 구성되며, 우도함수는 </w:t>
      </w:r>
      <w:r>
        <w:rPr>
          <w:rFonts w:ascii="Cambria Math" w:cs="Cambria Math" w:eastAsia="Cambria Math" w:hAnsi="Cambria Math"/>
          <w:i/>
          <w:iCs/>
        </w:rPr>
        <w:t xml:space="preserve">L=\prod_i\sum_{j=1}^{J}\pi_j\, f(Y_i\mid j)</w:t>
      </w:r>
      <w:r>
        <w:rPr>
          <w:rFonts w:ascii="맑은 고딕" w:cs="맑은 고딕" w:eastAsia="맑은 고딕" w:hAnsi="맑은 고딕"/>
        </w:rPr>
        <w:t xml:space="preserve">이다(혼합모형, mixture model). 모형 선택은 BIC(Bayesian Information Criterion) 최소화로 계층 수 </w:t>
      </w:r>
      <w:r>
        <w:rPr>
          <w:rFonts w:ascii="Cambria Math" w:cs="Cambria Math" w:eastAsia="Cambria Math" w:hAnsi="Cambria Math"/>
          <w:i/>
          <w:iCs/>
        </w:rPr>
        <w:t xml:space="preserve">J</w:t>
      </w:r>
      <w:r>
        <w:rPr>
          <w:rFonts w:ascii="맑은 고딕" w:cs="맑은 고딕" w:eastAsia="맑은 고딕" w:hAnsi="맑은 고딕"/>
        </w:rPr>
        <w:t xml:space="preserve">를 정한다.</w:t>
      </w:r>
    </w:p>
    <w:p>
      <w:pPr>
        <w:spacing w:after="200"/>
      </w:pPr>
      <w:r>
        <w:rPr>
          <w:rFonts w:ascii="맑은 고딕" w:cs="맑은 고딕" w:eastAsia="맑은 고딕" w:hAnsi="맑은 고딕"/>
          <w:b/>
          <w:bCs/>
        </w:rPr>
        <w:t xml:space="preserve">시퀀스분석과의 관계 — 왜 두 방법을 함께 쓰는가.</w:t>
      </w:r>
      <w:r>
        <w:rPr>
          <w:rFonts w:ascii="맑은 고딕" w:cs="맑은 고딕" w:eastAsia="맑은 고딕" w:hAnsi="맑은 고딕"/>
        </w:rPr>
        <w:t xml:space="preserve"> Barban &amp; Billari(2012)는 "Classifying Life Course Trajectories"에서 잠재계층모형(GBTM류)과 시퀀스분석(OM-군집화)을 동일 생애과정 자료에 나란히 적용해 비교했으며, 두 방법이 </w:t>
      </w:r>
      <w:r>
        <w:rPr>
          <w:rFonts w:ascii="맑은 고딕" w:cs="맑은 고딕" w:eastAsia="맑은 고딕" w:hAnsi="맑은 고딕"/>
          <w:b/>
          <w:bCs/>
        </w:rPr>
        <w:t xml:space="preserve">거리기반 vs 모형기반</w:t>
      </w:r>
      <w:r>
        <w:rPr>
          <w:rFonts w:ascii="맑은 고딕" w:cs="맑은 고딕" w:eastAsia="맑은 고딕" w:hAnsi="맑은 고딕"/>
        </w:rPr>
        <w:t xml:space="preserve">이라는 근본적으로 다른 원리로 작동함에도 상당 부분 일치하는 유형을 도출함을 보였다. 본 연구가 Ⅳ.7절(탐색적 보완)에 남겨둔 GBTM 교차검증은 정확히 이 논리를 따른 것이다 — 하나의 방법으로만 유형화하면 "그 방법이 우연히 만들어낸 인공물(artifact)은 아닌가"라는 질문에 답할 수 없으므로, 원리가 다른 두 방법의 일치도(Cohen's κ)로 유형화의 실체성을 검증할 수 있다. 다만 일치/불일치 각각에 대한 사전 행동기준이 없다면 이 비교 자체가 다음 행동으로 이어지지 않는 장식적 검증에 그친다는 것이 GPT 리뷰(2026.9)의 지적이었고, 본 연구는 이를 받아들여 본문 결과에서 제외했다(Ⅳ.7절).</w:t>
      </w:r>
    </w:p>
    <w:p>
      <w:pPr>
        <w:pStyle w:val="Heading3"/>
        <w:spacing w:after="160" w:before="300"/>
      </w:pPr>
      <w:r>
        <w:rPr>
          <w:rFonts w:ascii="맑은 고딕" w:cs="맑은 고딕" w:eastAsia="맑은 고딕" w:hAnsi="맑은 고딕"/>
        </w:rPr>
        <w:t xml:space="preserve">7. 성향점수매칭(PSM) — 기원·수식·적용</w:t>
      </w:r>
    </w:p>
    <w:p>
      <w:pPr>
        <w:spacing w:after="200"/>
      </w:pPr>
      <w:r>
        <w:rPr>
          <w:rFonts w:ascii="맑은 고딕" w:cs="맑은 고딕" w:eastAsia="맑은 고딕" w:hAnsi="맑은 고딕"/>
          <w:b/>
          <w:bCs/>
        </w:rPr>
        <w:t xml:space="preserve">기원과 발전.</w:t>
      </w:r>
      <w:r>
        <w:rPr>
          <w:rFonts w:ascii="맑은 고딕" w:cs="맑은 고딕" w:eastAsia="맑은 고딕" w:hAnsi="맑은 고딕"/>
        </w:rPr>
        <w:t xml:space="preserve"> 현대 인과추론의 반사실 틀은 Rubin(1974)의 잠재결과모형(potential outcomes framework, Neyman-Rubin 모형)에서 정식화되었고, Rosenbaum &amp; Rubin(1983)이 "The Central Role of the Propensity Score"에서 다차원 교란변수를 단일 스칼라(성향점수)로 축약해도 균형화(balancing)가 성립함을 증명하며 PSM의 이론적 기반을 확립했다. Rosenbaum &amp; Rubin(1985)이 캘리퍼 매칭을 제안했고, Austin(2011)이 시뮬레이션 연구로 </w:t>
      </w:r>
      <w:r>
        <w:rPr>
          <w:rFonts w:ascii="맑은 고딕" w:cs="맑은 고딕" w:eastAsia="맑은 고딕" w:hAnsi="맑은 고딕"/>
          <w:b/>
          <w:bCs/>
        </w:rPr>
        <w:t xml:space="preserve">로짓 성향점수 표준편차의 0.2배</w:t>
      </w:r>
      <w:r>
        <w:rPr>
          <w:rFonts w:ascii="맑은 고딕" w:cs="맑은 고딕" w:eastAsia="맑은 고딕" w:hAnsi="맑은 고딕"/>
        </w:rPr>
        <w:t xml:space="preserve">가 평균제곱오차를 최소화하는 근사 최적 캘리퍼임을 보였다 — 본 연구가 채택한 캘리퍼 값의 직접적 근거다.</w:t>
      </w:r>
    </w:p>
    <w:p>
      <w:pPr>
        <w:spacing w:after="200"/>
      </w:pPr>
      <w:r>
        <w:rPr>
          <w:rFonts w:ascii="맑은 고딕" w:cs="맑은 고딕" w:eastAsia="맑은 고딕" w:hAnsi="맑은 고딕"/>
          <w:b/>
          <w:bCs/>
        </w:rPr>
        <w:t xml:space="preserve">수학적 정식화.</w:t>
      </w:r>
      <w:r>
        <w:rPr>
          <w:rFonts w:ascii="맑은 고딕" w:cs="맑은 고딕" w:eastAsia="맑은 고딕" w:hAnsi="맑은 고딕"/>
        </w:rPr>
        <w:t xml:space="preserve"> 성향점수는 </w:t>
      </w:r>
      <w:r>
        <w:rPr>
          <w:rFonts w:ascii="Cambria Math" w:cs="Cambria Math" w:eastAsia="Cambria Math" w:hAnsi="Cambria Math"/>
          <w:i/>
          <w:iCs/>
        </w:rPr>
        <w:t xml:space="preserve">e(X)=P(D=1\mid X)</w:t>
      </w:r>
      <w:r>
        <w:rPr>
          <w:rFonts w:ascii="맑은 고딕" w:cs="맑은 고딕" w:eastAsia="맑은 고딕" w:hAnsi="맑은 고딕"/>
        </w:rPr>
        <w:t xml:space="preserve">이며, Rosenbaum &amp; Rubin(1983)의 핵심 정리는 </w:t>
      </w:r>
      <w:r>
        <w:rPr>
          <w:rFonts w:ascii="Cambria Math" w:cs="Cambria Math" w:eastAsia="Cambria Math" w:hAnsi="Cambria Math"/>
          <w:i/>
          <w:iCs/>
        </w:rPr>
        <w:t xml:space="preserve">X\perp D\mid e(X)</w:t>
      </w:r>
      <w:r>
        <w:rPr>
          <w:rFonts w:ascii="맑은 고딕" w:cs="맑은 고딕" w:eastAsia="맑은 고딕" w:hAnsi="맑은 고딕"/>
        </w:rPr>
        <w:t xml:space="preserve">, 즉 성향점수가 같은 사람들 사이에서는 처치배정이 관측 공변량과 조건부 독립임을 보인다(균형화 속성, balancing property). 이로부터 </w:t>
      </w:r>
      <w:r>
        <w:rPr>
          <w:rFonts w:ascii="Cambria Math" w:cs="Cambria Math" w:eastAsia="Cambria Math" w:hAnsi="Cambria Math"/>
          <w:i/>
          <w:iCs/>
        </w:rPr>
        <w:t xml:space="preserve">Y(0),Y(1)\perp D\mid X</w:t>
      </w:r>
      <w:r>
        <w:rPr>
          <w:rFonts w:ascii="맑은 고딕" w:cs="맑은 고딕" w:eastAsia="맑은 고딕" w:hAnsi="맑은 고딕"/>
        </w:rPr>
        <w:t xml:space="preserve">(비혼입, unconfoundedness)가 성립하면 </w:t>
      </w:r>
      <w:r>
        <w:rPr>
          <w:rFonts w:ascii="Cambria Math" w:cs="Cambria Math" w:eastAsia="Cambria Math" w:hAnsi="Cambria Math"/>
          <w:i/>
          <w:iCs/>
        </w:rPr>
        <w:t xml:space="preserve">Y(0),Y(1)\perp D\mid e(X)</w:t>
      </w:r>
      <w:r>
        <w:rPr>
          <w:rFonts w:ascii="맑은 고딕" w:cs="맑은 고딕" w:eastAsia="맑은 고딕" w:hAnsi="맑은 고딕"/>
        </w:rPr>
        <w:t xml:space="preserve">도 성립하여, 다차원 매칭이 1차원 매칭으로 축소된다. ATT 추정량은 </w:t>
      </w:r>
      <w:r>
        <w:rPr>
          <w:rFonts w:ascii="Cambria Math" w:cs="Cambria Math" w:eastAsia="Cambria Math" w:hAnsi="Cambria Math"/>
          <w:i/>
          <w:iCs/>
        </w:rPr>
        <w:t xml:space="preserve">\hat\tau_{ATT}=\dfrac{1}{N_1}\sum_{i:D_i=1}\left(Y_i-\sum_{j\in M(i)}w_{ij}Y_j\right)</w:t>
      </w:r>
      <w:r>
        <w:rPr>
          <w:rFonts w:ascii="맑은 고딕" w:cs="맑은 고딕" w:eastAsia="맑은 고딕" w:hAnsi="맑은 고딕"/>
        </w:rPr>
        <w:t xml:space="preserve">(</w:t>
      </w:r>
      <w:r>
        <w:rPr>
          <w:rFonts w:ascii="Cambria Math" w:cs="Cambria Math" w:eastAsia="Cambria Math" w:hAnsi="Cambria Math"/>
          <w:i/>
          <w:iCs/>
        </w:rPr>
        <w:t xml:space="preserve">M(i)</w:t>
      </w:r>
      <w:r>
        <w:rPr>
          <w:rFonts w:ascii="맑은 고딕" w:cs="맑은 고딕" w:eastAsia="맑은 고딕" w:hAnsi="맑은 고딕"/>
        </w:rPr>
        <w:t xml:space="preserve">=매칭된 비교집단 대상 집합)이다.</w:t>
      </w:r>
    </w:p>
    <w:p>
      <w:pPr>
        <w:spacing w:after="200"/>
      </w:pPr>
      <w:r>
        <w:rPr>
          <w:rFonts w:ascii="맑은 고딕" w:cs="맑은 고딕" w:eastAsia="맑은 고딕" w:hAnsi="맑은 고딕"/>
          <w:b/>
          <w:bCs/>
        </w:rPr>
        <w:t xml:space="preserve">핵심 가정, 논쟁, 본 연구의 대응.</w:t>
      </w:r>
      <w:r>
        <w:rPr>
          <w:rFonts w:ascii="맑은 고딕" w:cs="맑은 고딕" w:eastAsia="맑은 고딕" w:hAnsi="맑은 고딕"/>
        </w:rPr>
        <w:t xml:space="preserve"> 비혼입 가정은 데이터로 검증할 수 없는 근본적 한계이며, Rosenbaum(2002)의 민감도분석(Rosenbaum bounds)은 "이 가정이 얼마나 깨져야 결론이 뒤집히는가"를 정량화하는 표준적 사후 점검이다(본 연구는 Ⅵ.2절에서 채택). 균형진단 표준은 Austin(2009)이 제시한 "표준화차이 0.1 미만" 기준과 "매칭 후 t검정·유의성검정을 균형진단에 쓰지 말라"는 권고를 따른다 — 매칭 후 표본이 줄면 검정력이 떨어져 유의하지 않게 나오기 쉽고, 반대로 대규모 매칭표본에서는 사소한 차이도 유의해지므로 유의성 자체가 균형의 지표가 될 수 없기 때문이다. 한편 King &amp; Nielsen(2019)은 "Why Propensity Scores Should Not Be Used for Matching"에서, 성향점수 기준 매칭이 표본을 반복적으로 좁혀갈수록(캘리퍼를 좁힐수록) 오히려 불균형이 커지는 역설(propensity score paradox)이 발생할 수 있으며 마할라노비스 거리 매칭이나 정밀매칭(CEM)이 나을 수 있다고 주장한다. 본 연구는 이 비판을 인지하여, 매칭변수 중 범주형 변수(학교유형·지역)는 사실상 정밀매칭에 가깝게(동일 범주 내 매칭을 우선) 운용하고, 균형진단표를 결과와 함께 반드시 병기함으로써 King &amp; Nielsen의 우려를 사후적으로 점검 가능하게 한다.</w:t>
      </w:r>
    </w:p>
    <w:p>
      <w:pPr>
        <w:pStyle w:val="Heading3"/>
        <w:spacing w:after="160" w:before="300"/>
      </w:pPr>
      <w:r>
        <w:rPr>
          <w:rFonts w:ascii="맑은 고딕" w:cs="맑은 고딕" w:eastAsia="맑은 고딕" w:hAnsi="맑은 고딕"/>
        </w:rPr>
        <w:t xml:space="preserve">8. 이중차분(DiD)과 최근 계량경제학 문헌 — 기원·수식·적용</w:t>
      </w:r>
    </w:p>
    <w:p>
      <w:pPr>
        <w:spacing w:after="200"/>
      </w:pPr>
      <w:r>
        <w:rPr>
          <w:rFonts w:ascii="맑은 고딕" w:cs="맑은 고딕" w:eastAsia="맑은 고딕" w:hAnsi="맑은 고딕"/>
          <w:b/>
          <w:bCs/>
        </w:rPr>
        <w:t xml:space="preserve">기원과 발전.</w:t>
      </w:r>
      <w:r>
        <w:rPr>
          <w:rFonts w:ascii="맑은 고딕" w:cs="맑은 고딕" w:eastAsia="맑은 고딕" w:hAnsi="맑은 고딕"/>
        </w:rPr>
        <w:t xml:space="preserve"> DiD의 원형은 오래되었으나 현대적 응용의 전범은 Card &amp; Krueger(1994)의 최저임금-고용 연구다. 2020년 전후로 계량경제학계는 처치시점이 개체마다 다른 "staggered adoption" 설계에서 표준적인 이원고정효과(TWFE) 회귀가 심각하게 편향될 수 있음을 잇달아 규명했다. Goodman-Bacon(2021)은 TWFE 추정량이 사실상 모든 2×2 DiD 비교의 가중평균이며, 이미 처치받은 집단을 비교집단으로 쓰는 "금지된 비교(forbidden comparison)"가 섞여 들어가 효과가 이질적이면 일부 비교에 음(-)의 가중치가 걸릴 수 있음을 분해식으로 보였다. 같은 문제를 de Chaisemartin &amp; D'Haultfœuille(2020), Sun &amp; Abraham(2021)이 각각 다른 해법으로 제시했고, Callaway &amp; Sant'Anna(2021)는 "아직 처치받지 않은 집단"만을 비교집단으로 쓰는 </w:t>
      </w:r>
      <w:r>
        <w:rPr>
          <w:rFonts w:ascii="Cambria Math" w:cs="Cambria Math" w:eastAsia="Cambria Math" w:hAnsi="Cambria Math"/>
          <w:i/>
          <w:iCs/>
        </w:rPr>
        <w:t xml:space="preserve">ATT(g,t)</w:t>
      </w:r>
      <w:r>
        <w:rPr>
          <w:rFonts w:ascii="맑은 고딕" w:cs="맑은 고딕" w:eastAsia="맑은 고딕" w:hAnsi="맑은 고딕"/>
        </w:rPr>
        <w:t xml:space="preserve"> 틀을 제안했다(본 연구 채택). Roth, Sant'Anna, Bilinski &amp; Poe(2023)의 종합리뷰(Journal of Econometrics)는 이 문헌 전체를 정리한 표준 참고문헌이다.</w:t>
      </w:r>
    </w:p>
    <w:p>
      <w:pPr>
        <w:spacing w:after="200"/>
      </w:pPr>
      <w:r>
        <w:rPr>
          <w:rFonts w:ascii="맑은 고딕" w:cs="맑은 고딕" w:eastAsia="맑은 고딕" w:hAnsi="맑은 고딕"/>
          <w:b/>
          <w:bCs/>
        </w:rPr>
        <w:t xml:space="preserve">수학적 정식화.</w:t>
      </w:r>
      <w:r>
        <w:rPr>
          <w:rFonts w:ascii="맑은 고딕" w:cs="맑은 고딕" w:eastAsia="맑은 고딕" w:hAnsi="맑은 고딕"/>
        </w:rPr>
        <w:t xml:space="preserve"> 전통적 2×2 DiD는 </w:t>
      </w:r>
      <w:r>
        <w:rPr>
          <w:rFonts w:ascii="Cambria Math" w:cs="Cambria Math" w:eastAsia="Cambria Math" w:hAnsi="Cambria Math"/>
          <w:i/>
          <w:iCs/>
        </w:rPr>
        <w:t xml:space="preserve">Y_{it}=\beta_0+\beta_1 Post_t+\beta_2 D_i+\beta_3(Post_t\times D_i)+\epsilon_{it}</w:t>
      </w:r>
      <w:r>
        <w:rPr>
          <w:rFonts w:ascii="맑은 고딕" w:cs="맑은 고딕" w:eastAsia="맑은 고딕" w:hAnsi="맑은 고딕"/>
        </w:rPr>
        <w:t xml:space="preserve">이며 </w:t>
      </w:r>
      <w:r>
        <w:rPr>
          <w:rFonts w:ascii="Cambria Math" w:cs="Cambria Math" w:eastAsia="Cambria Math" w:hAnsi="Cambria Math"/>
          <w:i/>
          <w:iCs/>
        </w:rPr>
        <w:t xml:space="preserve">\beta_3</w:t>
      </w:r>
      <w:r>
        <w:rPr>
          <w:rFonts w:ascii="맑은 고딕" w:cs="맑은 고딕" w:eastAsia="맑은 고딕" w:hAnsi="맑은 고딕"/>
        </w:rPr>
        <w:t xml:space="preserve">이 효과다. Callaway &amp; Sant'Anna(2021)의 확장은 각 처치개시집단 </w:t>
      </w:r>
      <w:r>
        <w:rPr>
          <w:rFonts w:ascii="Cambria Math" w:cs="Cambria Math" w:eastAsia="Cambria Math" w:hAnsi="Cambria Math"/>
          <w:i/>
          <w:iCs/>
        </w:rPr>
        <w:t xml:space="preserve">g</w:t>
      </w:r>
      <w:r>
        <w:rPr>
          <w:rFonts w:ascii="맑은 고딕" w:cs="맑은 고딕" w:eastAsia="맑은 고딕" w:hAnsi="맑은 고딕"/>
        </w:rPr>
        <w:t xml:space="preserve">와 시점 </w:t>
      </w:r>
      <w:r>
        <w:rPr>
          <w:rFonts w:ascii="Cambria Math" w:cs="Cambria Math" w:eastAsia="Cambria Math" w:hAnsi="Cambria Math"/>
          <w:i/>
          <w:iCs/>
        </w:rPr>
        <w:t xml:space="preserve">t</w:t>
      </w:r>
      <w:r>
        <w:rPr>
          <w:rFonts w:ascii="맑은 고딕" w:cs="맑은 고딕" w:eastAsia="맑은 고딕" w:hAnsi="맑은 고딕"/>
        </w:rPr>
        <w:t xml:space="preserve">에 대해 </w:t>
      </w:r>
      <w:r>
        <w:rPr>
          <w:rFonts w:ascii="Cambria Math" w:cs="Cambria Math" w:eastAsia="Cambria Math" w:hAnsi="Cambria Math"/>
          <w:i/>
          <w:iCs/>
        </w:rPr>
        <w:t xml:space="preserve">ATT(g,t)=E[Y_t(g)-Y_t(0)\mid G=g]-E[Y_t(g)-Y_t(0)\mid G=\infty]_{t&lt;g}</w:t>
      </w:r>
      <w:r>
        <w:rPr>
          <w:rFonts w:ascii="맑은 고딕" w:cs="맑은 고딕" w:eastAsia="맑은 고딕" w:hAnsi="맑은 고딕"/>
        </w:rPr>
        <w:t xml:space="preserve">(기준시점 대비)로 정의하고, 이를 "동적(dynamic)" 집계(event-time별 평균) 또는 "단순(simple)" 집계(전체 평균)로 요약한다. 평행추세 가정의 민감도는 Rambachan &amp; Roth(2022)의 상대적크기(relative magnitude) 접근으로 정량화하며, 사후기간 위반폭이 사전기간 최대위반폭의 </w:t>
      </w:r>
      <w:r>
        <w:rPr>
          <w:rFonts w:ascii="Cambria Math" w:cs="Cambria Math" w:eastAsia="Cambria Math" w:hAnsi="Cambria Math"/>
          <w:i/>
          <w:iCs/>
        </w:rPr>
        <w:t xml:space="preserve">\bar M</w:t>
      </w:r>
      <w:r>
        <w:rPr>
          <w:rFonts w:ascii="맑은 고딕" w:cs="맑은 고딕" w:eastAsia="맑은 고딕" w:hAnsi="맑은 고딕"/>
        </w:rPr>
        <w:t xml:space="preserve">배를 넘지 않는다는 제약 아래 결론이 유지되는 최대 </w:t>
      </w:r>
      <w:r>
        <w:rPr>
          <w:rFonts w:ascii="Cambria Math" w:cs="Cambria Math" w:eastAsia="Cambria Math" w:hAnsi="Cambria Math"/>
          <w:i/>
          <w:iCs/>
        </w:rPr>
        <w:t xml:space="preserve">\bar M</w:t>
      </w:r>
      <w:r>
        <w:rPr>
          <w:rFonts w:ascii="맑은 고딕" w:cs="맑은 고딕" w:eastAsia="맑은 고딕" w:hAnsi="맑은 고딕"/>
        </w:rPr>
        <w:t xml:space="preserve">을 보고한다.</w:t>
      </w:r>
    </w:p>
    <w:p>
      <w:pPr>
        <w:spacing w:after="200"/>
      </w:pPr>
      <w:r>
        <w:rPr>
          <w:rFonts w:ascii="맑은 고딕" w:cs="맑은 고딕" w:eastAsia="맑은 고딕" w:hAnsi="맑은 고딕"/>
          <w:b/>
          <w:bCs/>
        </w:rPr>
        <w:t xml:space="preserve">본 연구에의 적용과 한계 — 정직한 평가.</w:t>
      </w:r>
      <w:r>
        <w:rPr>
          <w:rFonts w:ascii="맑은 고딕" w:cs="맑은 고딕" w:eastAsia="맑은 고딕" w:hAnsi="맑은 고딕"/>
        </w:rPr>
        <w:t xml:space="preserve"> 도제학교 분석(Ⅵ.3절)은 이 문헌의 표준 처방(Callaway–Sant'Anna, honestDiD)을 따르지만, 우리 패널이 졸업 코호트-연도 세 시점(2015·2020·2023)뿐이라는 점에서 이 문헌이 상정하는 "다수의 연간 관측치" 상황과는 다르다. 이 구조적 차이가 결과 해석에 미치는 함의는 Ⅵ.3.9절(결과 해석 가이드)에서 구체적으로 다룬다. Roth(2022)의 "Pretest with Caution"은 사전추세 검정 자체가 낮은 검정력으로 인해 위험을 완전히 걸러내지 못한다고 경고하는데, 이는 우리처럼 사전시점이 애초에 하나뿐이어서 검정 자체가 불가능한 경우에도 "검정을 못 했다"는 사실이 생각보다 치명적이지 않을 수 있음을 시사한다 — 어차피 검정력이 낮은 사전추세 검정을 통과한 연구도 사후에 추세가 깨지는 사례가 드물지 않기 때문이다. 다만 이는 결측의 정당화가 아니라 honestDiD 민감도 분석을 반드시 병행해야 하는 이유로 읽어야 한다.</w:t>
      </w:r>
    </w:p>
    <w:p>
      <w:pPr>
        <w:pStyle w:val="Heading3"/>
        <w:spacing w:after="160" w:before="300"/>
      </w:pPr>
      <w:r>
        <w:rPr>
          <w:rFonts w:ascii="맑은 고딕" w:cs="맑은 고딕" w:eastAsia="맑은 고딕" w:hAnsi="맑은 고딕"/>
        </w:rPr>
        <w:t xml:space="preserve">9. 설명가능 AI(SHAP) — 기원·수식·적용, 그리고 인과추론과의 경계</w:t>
      </w:r>
    </w:p>
    <w:p>
      <w:pPr>
        <w:spacing w:after="200"/>
      </w:pPr>
      <w:r>
        <w:rPr>
          <w:rFonts w:ascii="맑은 고딕" w:cs="맑은 고딕" w:eastAsia="맑은 고딕" w:hAnsi="맑은 고딕"/>
          <w:b/>
          <w:bCs/>
        </w:rPr>
        <w:t xml:space="preserve">기원과 발전.</w:t>
      </w:r>
      <w:r>
        <w:rPr>
          <w:rFonts w:ascii="맑은 고딕" w:cs="맑은 고딕" w:eastAsia="맑은 고딕" w:hAnsi="맑은 고딕"/>
        </w:rPr>
        <w:t xml:space="preserve"> Shapley(1953)가 협조게임이론에서 제안한 배분규칙(Shapley value)을 Lundberg &amp; Lee(2017)가 기계학습 예측모형의 개별 특성기여도 산출에 이식해 SHAP(SHapley Additive exPlanations)를 제안했다. Lundberg 외(2020)의 TreeSHAP은 트리기반 모형(random forest 포함)에서 정확한 Shapley 값을 다항식 시간에 계산하는 알고리즘을 제시해 본 연구가 쓰는 </w:t>
      </w:r>
      <w:r>
        <w:rPr>
          <w:rFonts w:ascii="Consolas" w:cs="Consolas" w:eastAsia="Consolas" w:hAnsi="Consolas"/>
          <w:sz w:val="19"/>
          <w:szCs w:val="19"/>
        </w:rPr>
        <w:t xml:space="preserve">fastshap</w:t>
      </w:r>
      <w:r>
        <w:rPr>
          <w:rFonts w:ascii="맑은 고딕" w:cs="맑은 고딕" w:eastAsia="맑은 고딕" w:hAnsi="맑은 고딕"/>
        </w:rPr>
        <w:t xml:space="preserve">/</w:t>
      </w:r>
      <w:r>
        <w:rPr>
          <w:rFonts w:ascii="Consolas" w:cs="Consolas" w:eastAsia="Consolas" w:hAnsi="Consolas"/>
          <w:sz w:val="19"/>
          <w:szCs w:val="19"/>
        </w:rPr>
        <w:t xml:space="preserve">shapviz</w:t>
      </w:r>
      <w:r>
        <w:rPr>
          <w:rFonts w:ascii="맑은 고딕" w:cs="맑은 고딕" w:eastAsia="맑은 고딕" w:hAnsi="맑은 고딕"/>
        </w:rPr>
        <w:t xml:space="preserve">류 구현의 토대가 되었다.</w:t>
      </w:r>
    </w:p>
    <w:p>
      <w:pPr>
        <w:spacing w:after="200"/>
      </w:pPr>
      <w:r>
        <w:rPr>
          <w:rFonts w:ascii="맑은 고딕" w:cs="맑은 고딕" w:eastAsia="맑은 고딕" w:hAnsi="맑은 고딕"/>
          <w:b/>
          <w:bCs/>
        </w:rPr>
        <w:t xml:space="preserve">수학적 정식화.</w:t>
      </w:r>
      <w:r>
        <w:rPr>
          <w:rFonts w:ascii="맑은 고딕" w:cs="맑은 고딕" w:eastAsia="맑은 고딕" w:hAnsi="맑은 고딕"/>
        </w:rPr>
        <w:t xml:space="preserve"> 특성 </w:t>
      </w:r>
      <w:r>
        <w:rPr>
          <w:rFonts w:ascii="Cambria Math" w:cs="Cambria Math" w:eastAsia="Cambria Math" w:hAnsi="Cambria Math"/>
          <w:i/>
          <w:iCs/>
        </w:rPr>
        <w:t xml:space="preserve">j</w:t>
      </w:r>
      <w:r>
        <w:rPr>
          <w:rFonts w:ascii="맑은 고딕" w:cs="맑은 고딕" w:eastAsia="맑은 고딕" w:hAnsi="맑은 고딕"/>
        </w:rPr>
        <w:t xml:space="preserve">의 Shapley 값은 </w:t>
      </w:r>
      <w:r>
        <w:rPr>
          <w:rFonts w:ascii="Cambria Math" w:cs="Cambria Math" w:eastAsia="Cambria Math" w:hAnsi="Cambria Math"/>
          <w:i/>
          <w:iCs/>
        </w:rPr>
        <w:t xml:space="preserve">\phi_j=\sum_{S\subseteq F\setminus\{j\}}\dfrac{|S|!(|F|-|S|-1)!}{|F|!}\left[f(S\cup\{j\})-f(S)\right]</w:t>
      </w:r>
      <w:r>
        <w:rPr>
          <w:rFonts w:ascii="맑은 고딕" w:cs="맑은 고딕" w:eastAsia="맑은 고딕" w:hAnsi="맑은 고딕"/>
        </w:rPr>
        <w:t xml:space="preserve">이며, 이는 특성 </w:t>
      </w:r>
      <w:r>
        <w:rPr>
          <w:rFonts w:ascii="Cambria Math" w:cs="Cambria Math" w:eastAsia="Cambria Math" w:hAnsi="Cambria Math"/>
          <w:i/>
          <w:iCs/>
        </w:rPr>
        <w:t xml:space="preserve">j</w:t>
      </w:r>
      <w:r>
        <w:rPr>
          <w:rFonts w:ascii="맑은 고딕" w:cs="맑은 고딕" w:eastAsia="맑은 고딕" w:hAnsi="맑은 고딕"/>
        </w:rPr>
        <w:t xml:space="preserve">가 "다른 특성들의 모든 가능한 부분집합에 추가되었을 때" 예측값에 기여하는 정도를 조합론적으로 평균한 것이다. 이 값은 </w:t>
      </w:r>
      <w:r>
        <w:rPr>
          <w:rFonts w:ascii="Cambria Math" w:cs="Cambria Math" w:eastAsia="Cambria Math" w:hAnsi="Cambria Math"/>
          <w:i/>
          <w:iCs/>
        </w:rPr>
        <w:t xml:space="preserve">f(x)=\phi_0+\sum_j\phi_j</w:t>
      </w:r>
      <w:r>
        <w:rPr>
          <w:rFonts w:ascii="맑은 고딕" w:cs="맑은 고딕" w:eastAsia="맑은 고딕" w:hAnsi="맑은 고딕"/>
        </w:rPr>
        <w:t xml:space="preserve">로 예측값을 정확히 분해하는 유일한(unique) 배분규칙이라는 것이 Shapley(1953)의 공리적 증명의 핵심이다.</w:t>
      </w:r>
    </w:p>
    <w:p>
      <w:pPr>
        <w:spacing w:after="200"/>
      </w:pPr>
      <w:r>
        <w:rPr>
          <w:rFonts w:ascii="맑은 고딕" w:cs="맑은 고딕" w:eastAsia="맑은 고딕" w:hAnsi="맑은 고딕"/>
          <w:b/>
          <w:bCs/>
        </w:rPr>
        <w:t xml:space="preserve">인과추론과의 경계 — 왜 이 분석은 축2에만 있고 축3에는 없는가.</w:t>
      </w:r>
      <w:r>
        <w:rPr>
          <w:rFonts w:ascii="맑은 고딕" w:cs="맑은 고딕" w:eastAsia="맑은 고딕" w:hAnsi="맑은 고딕"/>
        </w:rPr>
        <w:t xml:space="preserve"> Kumar, Venkatasubramanian, Scheidegger &amp; Friedler(2020)는 "Problems with Shapley-value-based explanations as feature importance measures"(ICML)에서 SHAP 값이 예측모형 </w:t>
      </w:r>
      <w:r>
        <w:rPr>
          <w:rFonts w:ascii="Cambria Math" w:cs="Cambria Math" w:eastAsia="Cambria Math" w:hAnsi="Cambria Math"/>
          <w:i/>
          <w:iCs/>
        </w:rPr>
        <w:t xml:space="preserve">f</w:t>
      </w:r>
      <w:r>
        <w:rPr>
          <w:rFonts w:ascii="맑은 고딕" w:cs="맑은 고딕" w:eastAsia="맑은 고딕" w:hAnsi="맑은 고딕"/>
        </w:rPr>
        <w:t xml:space="preserve">의 내부 상관구조에 의존하므로, 두 특성이 상관되어 있으면 실제로 결과에 영향을 주지 않는 특성에도 0이 아닌 기여도가 할당될 수 있음을 지적한다. 이는 Ⅴ.4절의 caveat(SHAP≠인과효과)을 뒷받침하는 방법론적 근거이며, 본 연구가 SHAP을 축3(정책효과)이 아니라 축2(예측적·탐색적 분석)에만 배치한 이유이기도 하다.</w:t>
      </w:r>
    </w:p>
    <w:p>
      <w:pPr>
        <w:pStyle w:val="Heading3"/>
        <w:spacing w:after="160" w:before="300"/>
      </w:pPr>
      <w:r>
        <w:rPr>
          <w:rFonts w:ascii="맑은 고딕" w:cs="맑은 고딕" w:eastAsia="맑은 고딕" w:hAnsi="맑은 고딕"/>
        </w:rPr>
        <w:t xml:space="preserve">10. 엔트로피 다양성 지수 — 기원·수식·적용</w:t>
      </w:r>
    </w:p>
    <w:p>
      <w:pPr>
        <w:spacing w:after="200"/>
      </w:pPr>
      <w:r>
        <w:rPr>
          <w:rFonts w:ascii="맑은 고딕" w:cs="맑은 고딕" w:eastAsia="맑은 고딕" w:hAnsi="맑은 고딕"/>
        </w:rPr>
        <w:t xml:space="preserve">Shannon(1948)의 정보이론적 엔트로피 </w:t>
      </w:r>
      <w:r>
        <w:rPr>
          <w:rFonts w:ascii="Cambria Math" w:cs="Cambria Math" w:eastAsia="Cambria Math" w:hAnsi="Cambria Math"/>
          <w:i/>
          <w:iCs/>
        </w:rPr>
        <w:t xml:space="preserve">H=-\sum_k p_k\log p_k</w:t>
      </w:r>
      <w:r>
        <w:rPr>
          <w:rFonts w:ascii="맑은 고딕" w:cs="맑은 고딕" w:eastAsia="맑은 고딕" w:hAnsi="맑은 고딕"/>
        </w:rPr>
        <w:t xml:space="preserve">는 산업경제학에서 기업의 사업다각화 정도를 측정하는 지표로 변형되어 쓰여 왔다(Jacquemin &amp; Berry, 1979의 엔트로피 다각화 지수). 본 연구의 </w:t>
      </w:r>
      <w:r>
        <w:rPr>
          <w:rFonts w:ascii="Cambria Math" w:cs="Cambria Math" w:eastAsia="Cambria Math" w:hAnsi="Cambria Math"/>
          <w:i/>
          <w:iCs/>
        </w:rPr>
        <w:t xml:space="preserve">H_m=-\sum_o p_{o|m}\log p_{o|m}</w:t>
      </w:r>
      <w:r>
        <w:rPr>
          <w:rFonts w:ascii="맑은 고딕" w:cs="맑은 고딕" w:eastAsia="맑은 고딕" w:hAnsi="맑은 고딕"/>
        </w:rPr>
        <w:t xml:space="preserve">(Ⅴ.3절)은 이 다각화 지수를 "기업의 매출이 여러 사업부문에 분산된 정도"에서 "전공의 졸업생이 여러 직종에 분산 흡수되는 정도"로 유비적으로 차용한 것이다. Herfindahl-Hirschman 지수(시장집중도)의 log변환 버전으로 이해할 수도 있으며, </w:t>
      </w:r>
      <w:r>
        <w:rPr>
          <w:rFonts w:ascii="Cambria Math" w:cs="Cambria Math" w:eastAsia="Cambria Math" w:hAnsi="Cambria Math"/>
          <w:i/>
          <w:iCs/>
        </w:rPr>
        <w:t xml:space="preserve">H_m=0</w:t>
      </w:r>
      <w:r>
        <w:rPr>
          <w:rFonts w:ascii="맑은 고딕" w:cs="맑은 고딕" w:eastAsia="맑은 고딕" w:hAnsi="맑은 고딕"/>
        </w:rPr>
        <w:t xml:space="preserve">은 완전 종속(단일 직종 독점), </w:t>
      </w:r>
      <w:r>
        <w:rPr>
          <w:rFonts w:ascii="Cambria Math" w:cs="Cambria Math" w:eastAsia="Cambria Math" w:hAnsi="Cambria Math"/>
          <w:i/>
          <w:iCs/>
        </w:rPr>
        <w:t xml:space="preserve">H_m=\log(K)</w:t>
      </w:r>
      <w:r>
        <w:rPr>
          <w:rFonts w:ascii="맑은 고딕" w:cs="맑은 고딕" w:eastAsia="맑은 고딕" w:hAnsi="맑은 고딕"/>
        </w:rPr>
        <w:t xml:space="preserve">(</w:t>
      </w:r>
      <w:r>
        <w:rPr>
          <w:rFonts w:ascii="Cambria Math" w:cs="Cambria Math" w:eastAsia="Cambria Math" w:hAnsi="Cambria Math"/>
          <w:i/>
          <w:iCs/>
        </w:rPr>
        <w:t xml:space="preserve">K</w:t>
      </w:r>
      <w:r>
        <w:rPr>
          <w:rFonts w:ascii="맑은 고딕" w:cs="맑은 고딕" w:eastAsia="맑은 고딕" w:hAnsi="맑은 고딕"/>
        </w:rPr>
        <w:t xml:space="preserve">=직종 수)는 완전 균등분산을 뜻한다.</w:t>
      </w:r>
    </w:p>
    <w:p>
      <w:pPr>
        <w:pBdr>
          <w:bottom w:val="single" w:color="999999" w:sz="6"/>
        </w:pBdr>
        <w:spacing w:after="300" w:before="100"/>
      </w:pPr>
      <w:r>
        <w:t xml:space="preserve"/>
      </w:r>
    </w:p>
    <w:p>
      <w:pPr>
        <w:pStyle w:val="Heading2"/>
        <w:spacing w:after="160" w:before="300"/>
      </w:pPr>
      <w:r>
        <w:rPr>
          <w:rFonts w:ascii="맑은 고딕" w:cs="맑은 고딕" w:eastAsia="맑은 고딕" w:hAnsi="맑은 고딕"/>
        </w:rPr>
        <w:t xml:space="preserve">III. 자료 및 연구설계 공통사항</w:t>
      </w:r>
    </w:p>
    <w:p>
      <w:pPr>
        <w:pStyle w:val="Heading3"/>
        <w:spacing w:after="160" w:before="300"/>
      </w:pPr>
      <w:r>
        <w:rPr>
          <w:rFonts w:ascii="맑은 고딕" w:cs="맑은 고딕" w:eastAsia="맑은 고딕" w:hAnsi="맑은 고딕"/>
        </w:rPr>
        <w:t xml:space="preserve">1. 자료연계 구조</w:t>
      </w:r>
    </w:p>
    <w:p>
      <w:pPr>
        <w:pStyle w:val="ListParagraph"/>
        <w:numPr>
          <w:ilvl w:val="0"/>
          <w:numId w:val="1"/>
        </w:numPr>
        <w:spacing w:after="100"/>
      </w:pPr>
      <w:r>
        <w:rPr>
          <w:rFonts w:ascii="맑은 고딕" w:cs="맑은 고딕" w:eastAsia="맑은 고딕" w:hAnsi="맑은 고딕"/>
          <w:b/>
          <w:bCs/>
        </w:rPr>
        <w:t xml:space="preserve">자료 제공기관:</w:t>
      </w:r>
      <w:r>
        <w:rPr>
          <w:rFonts w:ascii="맑은 고딕" w:cs="맑은 고딕" w:eastAsia="맑은 고딕" w:hAnsi="맑은 고딕"/>
        </w:rPr>
        <w:t xml:space="preserve"> 시·도교육청(NEIS 학생·학교정보), 한국교육개발원(KEDI, 직업계고 취업통계·고등교육통계), 근로복지공단(고용보험DB 자격·사업장·보수)</w:t>
      </w:r>
    </w:p>
    <w:p>
      <w:pPr>
        <w:pStyle w:val="ListParagraph"/>
        <w:numPr>
          <w:ilvl w:val="0"/>
          <w:numId w:val="1"/>
        </w:numPr>
        <w:spacing w:after="100"/>
      </w:pPr>
      <w:r>
        <w:rPr>
          <w:rFonts w:ascii="맑은 고딕" w:cs="맑은 고딕" w:eastAsia="맑은 고딕" w:hAnsi="맑은 고딕"/>
          <w:b/>
          <w:bCs/>
        </w:rPr>
        <w:t xml:space="preserve">연계정보 생성기관:</w:t>
      </w:r>
      <w:r>
        <w:rPr>
          <w:rFonts w:ascii="맑은 고딕" w:cs="맑은 고딕" w:eastAsia="맑은 고딕" w:hAnsi="맑은 고딕"/>
        </w:rPr>
        <w:t xml:space="preserve"> 한국인터넷진흥원(KISA) — 결합키(성명+성별+생년월일) 연계정보 생성</w:t>
      </w:r>
    </w:p>
    <w:p>
      <w:pPr>
        <w:pStyle w:val="ListParagraph"/>
        <w:numPr>
          <w:ilvl w:val="0"/>
          <w:numId w:val="1"/>
        </w:numPr>
        <w:spacing w:after="100"/>
      </w:pPr>
      <w:r>
        <w:rPr>
          <w:rFonts w:ascii="맑은 고딕" w:cs="맑은 고딕" w:eastAsia="맑은 고딕" w:hAnsi="맑은 고딕"/>
          <w:b/>
          <w:bCs/>
        </w:rPr>
        <w:t xml:space="preserve">결합전문기관:</w:t>
      </w:r>
      <w:r>
        <w:rPr>
          <w:rFonts w:ascii="맑은 고딕" w:cs="맑은 고딕" w:eastAsia="맑은 고딕" w:hAnsi="맑은 고딕"/>
        </w:rPr>
        <w:t xml:space="preserve"> 한국교육학술정보원(KERIS) — 분석 대상 정보 결합, 적정성·반출심사</w:t>
      </w:r>
    </w:p>
    <w:p>
      <w:pPr>
        <w:pStyle w:val="ListParagraph"/>
        <w:numPr>
          <w:ilvl w:val="0"/>
          <w:numId w:val="1"/>
        </w:numPr>
        <w:spacing w:after="100"/>
      </w:pPr>
      <w:r>
        <w:rPr>
          <w:rFonts w:ascii="맑은 고딕" w:cs="맑은 고딕" w:eastAsia="맑은 고딕" w:hAnsi="맑은 고딕"/>
          <w:b/>
          <w:bCs/>
        </w:rPr>
        <w:t xml:space="preserve">연구기관:</w:t>
      </w:r>
      <w:r>
        <w:rPr>
          <w:rFonts w:ascii="맑은 고딕" w:cs="맑은 고딕" w:eastAsia="맑은 고딕" w:hAnsi="맑은 고딕"/>
        </w:rPr>
        <w:t xml:space="preserve"> 고려대학교 공공정책연구소 — 승인된 가명 식별자·성별·교육·고용 자료로 분석파일 구축</w:t>
      </w:r>
    </w:p>
    <w:p>
      <w:pPr>
        <w:pStyle w:val="ListParagraph"/>
        <w:numPr>
          <w:ilvl w:val="0"/>
          <w:numId w:val="1"/>
        </w:numPr>
        <w:spacing w:after="100"/>
      </w:pPr>
      <w:r>
        <w:rPr>
          <w:rFonts w:ascii="맑은 고딕" w:cs="맑은 고딕" w:eastAsia="맑은 고딕" w:hAnsi="맑은 고딕"/>
          <w:b/>
          <w:bCs/>
        </w:rPr>
        <w:t xml:space="preserve">분석환경:</w:t>
      </w:r>
      <w:r>
        <w:rPr>
          <w:rFonts w:ascii="맑은 고딕" w:cs="맑은 고딕" w:eastAsia="맑은 고딕" w:hAnsi="맑은 고딕"/>
        </w:rPr>
        <w:t xml:space="preserve"> KERIS 데이터 안심구역</w:t>
      </w:r>
    </w:p>
    <w:p>
      <w:pPr>
        <w:pStyle w:val="ListParagraph"/>
        <w:numPr>
          <w:ilvl w:val="0"/>
          <w:numId w:val="1"/>
        </w:numPr>
        <w:spacing w:after="100"/>
      </w:pPr>
      <w:r>
        <w:rPr>
          <w:rFonts w:ascii="맑은 고딕" w:cs="맑은 고딕" w:eastAsia="맑은 고딕" w:hAnsi="맑은 고딕"/>
          <w:b/>
          <w:bCs/>
        </w:rPr>
        <w:t xml:space="preserve">IRB:</w:t>
      </w:r>
      <w:r>
        <w:rPr>
          <w:rFonts w:ascii="맑은 고딕" w:cs="맑은 고딕" w:eastAsia="맑은 고딕" w:hAnsi="맑은 고딕"/>
        </w:rPr>
        <w:t xml:space="preserve"> 비심의 대상 확인(생명윤리법 제2조 제2항)</w:t>
      </w:r>
    </w:p>
    <w:p>
      <w:pPr>
        <w:pStyle w:val="Heading3"/>
        <w:spacing w:after="160" w:before="300"/>
      </w:pPr>
      <w:r>
        <w:rPr>
          <w:rFonts w:ascii="맑은 고딕" w:cs="맑은 고딕" w:eastAsia="맑은 고딕" w:hAnsi="맑은 고딕"/>
        </w:rPr>
        <w:t xml:space="preserve">2. 관찰기간 및 코호트별 자료 범위</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tblHeader/>
        </w:trPr>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코호트</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대표경로 도출·전체추적</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동일경과기간 비교</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교육이력 적용범위</w:t>
            </w:r>
          </w:p>
        </w:tc>
      </w:tr>
      <w:tr>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2015</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2015.4.1–2025.12.31 (129개월)</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2015.4–2017.12 (33개월)</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고등교육 이력 미제공</w:t>
            </w:r>
          </w:p>
        </w:tc>
      </w:tr>
      <w:tr>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2020</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2020.4.1–2025.12.31 (69개월)</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2020.4–2022.12 (33개월)</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2023–2025년 교육기록과 그 기록에서 식별되는 이전 교육구간</w:t>
            </w:r>
          </w:p>
        </w:tc>
      </w:tr>
      <w:tr>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2023</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2023.4.1–2025.12.31 (33개월)</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2023.4–2025.12 (33개월)</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2023–2025년 교육기록</w:t>
            </w:r>
          </w:p>
        </w:tc>
      </w:tr>
    </w:tbl>
    <w:p>
      <w:pPr>
        <w:spacing w:after="160"/>
      </w:pPr>
    </w:p>
    <w:p>
      <w:pPr>
        <w:pStyle w:val="Heading3"/>
        <w:spacing w:after="160" w:before="300"/>
      </w:pPr>
      <w:r>
        <w:rPr>
          <w:rFonts w:ascii="맑은 고딕" w:cs="맑은 고딕" w:eastAsia="맑은 고딕" w:hAnsi="맑은 고딕"/>
        </w:rPr>
        <w:t xml:space="preserve">3. 상태공간 정의 — 고용 채널과 교육 채널의 분리</w:t>
      </w:r>
    </w:p>
    <w:p>
      <w:pPr>
        <w:pBdr>
          <w:left w:val="single" w:color="888888" w:sz="12"/>
        </w:pBdr>
        <w:shd w:fill="F7F7F7" w:color="auto" w:val="clear"/>
        <w:spacing w:after="200" w:before="120"/>
        <w:ind w:left="400"/>
      </w:pPr>
      <w:r>
        <w:rPr>
          <w:rFonts w:ascii="맑은 고딕" w:cs="맑은 고딕" w:eastAsia="맑은 고딕" w:hAnsi="맑은 고딕"/>
          <w:b/>
          <w:bCs/>
          <w:i/>
          <w:iCs/>
        </w:rPr>
        <w:t xml:space="preserve">설계 원칙 개정(v2).</w:t>
      </w:r>
      <w:r>
        <w:rPr>
          <w:rFonts w:ascii="맑은 고딕" w:cs="맑은 고딕" w:eastAsia="맑은 고딕" w:hAnsi="맑은 고딕"/>
          <w:i/>
          <w:iCs/>
        </w:rPr>
        <w:t xml:space="preserve"> 초판은 고용상태(E/O)와 교육이력(C/U/R/A 등)을 하나의 시퀀스 알파벳에 함께 넣었다. 이는 측정 신뢰도가 다른 두 종류의 정보 — 고용보험 취득·상실일처럼 </w:t>
      </w:r>
      <w:r>
        <w:rPr>
          <w:rFonts w:ascii="맑은 고딕" w:cs="맑은 고딕" w:eastAsia="맑은 고딕" w:hAnsi="맑은 고딕"/>
          <w:b/>
          <w:bCs/>
          <w:i/>
          <w:iCs/>
        </w:rPr>
        <w:t xml:space="preserve">일 단위로 확정된 경성(hard) 관측</w:t>
      </w:r>
      <w:r>
        <w:rPr>
          <w:rFonts w:ascii="맑은 고딕" w:cs="맑은 고딕" w:eastAsia="맑은 고딕" w:hAnsi="맑은 고딕"/>
          <w:i/>
          <w:iCs/>
        </w:rPr>
        <w:t xml:space="preserve">과, 입학월–졸업월 사이를 보간해 만든 </w:t>
      </w:r>
      <w:r>
        <w:rPr>
          <w:rFonts w:ascii="맑은 고딕" w:cs="맑은 고딕" w:eastAsia="맑은 고딕" w:hAnsi="맑은 고딕"/>
          <w:b/>
          <w:bCs/>
          <w:i/>
          <w:iCs/>
        </w:rPr>
        <w:t xml:space="preserve">연성(soft) 추정구간</w:t>
      </w:r>
      <w:r>
        <w:rPr>
          <w:rFonts w:ascii="맑은 고딕" w:cs="맑은 고딕" w:eastAsia="맑은 고딕" w:hAnsi="맑은 고딕"/>
          <w:i/>
          <w:iCs/>
        </w:rPr>
        <w:t xml:space="preserve"> — 를 OM 편집거리에서 동일한 비용으로 비교하게 만드는 문제가 있다(예: E→O 전이와 E→EC 전이가 같은 치환비용 2로 처리됨). 이는 시퀀스분석의 다영역(multidomain) 자료 처리 원칙(Ritschard, Liao &amp; Struffolino, 2023 — Ⅱ장에서 인용)에 반하므로, 고용 채널과 교육 채널을 </w:t>
      </w:r>
      <w:r>
        <w:rPr>
          <w:rFonts w:ascii="맑은 고딕" w:cs="맑은 고딕" w:eastAsia="맑은 고딕" w:hAnsi="맑은 고딕"/>
          <w:b/>
          <w:bCs/>
          <w:i/>
          <w:iCs/>
        </w:rPr>
        <w:t xml:space="preserve">분리</w:t>
      </w:r>
      <w:r>
        <w:rPr>
          <w:rFonts w:ascii="맑은 고딕" w:cs="맑은 고딕" w:eastAsia="맑은 고딕" w:hAnsi="맑은 고딕"/>
          <w:i/>
          <w:iCs/>
        </w:rPr>
        <w:t xml:space="preserve">한다.</w:t>
      </w:r>
    </w:p>
    <w:p>
      <w:pPr>
        <w:spacing w:after="200"/>
      </w:pPr>
      <w:r>
        <w:rPr>
          <w:rFonts w:ascii="맑은 고딕" w:cs="맑은 고딕" w:eastAsia="맑은 고딕" w:hAnsi="맑은 고딕"/>
          <w:b/>
          <w:bCs/>
        </w:rPr>
        <w:t xml:space="preserve">(1) 고용 채널 — OM/PAM·사건사분석의 유일한 상태공간</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tblHeader/>
        </w:trPr>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코드</w:t>
            </w:r>
          </w:p>
        </w:tc>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상태</w:t>
            </w:r>
          </w:p>
        </w:tc>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판정 자료원</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E</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임금근로(고용보험 가입)</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근로복지공단 자격이력, 월말 유효가입 — 일 단위 경성 관측</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O</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고용이력 미관찰</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잔여범주. 실업·비경제활동으로 확정하지 않음</w:t>
            </w:r>
          </w:p>
        </w:tc>
      </w:tr>
    </w:tbl>
    <w:p>
      <w:pPr>
        <w:spacing w:after="160"/>
      </w:pPr>
    </w:p>
    <w:p>
      <w:pPr>
        <w:spacing w:after="200"/>
      </w:pPr>
      <w:r>
        <w:rPr>
          <w:rFonts w:ascii="맑은 고딕" w:cs="맑은 고딕" w:eastAsia="맑은 고딕" w:hAnsi="맑은 고딕"/>
        </w:rPr>
        <w:t xml:space="preserve">시퀀스분석(Ⅳ.3절)과 사건사분석(Ⅳ.4절)은 이 2상태 시퀀스만을 대상으로 한다. 경성 관측만 사용하므로 군집·사건시간 추정이 측정 신뢰도 문제로부터 자유롭다.</w:t>
      </w:r>
    </w:p>
    <w:p>
      <w:pPr>
        <w:spacing w:after="200"/>
      </w:pPr>
      <w:r>
        <w:rPr>
          <w:rFonts w:ascii="맑은 고딕" w:cs="맑은 고딕" w:eastAsia="맑은 고딕" w:hAnsi="맑은 고딕"/>
          <w:b/>
          <w:bCs/>
        </w:rPr>
        <w:t xml:space="preserve">(2) 교육 채널 — 별도 이벤트·구간 변수로 오버레이(중첩 표기하지 않음)</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tblHeader/>
        </w:trPr>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변수명</w:t>
            </w:r>
          </w:p>
        </w:tc>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정의</w:t>
            </w:r>
          </w:p>
        </w:tc>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자료원</w:t>
            </w:r>
          </w:p>
        </w:tc>
      </w:tr>
      <w:tr>
        <w:tc>
          <w:tcPr>
            <w:tcW w:type="dxa" w:w="3166"/>
            <w:tcMar>
              <w:top w:type="dxa" w:w="60"/>
              <w:left w:type="dxa" w:w="100"/>
              <w:bottom w:type="dxa" w:w="60"/>
              <w:right w:type="dxa" w:w="100"/>
            </w:tcMar>
          </w:tcPr>
          <w:p>
            <w:pPr>
              <w:spacing w:after="0"/>
            </w:pPr>
            <w:r>
              <w:rPr>
                <w:rFonts w:ascii="Consolas" w:cs="Consolas" w:eastAsia="Consolas" w:hAnsi="Consolas"/>
                <w:sz w:val="18"/>
                <w:szCs w:val="18"/>
              </w:rPr>
              <w:t xml:space="preserve">enroll_date</w:t>
            </w:r>
            <w:r>
              <w:rPr>
                <w:rFonts w:ascii="맑은 고딕" w:cs="맑은 고딕" w:eastAsia="맑은 고딕" w:hAnsi="맑은 고딕"/>
                <w:sz w:val="18"/>
                <w:szCs w:val="18"/>
              </w:rPr>
              <w:t xml:space="preserve">, </w:t>
            </w:r>
            <w:r>
              <w:rPr>
                <w:rFonts w:ascii="Consolas" w:cs="Consolas" w:eastAsia="Consolas" w:hAnsi="Consolas"/>
                <w:sz w:val="18"/>
                <w:szCs w:val="18"/>
              </w:rPr>
              <w:t xml:space="preserve">grad_date</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입학·졸업(또는 관측종료) 연월</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KEDI 고등교육통계(2020·2023 코호트만)</w:t>
            </w:r>
          </w:p>
        </w:tc>
      </w:tr>
      <w:tr>
        <w:tc>
          <w:tcPr>
            <w:tcW w:type="dxa" w:w="3166"/>
            <w:tcMar>
              <w:top w:type="dxa" w:w="60"/>
              <w:left w:type="dxa" w:w="100"/>
              <w:bottom w:type="dxa" w:w="60"/>
              <w:right w:type="dxa" w:w="100"/>
            </w:tcMar>
          </w:tcPr>
          <w:p>
            <w:pPr>
              <w:spacing w:after="0"/>
            </w:pPr>
            <w:r>
              <w:rPr>
                <w:rFonts w:ascii="Consolas" w:cs="Consolas" w:eastAsia="Consolas" w:hAnsi="Consolas"/>
                <w:sz w:val="18"/>
                <w:szCs w:val="18"/>
              </w:rPr>
              <w:t xml:space="preserve">college_type</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대학유형(전문대/일반대/원격대/기타)</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KEDI</w:t>
            </w:r>
          </w:p>
        </w:tc>
      </w:tr>
      <w:tr>
        <w:tc>
          <w:tcPr>
            <w:tcW w:type="dxa" w:w="3166"/>
            <w:tcMar>
              <w:top w:type="dxa" w:w="60"/>
              <w:left w:type="dxa" w:w="100"/>
              <w:bottom w:type="dxa" w:w="60"/>
              <w:right w:type="dxa" w:w="100"/>
            </w:tcMar>
          </w:tcPr>
          <w:p>
            <w:pPr>
              <w:spacing w:after="0"/>
            </w:pPr>
            <w:r>
              <w:rPr>
                <w:rFonts w:ascii="Consolas" w:cs="Consolas" w:eastAsia="Consolas" w:hAnsi="Consolas"/>
                <w:sz w:val="18"/>
                <w:szCs w:val="18"/>
              </w:rPr>
              <w:t xml:space="preserve">college_field2</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대학 전공(KSCED 대분류)</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KEDI</w:t>
            </w:r>
          </w:p>
        </w:tc>
      </w:tr>
    </w:tbl>
    <w:p>
      <w:pPr>
        <w:spacing w:after="160"/>
      </w:pPr>
    </w:p>
    <w:p>
      <w:pPr>
        <w:spacing w:after="200"/>
      </w:pPr>
      <w:r>
        <w:rPr>
          <w:rFonts w:ascii="맑은 고딕" w:cs="맑은 고딕" w:eastAsia="맑은 고딕" w:hAnsi="맑은 고딕"/>
        </w:rPr>
        <w:t xml:space="preserve">교육 채널은 고용 시퀀스와 같은 알파벳으로 병합하지 않고, </w:t>
      </w:r>
      <w:r>
        <w:rPr>
          <w:rFonts w:ascii="맑은 고딕" w:cs="맑은 고딕" w:eastAsia="맑은 고딕" w:hAnsi="맑은 고딕"/>
          <w:b/>
          <w:bCs/>
        </w:rPr>
        <w:t xml:space="preserve">입학·졸업이라는 사건(event)과 그 사이의 구간(interval)</w:t>
      </w:r>
      <w:r>
        <w:rPr>
          <w:rFonts w:ascii="맑은 고딕" w:cs="맑은 고딕" w:eastAsia="맑은 고딕" w:hAnsi="맑은 고딕"/>
        </w:rPr>
        <w:t xml:space="preserve">으로만 보고한다. Ⅳ장 결과에는 "고용 시퀀스"와 "교육 구간"을 시각적으로 병치(그림1 하단 보조 트랙)하되, 하나의 군집화 알고리즘에 투입하지 않는다. 2015 코호트는 고등교육 이력이 제공되지 않으므로 이 채널 자체가 존재하지 않는다.</w:t>
      </w:r>
    </w:p>
    <w:p>
      <w:pPr>
        <w:pStyle w:val="Heading3"/>
        <w:spacing w:after="160" w:before="300"/>
      </w:pPr>
      <w:r>
        <w:rPr>
          <w:rFonts w:ascii="맑은 고딕" w:cs="맑은 고딕" w:eastAsia="맑은 고딕" w:hAnsi="맑은 고딕"/>
        </w:rPr>
        <w:t xml:space="preserve">4. 변수사전 — 공통 인적·학교 특성 (모든 축에서 공유)</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변수명(작업용)</w:t>
            </w:r>
          </w:p>
        </w:tc>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유형</w:t>
            </w:r>
          </w:p>
        </w:tc>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정의</w:t>
            </w:r>
          </w:p>
        </w:tc>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코드·범위</w:t>
            </w:r>
          </w:p>
        </w:tc>
        <w:tc>
          <w:tcPr>
            <w:tcW w:type="dxa" w:w="1900"/>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출처</w:t>
            </w:r>
          </w:p>
        </w:tc>
      </w:tr>
      <w:tr>
        <w:tc>
          <w:tcPr>
            <w:tcW w:type="dxa" w:w="1900"/>
            <w:tcMar>
              <w:top w:type="dxa" w:w="60"/>
              <w:left w:type="dxa" w:w="100"/>
              <w:bottom w:type="dxa" w:w="60"/>
              <w:right w:type="dxa" w:w="100"/>
            </w:tcMar>
          </w:tcPr>
          <w:p>
            <w:pPr>
              <w:spacing w:after="0"/>
            </w:pPr>
            <w:r>
              <w:rPr>
                <w:rFonts w:ascii="Consolas" w:cs="Consolas" w:eastAsia="Consolas" w:hAnsi="Consolas"/>
                <w:sz w:val="18"/>
                <w:szCs w:val="18"/>
              </w:rPr>
              <w:t xml:space="preserve">person_id</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문자 ID</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가명 개인식별자</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승인된 가명 식별자</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KISA/KERIS 결합키 연계</w:t>
            </w:r>
          </w:p>
        </w:tc>
      </w:tr>
      <w:tr>
        <w:tc>
          <w:tcPr>
            <w:tcW w:type="dxa" w:w="1900"/>
            <w:tcMar>
              <w:top w:type="dxa" w:w="60"/>
              <w:left w:type="dxa" w:w="100"/>
              <w:bottom w:type="dxa" w:w="60"/>
              <w:right w:type="dxa" w:w="100"/>
            </w:tcMar>
          </w:tcPr>
          <w:p>
            <w:pPr>
              <w:spacing w:after="0"/>
            </w:pPr>
            <w:r>
              <w:rPr>
                <w:rFonts w:ascii="Consolas" w:cs="Consolas" w:eastAsia="Consolas" w:hAnsi="Consolas"/>
                <w:sz w:val="18"/>
                <w:szCs w:val="18"/>
              </w:rPr>
              <w:t xml:space="preserve">school_id</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문자 ID</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학교 가명코드</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NEIS 학교코드 기반</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NEIS</w:t>
            </w:r>
          </w:p>
        </w:tc>
      </w:tr>
      <w:tr>
        <w:tc>
          <w:tcPr>
            <w:tcW w:type="dxa" w:w="1900"/>
            <w:tcMar>
              <w:top w:type="dxa" w:w="60"/>
              <w:left w:type="dxa" w:w="100"/>
              <w:bottom w:type="dxa" w:w="60"/>
              <w:right w:type="dxa" w:w="100"/>
            </w:tcMar>
          </w:tcPr>
          <w:p>
            <w:pPr>
              <w:spacing w:after="0"/>
            </w:pPr>
            <w:r>
              <w:rPr>
                <w:rFonts w:ascii="Consolas" w:cs="Consolas" w:eastAsia="Consolas" w:hAnsi="Consolas"/>
                <w:sz w:val="18"/>
                <w:szCs w:val="18"/>
              </w:rPr>
              <w:t xml:space="preserve">cohort</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졸업 코호트</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2015/2020/2023</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명부</w:t>
            </w:r>
          </w:p>
        </w:tc>
      </w:tr>
      <w:tr>
        <w:tc>
          <w:tcPr>
            <w:tcW w:type="dxa" w:w="1900"/>
            <w:tcMar>
              <w:top w:type="dxa" w:w="60"/>
              <w:left w:type="dxa" w:w="100"/>
              <w:bottom w:type="dxa" w:w="60"/>
              <w:right w:type="dxa" w:w="100"/>
            </w:tcMar>
          </w:tcPr>
          <w:p>
            <w:pPr>
              <w:spacing w:after="0"/>
            </w:pPr>
            <w:r>
              <w:rPr>
                <w:rFonts w:ascii="Consolas" w:cs="Consolas" w:eastAsia="Consolas" w:hAnsi="Consolas"/>
                <w:sz w:val="18"/>
                <w:szCs w:val="18"/>
              </w:rPr>
              <w:t xml:space="preserve">hs_type</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학교유형</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1=특성화고, 2=마이스터고, 3=일반고 직업반</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NEIS</w:t>
            </w:r>
          </w:p>
        </w:tc>
      </w:tr>
      <w:tr>
        <w:tc>
          <w:tcPr>
            <w:tcW w:type="dxa" w:w="1900"/>
            <w:tcMar>
              <w:top w:type="dxa" w:w="60"/>
              <w:left w:type="dxa" w:w="100"/>
              <w:bottom w:type="dxa" w:w="60"/>
              <w:right w:type="dxa" w:w="100"/>
            </w:tcMar>
          </w:tcPr>
          <w:p>
            <w:pPr>
              <w:spacing w:after="0"/>
            </w:pPr>
            <w:r>
              <w:rPr>
                <w:rFonts w:ascii="Consolas" w:cs="Consolas" w:eastAsia="Consolas" w:hAnsi="Consolas"/>
                <w:sz w:val="18"/>
                <w:szCs w:val="18"/>
              </w:rPr>
              <w:t xml:space="preserve">hs_field2</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고교 전공(KSCED 대분류)</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00–10, M=결측</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NEIS(2015)/KEDI(2020·2023)</w:t>
            </w:r>
          </w:p>
        </w:tc>
      </w:tr>
      <w:tr>
        <w:tc>
          <w:tcPr>
            <w:tcW w:type="dxa" w:w="1900"/>
            <w:tcMar>
              <w:top w:type="dxa" w:w="60"/>
              <w:left w:type="dxa" w:w="100"/>
              <w:bottom w:type="dxa" w:w="60"/>
              <w:right w:type="dxa" w:w="100"/>
            </w:tcMar>
          </w:tcPr>
          <w:p>
            <w:pPr>
              <w:spacing w:after="0"/>
            </w:pPr>
            <w:r>
              <w:rPr>
                <w:rFonts w:ascii="Consolas" w:cs="Consolas" w:eastAsia="Consolas" w:hAnsi="Consolas"/>
                <w:sz w:val="18"/>
                <w:szCs w:val="18"/>
              </w:rPr>
              <w:t xml:space="preserve">hs_sido</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고교 소재 시도</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17개 시도코드</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NEIS</w:t>
            </w:r>
          </w:p>
        </w:tc>
      </w:tr>
      <w:tr>
        <w:tc>
          <w:tcPr>
            <w:tcW w:type="dxa" w:w="1900"/>
            <w:tcMar>
              <w:top w:type="dxa" w:w="60"/>
              <w:left w:type="dxa" w:w="100"/>
              <w:bottom w:type="dxa" w:w="60"/>
              <w:right w:type="dxa" w:w="100"/>
            </w:tcMar>
          </w:tcPr>
          <w:p>
            <w:pPr>
              <w:spacing w:after="0"/>
            </w:pPr>
            <w:r>
              <w:rPr>
                <w:rFonts w:ascii="Consolas" w:cs="Consolas" w:eastAsia="Consolas" w:hAnsi="Consolas"/>
                <w:sz w:val="18"/>
                <w:szCs w:val="18"/>
              </w:rPr>
              <w:t xml:space="preserve">sex</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성별</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1=남성, 2=여성</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결합키 공통항목</w:t>
            </w:r>
          </w:p>
        </w:tc>
      </w:tr>
      <w:tr>
        <w:tc>
          <w:tcPr>
            <w:tcW w:type="dxa" w:w="1900"/>
            <w:tcMar>
              <w:top w:type="dxa" w:w="60"/>
              <w:left w:type="dxa" w:w="100"/>
              <w:bottom w:type="dxa" w:w="60"/>
              <w:right w:type="dxa" w:w="100"/>
            </w:tcMar>
          </w:tcPr>
          <w:p>
            <w:pPr>
              <w:spacing w:after="0"/>
            </w:pPr>
            <w:r>
              <w:rPr>
                <w:rFonts w:ascii="Consolas" w:cs="Consolas" w:eastAsia="Consolas" w:hAnsi="Consolas"/>
                <w:sz w:val="18"/>
                <w:szCs w:val="18"/>
              </w:rPr>
              <w:t xml:space="preserve">ref_gainja</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이분</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기준일(4/1) 유효가입 여부</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1=기가입자, 0=미관찰자</w:t>
            </w:r>
          </w:p>
        </w:tc>
        <w:tc>
          <w:tcPr>
            <w:tcW w:type="dxa" w:w="1900"/>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근로복지공단</w:t>
            </w:r>
          </w:p>
        </w:tc>
      </w:tr>
    </w:tbl>
    <w:p>
      <w:pPr>
        <w:spacing w:after="160"/>
      </w:pPr>
    </w:p>
    <w:p>
      <w:pPr>
        <w:pStyle w:val="Heading3"/>
        <w:spacing w:after="160" w:before="300"/>
      </w:pPr>
      <w:r>
        <w:rPr>
          <w:rFonts w:ascii="맑은 고딕" w:cs="맑은 고딕" w:eastAsia="맑은 고딕" w:hAnsi="맑은 고딕"/>
        </w:rPr>
        <w:t xml:space="preserve">5. 세 분석축 개관 (마스터 표 v2 — 슬림화판)</w:t>
      </w:r>
    </w:p>
    <w:p>
      <w:pPr>
        <w:pBdr>
          <w:left w:val="single" w:color="888888" w:sz="12"/>
        </w:pBdr>
        <w:shd w:fill="F7F7F7" w:color="auto" w:val="clear"/>
        <w:spacing w:after="200" w:before="120"/>
        <w:ind w:left="400"/>
      </w:pPr>
      <w:r>
        <w:rPr>
          <w:rFonts w:ascii="맑은 고딕" w:cs="맑은 고딕" w:eastAsia="맑은 고딕" w:hAnsi="맑은 고딕"/>
          <w:i/>
          <w:iCs/>
        </w:rPr>
        <w:t xml:space="preserve">아래 표는 "쓸 수 있는 방법을 모두 나열"한 목록이 아니라 </w:t>
      </w:r>
      <w:r>
        <w:rPr>
          <w:rFonts w:ascii="맑은 고딕" w:cs="맑은 고딕" w:eastAsia="맑은 고딕" w:hAnsi="맑은 고딕"/>
          <w:b/>
          <w:bCs/>
          <w:i/>
          <w:iCs/>
        </w:rPr>
        <w:t xml:space="preserve">각 연구질문에 대해 채택한 방법을 하나씩만 고정</w:t>
      </w:r>
      <w:r>
        <w:rPr>
          <w:rFonts w:ascii="맑은 고딕" w:cs="맑은 고딕" w:eastAsia="맑은 고딕" w:hAnsi="맑은 고딕"/>
          <w:i/>
          <w:iCs/>
        </w:rPr>
        <w:t xml:space="preserve">한 결정표다. 각 축은 하나의 핵심 연구질문 문장으로 시작하고, 그 질문에 직접 답하지 않는 방법은 본문 결과에서 제외하고 부록·후속연구로 내린다(구체적 근거는 각 장 서두 참조).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83"/>
        <w:gridCol w:w="1583"/>
        <w:gridCol w:w="1583"/>
        <w:gridCol w:w="1583"/>
        <w:gridCol w:w="1583"/>
        <w:gridCol w:w="1583"/>
      </w:tblGrid>
      <w:tr>
        <w:trPr>
          <w:tblHeader/>
        </w:trPr>
        <w:tc>
          <w:tcPr>
            <w:tcW w:type="dxa" w:w="1583"/>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분석축</w:t>
            </w:r>
          </w:p>
        </w:tc>
        <w:tc>
          <w:tcPr>
            <w:tcW w:type="dxa" w:w="1583"/>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핵심 연구질문</w:t>
            </w:r>
          </w:p>
        </w:tc>
        <w:tc>
          <w:tcPr>
            <w:tcW w:type="dxa" w:w="1583"/>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주분석 방법</w:t>
            </w:r>
          </w:p>
        </w:tc>
        <w:tc>
          <w:tcPr>
            <w:tcW w:type="dxa" w:w="1583"/>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인식론적 지위</w:t>
            </w:r>
          </w:p>
        </w:tc>
        <w:tc>
          <w:tcPr>
            <w:tcW w:type="dxa" w:w="1583"/>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주 시각화</w:t>
            </w:r>
          </w:p>
        </w:tc>
        <w:tc>
          <w:tcPr>
            <w:tcW w:type="dxa" w:w="1583"/>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참여 코호트</w:t>
            </w:r>
          </w:p>
        </w:tc>
      </w:tr>
      <w:tr>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① 고용이행경로</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직업계고 졸업생은 언제 피보험고용에 진입하며, 이후 고용의 지속·중단·재진입은 어떤 경로로 나타나는가?</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기술통계 → 시퀀스분석(OM+PAM 군집) → 입직·중단·재진입 사건사분석(KM+Cox)</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서술적(descriptive)</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상태전이 Sankey, KM 곡선</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2015·2020·2023 전체 — </w:t>
            </w:r>
            <w:r>
              <w:rPr>
                <w:rFonts w:ascii="맑은 고딕" w:cs="맑은 고딕" w:eastAsia="맑은 고딕" w:hAnsi="맑은 고딕"/>
                <w:b/>
                <w:bCs/>
                <w:sz w:val="18"/>
                <w:szCs w:val="18"/>
              </w:rPr>
              <w:t xml:space="preserve">본 연구의 주축(main axis)</w:t>
            </w:r>
          </w:p>
        </w:tc>
      </w:tr>
      <w:tr>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② 교육분야-직종-진학 연결</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고교 교육분야는 어떤 직종으로 연결되며, 이후 대학의 어떤 교육분야로 이어지는가?</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고교분야×첫입직직종 교차표 → 분야별 직종 엔트로피 </w:t>
            </w:r>
            <w:r>
              <w:rPr>
                <w:rFonts w:ascii="Cambria Math" w:cs="Cambria Math" w:eastAsia="Cambria Math" w:hAnsi="Cambria Math"/>
                <w:i/>
                <w:iCs/>
                <w:sz w:val="18"/>
                <w:szCs w:val="18"/>
              </w:rPr>
              <w:t xml:space="preserve">H_m</w:t>
            </w:r>
            <w:r>
              <w:rPr>
                <w:rFonts w:ascii="맑은 고딕" w:cs="맑은 고딕" w:eastAsia="맑은 고딕" w:hAnsi="맑은 고딕"/>
                <w:sz w:val="18"/>
                <w:szCs w:val="18"/>
              </w:rPr>
              <w:t xml:space="preserve"> → 고교분야×대학분야 이동</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서술적(descriptive)</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전공-직종-진학 Sankey</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2015(고용부문만)·2020·2023</w:t>
            </w:r>
          </w:p>
        </w:tc>
      </w:tr>
      <w:tr>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③ 정책학교 비교</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정책 지정학교(도제학교) 졸업생의 고용성과 변화는 비교학교와 어떻게 다른가?</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1단계 매칭가능성 검토 → 2단계 노출변수 구축 → 3단계 기술적 전후비교 → 4단계(식별조건 충족 시) 조건부 DiD</w:t>
            </w:r>
          </w:p>
        </w:tc>
        <w:tc>
          <w:tcPr>
            <w:tcW w:type="dxa" w:w="1583"/>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단계적 인과추론(준실험, 잠정적)</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기술적 전후비교 막대그림 → (4단계 도달 시) event-study, forest plot</w:t>
            </w:r>
          </w:p>
        </w:tc>
        <w:tc>
          <w:tcPr>
            <w:tcW w:type="dxa" w:w="1583"/>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2015(전) vs 2020·2023(후)</w:t>
            </w:r>
          </w:p>
        </w:tc>
      </w:tr>
    </w:tbl>
    <w:p>
      <w:pPr>
        <w:spacing w:after="160"/>
      </w:pPr>
    </w:p>
    <w:p>
      <w:pPr>
        <w:spacing w:after="200"/>
      </w:pPr>
      <w:r>
        <w:rPr>
          <w:rFonts w:ascii="맑은 고딕" w:cs="맑은 고딕" w:eastAsia="맑은 고딕" w:hAnsi="맑은 고딕"/>
        </w:rPr>
        <w:t xml:space="preserve">세 축은 보고서 본문에서 장 수준으로 분리하고, 각 장 서두에 인식론적 지위를 명시한다. </w:t>
      </w:r>
      <w:r>
        <w:rPr>
          <w:rFonts w:ascii="맑은 고딕" w:cs="맑은 고딕" w:eastAsia="맑은 고딕" w:hAnsi="맑은 고딕"/>
          <w:b/>
          <w:bCs/>
        </w:rPr>
        <w:t xml:space="preserve">진학효과·마이스터고효과의 PSM 인과추론은 이번 보고서의 주분석에서 제외</w:t>
      </w:r>
      <w:r>
        <w:rPr>
          <w:rFonts w:ascii="맑은 고딕" w:cs="맑은 고딕" w:eastAsia="맑은 고딕" w:hAnsi="맑은 고딕"/>
        </w:rPr>
        <w:t xml:space="preserve">했다(사유: Ⅵ.2절). 진학은 축2에서 "경로(상태)의 하나"로 다루고, 마이스터고 비교는 향후 입학전형 커트라인 점수 확보 시 회귀불연속설계(RD)로 확장할 잠재 과제로 Ⅷ장에 남긴다. GBTM·다중상태모형·RF+SHAP은 각 축의 "탐색적 보완"으로 격하되어 부록/후속연구로 이동했다(Ⅳ.7, Ⅴ.6 참조).</w:t>
      </w:r>
    </w:p>
    <w:p>
      <w:pPr>
        <w:pBdr>
          <w:bottom w:val="single" w:color="999999" w:sz="6"/>
        </w:pBdr>
        <w:spacing w:after="300" w:before="100"/>
      </w:pPr>
      <w:r>
        <w:t xml:space="preserve"/>
      </w:r>
    </w:p>
    <w:p>
      <w:pPr>
        <w:pStyle w:val="Heading2"/>
        <w:spacing w:after="160" w:before="300"/>
      </w:pPr>
      <w:r>
        <w:rPr>
          <w:rFonts w:ascii="맑은 고딕" w:cs="맑은 고딕" w:eastAsia="맑은 고딕" w:hAnsi="맑은 고딕"/>
        </w:rPr>
        <w:t xml:space="preserve">IV. 분석축 1 — 고용이행경로</w:t>
      </w:r>
    </w:p>
    <w:p>
      <w:pPr>
        <w:pBdr>
          <w:left w:val="single" w:color="888888" w:sz="12"/>
        </w:pBdr>
        <w:shd w:fill="F7F7F7" w:color="auto" w:val="clear"/>
        <w:spacing w:after="200" w:before="120"/>
        <w:ind w:left="400"/>
      </w:pPr>
      <w:r>
        <w:rPr>
          <w:rFonts w:ascii="맑은 고딕" w:cs="맑은 고딕" w:eastAsia="맑은 고딕" w:hAnsi="맑은 고딕"/>
          <w:i/>
          <w:iCs/>
        </w:rPr>
        <w:t xml:space="preserve">이 장은 </w:t>
      </w:r>
      <w:r>
        <w:rPr>
          <w:rFonts w:ascii="맑은 고딕" w:cs="맑은 고딕" w:eastAsia="맑은 고딕" w:hAnsi="맑은 고딕"/>
          <w:b/>
          <w:bCs/>
          <w:i/>
          <w:iCs/>
        </w:rPr>
        <w:t xml:space="preserve">서술적 분석</w:t>
      </w:r>
      <w:r>
        <w:rPr>
          <w:rFonts w:ascii="맑은 고딕" w:cs="맑은 고딕" w:eastAsia="맑은 고딕" w:hAnsi="맑은 고딕"/>
          <w:i/>
          <w:iCs/>
        </w:rPr>
        <w:t xml:space="preserve">이며 인과관계를 주장하지 않는다.</w:t>
      </w:r>
    </w:p>
    <w:p>
      <w:pPr>
        <w:pStyle w:val="Heading3"/>
        <w:spacing w:after="160" w:before="300"/>
      </w:pPr>
      <w:r>
        <w:rPr>
          <w:rFonts w:ascii="맑은 고딕" w:cs="맑은 고딕" w:eastAsia="맑은 고딕" w:hAnsi="맑은 고딕"/>
        </w:rPr>
        <w:t xml:space="preserve">1. 연구문제</w:t>
      </w:r>
    </w:p>
    <w:p>
      <w:pPr>
        <w:pStyle w:val="ListParagraph"/>
        <w:numPr>
          <w:ilvl w:val="0"/>
          <w:numId w:val="1"/>
        </w:numPr>
        <w:spacing w:after="100"/>
      </w:pPr>
      <w:r>
        <w:rPr>
          <w:rFonts w:ascii="맑은 고딕" w:cs="맑은 고딕" w:eastAsia="맑은 고딕" w:hAnsi="맑은 고딕"/>
        </w:rPr>
        <w:t xml:space="preserve">RQ1-1. 직업계고 졸업생은 언제 피보험고용에 진입하며, 이후 고용의 지속·중단·재진입은 어떤 경로로 나타나는가?</w:t>
      </w:r>
    </w:p>
    <w:p>
      <w:pPr>
        <w:pStyle w:val="ListParagraph"/>
        <w:numPr>
          <w:ilvl w:val="0"/>
          <w:numId w:val="1"/>
        </w:numPr>
        <w:spacing w:after="100"/>
      </w:pPr>
      <w:r>
        <w:rPr>
          <w:rFonts w:ascii="맑은 고딕" w:cs="맑은 고딕" w:eastAsia="맑은 고딕" w:hAnsi="맑은 고딕"/>
        </w:rPr>
        <w:t xml:space="preserve">RQ1-2. 이 경로들은 코호트·학교유형별로 몇 개의 대표적인 유형(경로군집)으로 요약되는가?</w:t>
      </w:r>
    </w:p>
    <w:p>
      <w:pPr>
        <w:pStyle w:val="Heading3"/>
        <w:spacing w:after="160" w:before="300"/>
      </w:pPr>
      <w:r>
        <w:rPr>
          <w:rFonts w:ascii="맑은 고딕" w:cs="맑은 고딕" w:eastAsia="맑은 고딕" w:hAnsi="맑은 고딕"/>
        </w:rPr>
        <w:t xml:space="preserve">2. 변수정의표</w:t>
      </w:r>
    </w:p>
    <w:p>
      <w:pPr>
        <w:pBdr>
          <w:left w:val="single" w:color="888888" w:sz="12"/>
        </w:pBdr>
        <w:shd w:fill="F7F7F7" w:color="auto" w:val="clear"/>
        <w:spacing w:after="200" w:before="120"/>
        <w:ind w:left="400"/>
      </w:pPr>
      <w:r>
        <w:rPr>
          <w:rFonts w:ascii="맑은 고딕" w:cs="맑은 고딕" w:eastAsia="맑은 고딕" w:hAnsi="맑은 고딕"/>
          <w:i/>
          <w:iCs/>
        </w:rPr>
        <w:t xml:space="preserve">Ⅲ.3절의 개정(v2)에 따라 </w:t>
      </w:r>
      <w:r>
        <w:rPr>
          <w:rFonts w:ascii="Consolas" w:cs="Consolas" w:eastAsia="Consolas" w:hAnsi="Consolas"/>
          <w:i/>
          <w:iCs/>
          <w:sz w:val="19"/>
          <w:szCs w:val="19"/>
        </w:rPr>
        <w:t xml:space="preserve">state_t</w:t>
      </w:r>
      <w:r>
        <w:rPr>
          <w:rFonts w:ascii="맑은 고딕" w:cs="맑은 고딕" w:eastAsia="맑은 고딕" w:hAnsi="맑은 고딕"/>
          <w:i/>
          <w:iCs/>
        </w:rPr>
        <w:t xml:space="preserve">는 </w:t>
      </w:r>
      <w:r>
        <w:rPr>
          <w:rFonts w:ascii="맑은 고딕" w:cs="맑은 고딕" w:eastAsia="맑은 고딕" w:hAnsi="맑은 고딕"/>
          <w:b/>
          <w:bCs/>
          <w:i/>
          <w:iCs/>
        </w:rPr>
        <w:t xml:space="preserve">고용 채널(E/O) 전용</w:t>
      </w:r>
      <w:r>
        <w:rPr>
          <w:rFonts w:ascii="맑은 고딕" w:cs="맑은 고딕" w:eastAsia="맑은 고딕" w:hAnsi="맑은 고딕"/>
          <w:i/>
          <w:iCs/>
        </w:rPr>
        <w:t xml:space="preserve">이며, 교육이력은 별도 변수(</w:t>
      </w:r>
      <w:r>
        <w:rPr>
          <w:rFonts w:ascii="Consolas" w:cs="Consolas" w:eastAsia="Consolas" w:hAnsi="Consolas"/>
          <w:i/>
          <w:iCs/>
          <w:sz w:val="19"/>
          <w:szCs w:val="19"/>
        </w:rPr>
        <w:t xml:space="preserve">enroll_date</w:t>
      </w:r>
      <w:r>
        <w:rPr>
          <w:rFonts w:ascii="맑은 고딕" w:cs="맑은 고딕" w:eastAsia="맑은 고딕" w:hAnsi="맑은 고딕"/>
          <w:i/>
          <w:iCs/>
        </w:rPr>
        <w:t xml:space="preserve">, </w:t>
      </w:r>
      <w:r>
        <w:rPr>
          <w:rFonts w:ascii="Consolas" w:cs="Consolas" w:eastAsia="Consolas" w:hAnsi="Consolas"/>
          <w:i/>
          <w:iCs/>
          <w:sz w:val="19"/>
          <w:szCs w:val="19"/>
        </w:rPr>
        <w:t xml:space="preserve">grad_date</w:t>
      </w:r>
      <w:r>
        <w:rPr>
          <w:rFonts w:ascii="맑은 고딕" w:cs="맑은 고딕" w:eastAsia="맑은 고딕" w:hAnsi="맑은 고딕"/>
          <w:i/>
          <w:iCs/>
        </w:rPr>
        <w:t xml:space="preserve">, </w:t>
      </w:r>
      <w:r>
        <w:rPr>
          <w:rFonts w:ascii="Consolas" w:cs="Consolas" w:eastAsia="Consolas" w:hAnsi="Consolas"/>
          <w:i/>
          <w:iCs/>
          <w:sz w:val="19"/>
          <w:szCs w:val="19"/>
        </w:rPr>
        <w:t xml:space="preserve">college_type</w:t>
      </w:r>
      <w:r>
        <w:rPr>
          <w:rFonts w:ascii="맑은 고딕" w:cs="맑은 고딕" w:eastAsia="맑은 고딕" w:hAnsi="맑은 고딕"/>
          <w:i/>
          <w:iCs/>
        </w:rPr>
        <w:t xml:space="preserve">, </w:t>
      </w:r>
      <w:r>
        <w:rPr>
          <w:rFonts w:ascii="Consolas" w:cs="Consolas" w:eastAsia="Consolas" w:hAnsi="Consolas"/>
          <w:i/>
          <w:iCs/>
          <w:sz w:val="19"/>
          <w:szCs w:val="19"/>
        </w:rPr>
        <w:t xml:space="preserve">college_field2</w:t>
      </w:r>
      <w:r>
        <w:rPr>
          <w:rFonts w:ascii="맑은 고딕" w:cs="맑은 고딕" w:eastAsia="맑은 고딕" w:hAnsi="맑은 고딕"/>
          <w:i/>
          <w:iCs/>
        </w:rPr>
        <w:t xml:space="preserve">)로 Ⅴ장에서 다룬다.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tblHeader/>
        </w:trPr>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변수명(작업용)</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유형</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정의</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코드·범위</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month_idx</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정수</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졸업 후 경과월(1~129/69/33)</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코호트별 상이</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state_t</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월말 고용상태</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{E, O} — 2상태</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spell_seq</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정수</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가입/공백 구간 순번</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1,2,3,... (식별용, 설명변수 아님)</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spell_type</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이분</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구간 유형</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E=가입, O=공백</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spell_start</w:t>
            </w:r>
            <w:r>
              <w:rPr>
                <w:rFonts w:ascii="맑은 고딕" w:cs="맑은 고딕" w:eastAsia="맑은 고딕" w:hAnsi="맑은 고딕"/>
                <w:sz w:val="18"/>
                <w:szCs w:val="18"/>
              </w:rPr>
              <w:t xml:space="preserve">, </w:t>
            </w:r>
            <w:r>
              <w:rPr>
                <w:rFonts w:ascii="Consolas" w:cs="Consolas" w:eastAsia="Consolas" w:hAnsi="Consolas"/>
                <w:sz w:val="18"/>
                <w:szCs w:val="18"/>
              </w:rPr>
              <w:t xml:space="preserve">spell_end</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날짜</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구간 시작·종료일</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YYYY-MM-DD</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spell_len_days</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정수</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구간 지속일수</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≥0</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T_entry</w:t>
            </w:r>
            <w:r>
              <w:rPr>
                <w:rFonts w:ascii="맑은 고딕" w:cs="맑은 고딕" w:eastAsia="맑은 고딕" w:hAnsi="맑은 고딕"/>
                <w:sz w:val="18"/>
                <w:szCs w:val="18"/>
              </w:rPr>
              <w:t xml:space="preserve">, </w:t>
            </w:r>
            <w:r>
              <w:rPr>
                <w:rFonts w:ascii="Consolas" w:cs="Consolas" w:eastAsia="Consolas" w:hAnsi="Consolas"/>
                <w:sz w:val="18"/>
                <w:szCs w:val="18"/>
              </w:rPr>
              <w:t xml:space="preserve">delta_entry</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수치/이분</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관찰입직 사건시간·발생여부</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일수 / 1=입직,0=중도절단</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T_break1</w:t>
            </w:r>
            <w:r>
              <w:rPr>
                <w:rFonts w:ascii="맑은 고딕" w:cs="맑은 고딕" w:eastAsia="맑은 고딕" w:hAnsi="맑은 고딕"/>
                <w:sz w:val="18"/>
                <w:szCs w:val="18"/>
              </w:rPr>
              <w:t xml:space="preserve">, </w:t>
            </w:r>
            <w:r>
              <w:rPr>
                <w:rFonts w:ascii="Consolas" w:cs="Consolas" w:eastAsia="Consolas" w:hAnsi="Consolas"/>
                <w:sz w:val="18"/>
                <w:szCs w:val="18"/>
              </w:rPr>
              <w:t xml:space="preserve">delta_break1</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수치/이분</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입직후 첫중단 사건시간·발생여부</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일수 / 1=중단,0=중도절단</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T_reentry1</w:t>
            </w:r>
            <w:r>
              <w:rPr>
                <w:rFonts w:ascii="맑은 고딕" w:cs="맑은 고딕" w:eastAsia="맑은 고딕" w:hAnsi="맑은 고딕"/>
                <w:sz w:val="18"/>
                <w:szCs w:val="18"/>
              </w:rPr>
              <w:t xml:space="preserve">, </w:t>
            </w:r>
            <w:r>
              <w:rPr>
                <w:rFonts w:ascii="Consolas" w:cs="Consolas" w:eastAsia="Consolas" w:hAnsi="Consolas"/>
                <w:sz w:val="18"/>
                <w:szCs w:val="18"/>
              </w:rPr>
              <w:t xml:space="preserve">delta_reentry1</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수치/이분</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첫중단후 재진입 사건시간·발생여부</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일수 / 1=재진입,0=중도절단</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loss_reason</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자격상실 사유</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1개인사정~8기타행정종료(9개 범주)</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wp_sido</w:t>
            </w:r>
            <w:r>
              <w:rPr>
                <w:rFonts w:ascii="맑은 고딕" w:cs="맑은 고딕" w:eastAsia="맑은 고딕" w:hAnsi="맑은 고딕"/>
                <w:sz w:val="18"/>
                <w:szCs w:val="18"/>
              </w:rPr>
              <w:t xml:space="preserve">, </w:t>
            </w:r>
            <w:r>
              <w:rPr>
                <w:rFonts w:ascii="Consolas" w:cs="Consolas" w:eastAsia="Consolas" w:hAnsi="Consolas"/>
                <w:sz w:val="18"/>
                <w:szCs w:val="18"/>
              </w:rPr>
              <w:t xml:space="preserve">wp_size</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명목/순서</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사업장 소재지·규모구간</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17개 시도 / 1(5인미만)~8(1000인이상)</w:t>
            </w:r>
          </w:p>
        </w:tc>
      </w:tr>
    </w:tbl>
    <w:p>
      <w:pPr>
        <w:spacing w:after="160"/>
      </w:pPr>
    </w:p>
    <w:p>
      <w:pPr>
        <w:pStyle w:val="Heading3"/>
        <w:spacing w:after="160" w:before="300"/>
      </w:pPr>
      <w:r>
        <w:rPr>
          <w:rFonts w:ascii="맑은 고딕" w:cs="맑은 고딕" w:eastAsia="맑은 고딕" w:hAnsi="맑은 고딕"/>
        </w:rPr>
        <w:t xml:space="preserve">3. 시퀀스분석 (Optimal Matching + PAM 군집화)</w:t>
      </w:r>
    </w:p>
    <w:p>
      <w:pPr>
        <w:spacing w:after="200"/>
      </w:pPr>
      <w:r>
        <w:rPr>
          <w:rFonts w:ascii="맑은 고딕" w:cs="맑은 고딕" w:eastAsia="맑은 고딕" w:hAnsi="맑은 고딕"/>
          <w:b/>
          <w:bCs/>
        </w:rPr>
        <w:t xml:space="preserve">수식.</w:t>
      </w:r>
      <w:r>
        <w:rPr>
          <w:rFonts w:ascii="맑은 고딕" w:cs="맑은 고딕" w:eastAsia="맑은 고딕" w:hAnsi="맑은 고딕"/>
        </w:rPr>
        <w:t xml:space="preserve"> 편집거리 </w:t>
      </w:r>
      <w:r>
        <w:rPr>
          <w:rFonts w:ascii="Cambria Math" w:cs="Cambria Math" w:eastAsia="Cambria Math" w:hAnsi="Cambria Math"/>
          <w:i/>
          <w:iCs/>
        </w:rPr>
        <w:t xml:space="preserve">d(x,y)=\min\sum(\text{삽입·삭제 비용}+\text{치환 비용})</w:t>
      </w:r>
      <w:r>
        <w:rPr>
          <w:rFonts w:ascii="맑은 고딕" w:cs="맑은 고딕" w:eastAsia="맑은 고딕" w:hAnsi="맑은 고딕"/>
        </w:rPr>
        <w:t xml:space="preserve">, indel=1, 이종상태 치환=2, 동일상태 치환=0. 군집 수 </w:t>
      </w:r>
      <w:r>
        <w:rPr>
          <w:rFonts w:ascii="Cambria Math" w:cs="Cambria Math" w:eastAsia="Cambria Math" w:hAnsi="Cambria Math"/>
          <w:i/>
          <w:iCs/>
        </w:rPr>
        <w:t xml:space="preserve">k^\*=\arg\max_{k\in\{2,...,8\}}\overline{ASW}(k)</w:t>
      </w:r>
      <w:r>
        <w:rPr>
          <w:rFonts w:ascii="맑은 고딕" w:cs="맑은 고딕" w:eastAsia="맑은 고딕" w:hAnsi="맑은 고딕"/>
        </w:rPr>
        <w:t xml:space="preserve">, ASW(average silhouette width, Rousseeuw 1987): </w:t>
      </w:r>
      <w:r>
        <w:rPr>
          <w:rFonts w:ascii="Cambria Math" w:cs="Cambria Math" w:eastAsia="Cambria Math" w:hAnsi="Cambria Math"/>
          <w:i/>
          <w:iCs/>
        </w:rPr>
        <w:t xml:space="preserve">s(i)=\dfrac{b(i)-a(i)}{\max\{a(i),b(i)\}}</w:t>
      </w:r>
      <w:r>
        <w:rPr>
          <w:rFonts w:ascii="맑은 고딕" w:cs="맑은 고딕" w:eastAsia="맑은 고딕" w:hAnsi="맑은 고딕"/>
        </w:rPr>
        <w:t xml:space="preserve"> (</w:t>
      </w:r>
      <w:r>
        <w:rPr>
          <w:rFonts w:ascii="Cambria Math" w:cs="Cambria Math" w:eastAsia="Cambria Math" w:hAnsi="Cambria Math"/>
          <w:i/>
          <w:iCs/>
        </w:rPr>
        <w:t xml:space="preserve">a(i)</w:t>
      </w:r>
      <w:r>
        <w:rPr>
          <w:rFonts w:ascii="맑은 고딕" w:cs="맑은 고딕" w:eastAsia="맑은 고딕" w:hAnsi="맑은 고딕"/>
        </w:rPr>
        <w:t xml:space="preserve">=군집 내 평균거리, </w:t>
      </w:r>
      <w:r>
        <w:rPr>
          <w:rFonts w:ascii="Cambria Math" w:cs="Cambria Math" w:eastAsia="Cambria Math" w:hAnsi="Cambria Math"/>
          <w:i/>
          <w:iCs/>
        </w:rPr>
        <w:t xml:space="preserve">b(i)</w:t>
      </w:r>
      <w:r>
        <w:rPr>
          <w:rFonts w:ascii="맑은 고딕" w:cs="맑은 고딕" w:eastAsia="맑은 고딕" w:hAnsi="맑은 고딕"/>
        </w:rPr>
        <w:t xml:space="preserve">=최근접 타군집 평균거리).</w:t>
      </w:r>
    </w:p>
    <w:p>
      <w:pPr>
        <w:spacing w:after="200"/>
      </w:pPr>
      <w:r>
        <w:rPr>
          <w:rFonts w:ascii="맑은 고딕" w:cs="맑은 고딕" w:eastAsia="맑은 고딕" w:hAnsi="맑은 고딕"/>
          <w:b/>
          <w:bCs/>
        </w:rPr>
        <w:t xml:space="preserve">R 코드 스켈레톤</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library(TraMineR); library(WeightedCluster); library(cluster); library(mclust)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seq_wide: 1행/1인, 열=month_01..month_K, 값∈{"E","O"} (고용 채널 전용, Ⅲ.3절 v2)</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seq_obj &lt;- seqdef(seq_wide,</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var    = grep("^month_", names(seq_wide), value = TRUE),</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states = c("E","O"),</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labels = c("고용","미관찰"),</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id     = seq_wide$person_id)</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sm  &lt;- seqsubm(seq_obj, method = "CONSTANT", cval = 2)   # 치환비용 2</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om  &lt;- seqdist(seq_obj, method = "OM", indel = 1, sm = sm)</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대규모 자료: 학교유형×성별 층화표본에서 대표점 탐색</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strat_idx &lt;- seq_wide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mutate(.row = row_number())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group_by(hs_type, sex) %&gt;% slice_sample(prop = 0.10) %&gt;% pull(.row)</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om_s &lt;- om[strat_idx, strat_idx]</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asw &lt;- sapply(2:8, function(k)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p &lt;- wcKMedoids(om_s, k = k, method = "PAMonce")</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mean(wcSilhouetteObs(om_s, p$clustering))</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k_star &lt;- (2:8)[which.max(asw)]</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pam_final &lt;- wcKMedoids(om_s, k = k_star, method = "PAMonce")</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medoid_idx &lt;- pam_final$medoids</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full_assign &lt;- apply(om[, medoid_idx, drop = FALSE], 1, which.min)  # 전체 개인을 최근접 대표점에 배정</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재현성(ARI) — 반복 층화표본</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ari &lt;- replicate(50,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idx2 &lt;- seq_wide %&gt;% mutate(.row = row_number())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group_by(hs_type, sex) %&gt;% slice_sample(prop = 0.10) %&gt;% pull(.row)</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p2 &lt;- wcKMedoids(om[idx2, idx2], k = k_star, method = "PAMonce")</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mclust::adjustedRandIndex(full_assign[idx2], p2$clustering)</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Style w:val="Heading3"/>
        <w:spacing w:after="160" w:before="300"/>
      </w:pPr>
      <w:r>
        <w:rPr>
          <w:rFonts w:ascii="맑은 고딕" w:cs="맑은 고딕" w:eastAsia="맑은 고딕" w:hAnsi="맑은 고딕"/>
        </w:rPr>
        <w:t xml:space="preserve">4. 사건사분석 (Event History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tblHeader/>
        </w:trPr>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사건</w:t>
            </w:r>
          </w:p>
        </w:tc>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분석대상·시작점</w:t>
            </w:r>
          </w:p>
        </w:tc>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결과변수 </w:t>
            </w:r>
            <w:r>
              <w:rPr>
                <w:rFonts w:ascii="Cambria Math" w:cs="Cambria Math" w:eastAsia="Cambria Math" w:hAnsi="Cambria Math"/>
                <w:b/>
                <w:bCs/>
                <w:i/>
                <w:iCs/>
                <w:color w:val="FFFFFF"/>
                <w:sz w:val="18"/>
                <w:szCs w:val="18"/>
              </w:rPr>
              <w:t xml:space="preserve">(T,\delta)</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관찰 입직</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기준일 미관찰자, 졸업연도 4/1</w:t>
            </w:r>
          </w:p>
        </w:tc>
        <w:tc>
          <w:tcPr>
            <w:tcW w:type="dxa" w:w="3166"/>
            <w:tcMar>
              <w:top w:type="dxa" w:w="60"/>
              <w:left w:type="dxa" w:w="100"/>
              <w:bottom w:type="dxa" w:w="60"/>
              <w:right w:type="dxa" w:w="100"/>
            </w:tcMar>
          </w:tcPr>
          <w:p>
            <w:pPr>
              <w:spacing w:after="0"/>
            </w:pPr>
            <w:r>
              <w:rPr>
                <w:rFonts w:ascii="Cambria Math" w:cs="Cambria Math" w:eastAsia="Cambria Math" w:hAnsi="Cambria Math"/>
                <w:i/>
                <w:iCs/>
                <w:sz w:val="18"/>
                <w:szCs w:val="18"/>
              </w:rPr>
              <w:t xml:space="preserve">T</w:t>
            </w:r>
            <w:r>
              <w:rPr>
                <w:rFonts w:ascii="맑은 고딕" w:cs="맑은 고딕" w:eastAsia="맑은 고딕" w:hAnsi="맑은 고딕"/>
                <w:sz w:val="18"/>
                <w:szCs w:val="18"/>
              </w:rPr>
              <w:t xml:space="preserve">=첫 가입 또는 종료까지 일수, </w:t>
            </w:r>
            <w:r>
              <w:rPr>
                <w:rFonts w:ascii="Cambria Math" w:cs="Cambria Math" w:eastAsia="Cambria Math" w:hAnsi="Cambria Math"/>
                <w:i/>
                <w:iCs/>
                <w:sz w:val="18"/>
                <w:szCs w:val="18"/>
              </w:rPr>
              <w:t xml:space="preserve">\delta</w:t>
            </w:r>
            <w:r>
              <w:rPr>
                <w:rFonts w:ascii="맑은 고딕" w:cs="맑은 고딕" w:eastAsia="맑은 고딕" w:hAnsi="맑은 고딕"/>
                <w:sz w:val="18"/>
                <w:szCs w:val="18"/>
              </w:rPr>
              <w:t xml:space="preserve">=1(입직)/0(중도절단)</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입직 후 첫 중단</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관찰 입직자, 입직일</w:t>
            </w:r>
          </w:p>
        </w:tc>
        <w:tc>
          <w:tcPr>
            <w:tcW w:type="dxa" w:w="3166"/>
            <w:tcMar>
              <w:top w:type="dxa" w:w="60"/>
              <w:left w:type="dxa" w:w="100"/>
              <w:bottom w:type="dxa" w:w="60"/>
              <w:right w:type="dxa" w:w="100"/>
            </w:tcMar>
          </w:tcPr>
          <w:p>
            <w:pPr>
              <w:spacing w:after="0"/>
            </w:pPr>
            <w:r>
              <w:rPr>
                <w:rFonts w:ascii="Cambria Math" w:cs="Cambria Math" w:eastAsia="Cambria Math" w:hAnsi="Cambria Math"/>
                <w:i/>
                <w:iCs/>
                <w:sz w:val="18"/>
                <w:szCs w:val="18"/>
              </w:rPr>
              <w:t xml:space="preserve">T</w:t>
            </w:r>
            <w:r>
              <w:rPr>
                <w:rFonts w:ascii="맑은 고딕" w:cs="맑은 고딕" w:eastAsia="맑은 고딕" w:hAnsi="맑은 고딕"/>
                <w:sz w:val="18"/>
                <w:szCs w:val="18"/>
              </w:rPr>
              <w:t xml:space="preserve">=첫 공백까지 일수, </w:t>
            </w:r>
            <w:r>
              <w:rPr>
                <w:rFonts w:ascii="Cambria Math" w:cs="Cambria Math" w:eastAsia="Cambria Math" w:hAnsi="Cambria Math"/>
                <w:i/>
                <w:iCs/>
                <w:sz w:val="18"/>
                <w:szCs w:val="18"/>
              </w:rPr>
              <w:t xml:space="preserve">\delta</w:t>
            </w:r>
            <w:r>
              <w:rPr>
                <w:rFonts w:ascii="맑은 고딕" w:cs="맑은 고딕" w:eastAsia="맑은 고딕" w:hAnsi="맑은 고딕"/>
                <w:sz w:val="18"/>
                <w:szCs w:val="18"/>
              </w:rPr>
              <w:t xml:space="preserve">=1(중단)/0</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첫 재진입</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첫 중단 경험자, 중단일</w:t>
            </w:r>
          </w:p>
        </w:tc>
        <w:tc>
          <w:tcPr>
            <w:tcW w:type="dxa" w:w="3166"/>
            <w:tcMar>
              <w:top w:type="dxa" w:w="60"/>
              <w:left w:type="dxa" w:w="100"/>
              <w:bottom w:type="dxa" w:w="60"/>
              <w:right w:type="dxa" w:w="100"/>
            </w:tcMar>
          </w:tcPr>
          <w:p>
            <w:pPr>
              <w:spacing w:after="0"/>
            </w:pPr>
            <w:r>
              <w:rPr>
                <w:rFonts w:ascii="Cambria Math" w:cs="Cambria Math" w:eastAsia="Cambria Math" w:hAnsi="Cambria Math"/>
                <w:i/>
                <w:iCs/>
                <w:sz w:val="18"/>
                <w:szCs w:val="18"/>
              </w:rPr>
              <w:t xml:space="preserve">T</w:t>
            </w:r>
            <w:r>
              <w:rPr>
                <w:rFonts w:ascii="맑은 고딕" w:cs="맑은 고딕" w:eastAsia="맑은 고딕" w:hAnsi="맑은 고딕"/>
                <w:sz w:val="18"/>
                <w:szCs w:val="18"/>
              </w:rPr>
              <w:t xml:space="preserve">=다음 가입까지 일수, </w:t>
            </w:r>
            <w:r>
              <w:rPr>
                <w:rFonts w:ascii="Cambria Math" w:cs="Cambria Math" w:eastAsia="Cambria Math" w:hAnsi="Cambria Math"/>
                <w:i/>
                <w:iCs/>
                <w:sz w:val="18"/>
                <w:szCs w:val="18"/>
              </w:rPr>
              <w:t xml:space="preserve">\delta</w:t>
            </w:r>
            <w:r>
              <w:rPr>
                <w:rFonts w:ascii="맑은 고딕" w:cs="맑은 고딕" w:eastAsia="맑은 고딕" w:hAnsi="맑은 고딕"/>
                <w:sz w:val="18"/>
                <w:szCs w:val="18"/>
              </w:rPr>
              <w:t xml:space="preserve">=1(재진입)/0</w:t>
            </w:r>
          </w:p>
        </w:tc>
      </w:tr>
    </w:tbl>
    <w:p>
      <w:pPr>
        <w:spacing w:after="160"/>
      </w:pPr>
    </w:p>
    <w:p>
      <w:pPr>
        <w:spacing w:after="200"/>
      </w:pPr>
      <w:r>
        <w:rPr>
          <w:rFonts w:ascii="맑은 고딕" w:cs="맑은 고딕" w:eastAsia="맑은 고딕" w:hAnsi="맑은 고딕"/>
          <w:b/>
          <w:bCs/>
        </w:rPr>
        <w:t xml:space="preserve">수식.</w:t>
      </w:r>
      <w:r>
        <w:rPr>
          <w:rFonts w:ascii="맑은 고딕" w:cs="맑은 고딕" w:eastAsia="맑은 고딕" w:hAnsi="맑은 고딕"/>
        </w:rPr>
        <w:t xml:space="preserve"> Kaplan–Meier: </w:t>
      </w:r>
      <w:r>
        <w:rPr>
          <w:rFonts w:ascii="Cambria Math" w:cs="Cambria Math" w:eastAsia="Cambria Math" w:hAnsi="Cambria Math"/>
          <w:i/>
          <w:iCs/>
        </w:rPr>
        <w:t xml:space="preserve">\hat S(t)=\prod_{t_i\le t}(1-d_i/n_i)</w:t>
      </w:r>
      <w:r>
        <w:rPr>
          <w:rFonts w:ascii="맑은 고딕" w:cs="맑은 고딕" w:eastAsia="맑은 고딕" w:hAnsi="맑은 고딕"/>
        </w:rPr>
        <w:t xml:space="preserve">. Cox 비례위험(코호트 층화): </w:t>
      </w:r>
      <w:r>
        <w:rPr>
          <w:rFonts w:ascii="Cambria Math" w:cs="Cambria Math" w:eastAsia="Cambria Math" w:hAnsi="Cambria Math"/>
          <w:i/>
          <w:iCs/>
        </w:rPr>
        <w:t xml:space="preserve">h_c(t\mid X)=h_{0c}(t)\exp(\beta_1 \text{hs\_type}+\beta_2 \text{sex}+\beta_3 \text{hs\_field2}+\beta_4 \text{hs\_sido})</w:t>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R 코드 스켈레톤</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library(survival)</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event_entry: person_id, school_id, cohort, T, delta, hs_type, sex, hs_field2, hs_sido</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km_entry &lt;- survfit(Surv(T, delta) ~ hs_type, data = event_entry %&gt;% filter(cohort == 2020))</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summary(km_entry, times = c(365, 730))            # 12·24개월 누적 입직확률</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km_entry_ci &lt;- survfit(Surv(T, delta) ~ hs_type, data = event_entry, cluster = school_id)</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cox_entry &lt;- coxph(Surv(T, delta) ~ hs_type + sex + hs_field2 + hs_sido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strata(cohort) + cluster(school_id),</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data = event_entry, ties = "efron")</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summary(cox_entry)</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cox.zph(cox_entry)                                 # 비례위험(Schoenfeld) 검정</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동일 구조를 event_break1, event_reentry1에 반복 적용</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cox_break1  &lt;- update(cox_entry, data = event_break1)</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cox_reentry &lt;- update(cox_entry, data = event_reentry1)</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Style w:val="Heading3"/>
        <w:spacing w:after="160" w:before="300"/>
      </w:pPr>
      <w:r>
        <w:rPr>
          <w:rFonts w:ascii="맑은 고딕" w:cs="맑은 고딕" w:eastAsia="맑은 고딕" w:hAnsi="맑은 고딕"/>
        </w:rPr>
        <w:t xml:space="preserve">5. 공백기간 조작정의</w:t>
      </w:r>
    </w:p>
    <w:p>
      <w:pPr>
        <w:spacing w:after="200"/>
      </w:pPr>
      <w:r>
        <w:rPr>
          <w:rFonts w:ascii="맑은 고딕" w:cs="맑은 고딕" w:eastAsia="맑은 고딕" w:hAnsi="맑은 고딕"/>
        </w:rPr>
        <w:t xml:space="preserve">주 기준 3개월(통계청 신규실업자/장기실업자 경계) + 민감도 1개월(경활조사 실업자 정의)·6개월(장기실업자·청년일자리도약장려금 기준)로 삼각검증한다.</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gap_flag &lt;- function(gap_days, cut_months) gap_days &gt;= cut_months * 30</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for (m in c(1, 3, 6)) event_break1[[paste0("gap_ge_", m, "m")]] &lt;- gap_flag(event_break1$gap_days, m)</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Style w:val="Heading3"/>
        <w:spacing w:after="160" w:before="300"/>
      </w:pPr>
      <w:r>
        <w:rPr>
          <w:rFonts w:ascii="맑은 고딕" w:cs="맑은 고딕" w:eastAsia="맑은 고딕" w:hAnsi="맑은 고딕"/>
        </w:rPr>
        <w:t xml:space="preserve">6. 시각화 계획</w:t>
      </w:r>
    </w:p>
    <w:p>
      <w:pPr>
        <w:pStyle w:val="ListParagraph"/>
        <w:numPr>
          <w:ilvl w:val="0"/>
          <w:numId w:val="1"/>
        </w:numPr>
        <w:spacing w:after="100"/>
      </w:pPr>
      <w:r>
        <w:rPr>
          <w:rFonts w:ascii="맑은 고딕" w:cs="맑은 고딕" w:eastAsia="맑은 고딕" w:hAnsi="맑은 고딕"/>
        </w:rPr>
        <w:t xml:space="preserve">그림1. 학교유형별 소형다중구성(small multiples) 고용상태전이 Sankey 3개 패널(마이스터고/특성화고/일반고 직업반, 코호트별로 별도 발행) — 졸업→6→12→24→36개월; 원자료: 월별 E/O 상태전환표. </w:t>
      </w:r>
      <w:r>
        <w:rPr>
          <w:rFonts w:ascii="맑은 고딕" w:cs="맑은 고딕" w:eastAsia="맑은 고딕" w:hAnsi="맑은 고딕"/>
          <w:b/>
          <w:bCs/>
        </w:rPr>
        <w:t xml:space="preserve">단일 통합 Sankey로 풀링하지 않는다</w:t>
      </w:r>
      <w:r>
        <w:rPr>
          <w:rFonts w:ascii="맑은 고딕" w:cs="맑은 고딕" w:eastAsia="맑은 고딕" w:hAnsi="맑은 고딕"/>
        </w:rPr>
        <w:t xml:space="preserve"> — 리본 색을 상태(E/O)와 학교유형 두 정체성에 동시에 쓰면 식별이 무너지므로, 학교유형은 패널 분리로, 상태는 색으로 각각 한 가지 역할만 맡긴다. </w:t>
      </w:r>
      <w:r>
        <w:rPr>
          <w:rFonts w:ascii="맑은 고딕" w:cs="맑은 고딕" w:eastAsia="맑은 고딕" w:hAnsi="맑은 고딕"/>
          <w:b/>
          <w:bCs/>
        </w:rPr>
        <w:t xml:space="preserve">교육구간은 각 패널 하단에 독립된 누적막대 트랙으로 병치한다</w:t>
      </w:r>
      <w:r>
        <w:rPr>
          <w:rFonts w:ascii="맑은 고딕" w:cs="맑은 고딕" w:eastAsia="맑은 고딕" w:hAnsi="맑은 고딕"/>
        </w:rPr>
        <w:t xml:space="preserve">(Sankey 흐름에 합치지 않음, Ⅲ.3절): 같은 5개 시점(기준일·6·12·24·36개월)에서 </w:t>
      </w:r>
      <w:r>
        <w:rPr>
          <w:rFonts w:ascii="Consolas" w:cs="Consolas" w:eastAsia="Consolas" w:hAnsi="Consolas"/>
          <w:sz w:val="19"/>
          <w:szCs w:val="19"/>
        </w:rPr>
        <w:t xml:space="preserve">college_type</w:t>
      </w:r>
      <w:r>
        <w:rPr>
          <w:rFonts w:ascii="맑은 고딕" w:cs="맑은 고딕" w:eastAsia="맑은 고딕" w:hAnsi="맑은 고딕"/>
        </w:rPr>
        <w:t xml:space="preserve">(전문대/일반대/원격대·기타) 구성비를 전체 N 대비 비율로 쌓아 그린다. 고용과 재학은 상호배타적이지 않으므로(선취업후진학형은 동시에 E이면서 재학 중일 수 있음) 이 트랙의 분모는 항상 코호트 전체 N이며, 상단 Sankey의 E/O 분모와 독립적으로 집계한다.</w:t>
      </w:r>
    </w:p>
    <w:p>
      <w:pPr>
        <w:pStyle w:val="ListParagraph"/>
        <w:numPr>
          <w:ilvl w:val="0"/>
          <w:numId w:val="1"/>
        </w:numPr>
        <w:spacing w:after="100"/>
      </w:pPr>
      <w:r>
        <w:rPr>
          <w:rFonts w:ascii="맑은 고딕" w:cs="맑은 고딕" w:eastAsia="맑은 고딕" w:hAnsi="맑은 고딕"/>
        </w:rPr>
        <w:t xml:space="preserve">그림2. 코호트별 Kaplan–Meier 곡선(입직/중단/재진입), 95% CI(학교단위 강건)</w:t>
      </w:r>
    </w:p>
    <w:p>
      <w:pPr>
        <w:pStyle w:val="ListParagraph"/>
        <w:numPr>
          <w:ilvl w:val="0"/>
          <w:numId w:val="1"/>
        </w:numPr>
        <w:spacing w:after="100"/>
      </w:pPr>
      <w:r>
        <w:rPr>
          <w:rFonts w:ascii="맑은 고딕" w:cs="맑은 고딕" w:eastAsia="맑은 고딕" w:hAnsi="맑은 고딕"/>
        </w:rPr>
        <w:t xml:space="preserve">그림3. Schoenfeld 잔차도표</w:t>
      </w:r>
    </w:p>
    <w:p>
      <w:pPr>
        <w:pStyle w:val="ListParagraph"/>
        <w:numPr>
          <w:ilvl w:val="0"/>
          <w:numId w:val="1"/>
        </w:numPr>
        <w:spacing w:after="100"/>
      </w:pPr>
      <w:r>
        <w:rPr>
          <w:rFonts w:ascii="맑은 고딕" w:cs="맑은 고딕" w:eastAsia="맑은 고딕" w:hAnsi="맑은 고딕"/>
        </w:rPr>
        <w:t xml:space="preserve">표1(결과표 양식). 코호트×학교유형별 12·24개월 누적 입직확률, 365일 누적 중단확률, 90·180·365일 누적 재진입확률 — [반출 후 숫자만 채움]</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Sankey 원자료 산출 예시 (ggsankey 또는 networkD3 입력용) — E/O 상태만 사용</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sankey_src &lt;- panel_long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filter(month_idx %in% c(0,6,12,24,36))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select(person_id, cohort, hs_type, month_idx, state_t)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pivot_wider(names_from = month_idx, values_from = state_t, names_prefix = "m")</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Style w:val="Heading3"/>
        <w:spacing w:after="160" w:before="300"/>
      </w:pPr>
      <w:r>
        <w:rPr>
          <w:rFonts w:ascii="맑은 고딕" w:cs="맑은 고딕" w:eastAsia="맑은 고딕" w:hAnsi="맑은 고딕"/>
        </w:rPr>
        <w:t xml:space="preserve">7. 탐색적 보완 (선택적 — 본 보고서 주결과에는 포함하지 않음)</w:t>
      </w:r>
    </w:p>
    <w:p>
      <w:pPr>
        <w:pBdr>
          <w:left w:val="single" w:color="888888" w:sz="12"/>
        </w:pBdr>
        <w:shd w:fill="F7F7F7" w:color="auto" w:val="clear"/>
        <w:spacing w:after="200" w:before="120"/>
        <w:ind w:left="400"/>
      </w:pPr>
      <w:r>
        <w:rPr>
          <w:rFonts w:ascii="맑은 고딕" w:cs="맑은 고딕" w:eastAsia="맑은 고딕" w:hAnsi="맑은 고딕"/>
          <w:i/>
          <w:iCs/>
        </w:rPr>
        <w:t xml:space="preserve">이 절은 GPT 리뷰(2026.9)의 지적을 반영해 신설했다. 초판은 GBTM 교차검증과 다중상태모형을 축1의 정식 하위분석으로 배치했으나, 두 가지 문제가 있었다: (a) OM-PAM과 GBTM은 원리가 다른 방법이라 일치도(κ)가 낮게 나와도 "어느 쪽이 틀렸다"고 판정할 기준이 없어, 결과가 어떻게 나오든 다음 행동(action)이 정의되지 않는 검증이었다. (b) 다중상태모형은 상태공간이 커질수록 희소전이 추정이 불안정한데, 본 연구의 주분석 상태공간은 Ⅲ.3절 개정으로 E/O 2개로 줄어 애초에 다중상태모형을 정당화할 만큼 상태가 다양하지 않다. 두 방법 모두 </w:t>
      </w:r>
      <w:r>
        <w:rPr>
          <w:rFonts w:ascii="맑은 고딕" w:cs="맑은 고딕" w:eastAsia="맑은 고딕" w:hAnsi="맑은 고딕"/>
          <w:b/>
          <w:bCs/>
          <w:i/>
          <w:iCs/>
        </w:rPr>
        <w:t xml:space="preserve">본문 결과에서 제외</w:t>
      </w:r>
      <w:r>
        <w:rPr>
          <w:rFonts w:ascii="맑은 고딕" w:cs="맑은 고딕" w:eastAsia="맑은 고딕" w:hAnsi="맑은 고딕"/>
          <w:i/>
          <w:iCs/>
        </w:rPr>
        <w:t xml:space="preserve">하고, 시행할 경우의 명시적 행동기준과 함께 여기 남겨둔다.</w:t>
      </w:r>
    </w:p>
    <w:p>
      <w:pPr>
        <w:pStyle w:val="ListParagraph"/>
        <w:numPr>
          <w:ilvl w:val="0"/>
          <w:numId w:val="1"/>
        </w:numPr>
        <w:spacing w:after="100"/>
      </w:pPr>
      <w:r>
        <w:rPr>
          <w:rFonts w:ascii="맑은 고딕" w:cs="맑은 고딕" w:eastAsia="맑은 고딕" w:hAnsi="맑은 고딕"/>
          <w:b/>
          <w:bCs/>
        </w:rPr>
        <w:t xml:space="preserve">GBTM 교차검증</w:t>
      </w:r>
      <w:r>
        <w:rPr>
          <w:rFonts w:ascii="맑은 고딕" w:cs="맑은 고딕" w:eastAsia="맑은 고딕" w:hAnsi="맑은 고딕"/>
        </w:rPr>
        <w:t xml:space="preserve">: 본문 결과와 무관하게 수행하려면, 사전에 "κ&lt;0.4이면 OM-PAM 결과를 그대로 채택하고 GBTM 결과는 보고하지 않는다"처럼 </w:t>
      </w:r>
      <w:r>
        <w:rPr>
          <w:rFonts w:ascii="맑은 고딕" w:cs="맑은 고딕" w:eastAsia="맑은 고딕" w:hAnsi="맑은 고딕"/>
          <w:b/>
          <w:bCs/>
        </w:rPr>
        <w:t xml:space="preserve">행동기준을 먼저 정한 뒤</w:t>
      </w:r>
      <w:r>
        <w:rPr>
          <w:rFonts w:ascii="맑은 고딕" w:cs="맑은 고딕" w:eastAsia="맑은 고딕" w:hAnsi="맑은 고딕"/>
        </w:rPr>
        <w:t xml:space="preserve"> 실행한다. 코드는 이전 판(git history 참조)의 </w:t>
      </w:r>
      <w:r>
        <w:rPr>
          <w:rFonts w:ascii="Consolas" w:cs="Consolas" w:eastAsia="Consolas" w:hAnsi="Consolas"/>
          <w:sz w:val="19"/>
          <w:szCs w:val="19"/>
        </w:rPr>
        <w:t xml:space="preserve">lcmm::hlme</w:t>
      </w:r>
      <w:r>
        <w:rPr>
          <w:rFonts w:ascii="맑은 고딕" w:cs="맑은 고딕" w:eastAsia="맑은 고딕" w:hAnsi="맑은 고딕"/>
        </w:rPr>
        <w:t xml:space="preserve"> 스켈레톤을 그대로 재사용 가능하다.</w:t>
      </w:r>
    </w:p>
    <w:p>
      <w:pPr>
        <w:pStyle w:val="ListParagraph"/>
        <w:numPr>
          <w:ilvl w:val="0"/>
          <w:numId w:val="1"/>
        </w:numPr>
        <w:spacing w:after="100"/>
      </w:pPr>
      <w:r>
        <w:rPr>
          <w:rFonts w:ascii="맑은 고딕" w:cs="맑은 고딕" w:eastAsia="맑은 고딕" w:hAnsi="맑은 고딕"/>
          <w:b/>
          <w:bCs/>
        </w:rPr>
        <w:t xml:space="preserve">다중상태 강도모형</w:t>
      </w:r>
      <w:r>
        <w:rPr>
          <w:rFonts w:ascii="맑은 고딕" w:cs="맑은 고딕" w:eastAsia="맑은 고딕" w:hAnsi="맑은 고딕"/>
        </w:rPr>
        <w:t xml:space="preserve">: 축2(교육-직종 연결)와 결합한 확장분석이 필요해질 경우에만, 상태를 최소한(E/O/교육중 3범주)으로 통합해 후속연구로 수행한다. </w:t>
      </w:r>
      <w:r>
        <w:rPr>
          <w:rFonts w:ascii="Consolas" w:cs="Consolas" w:eastAsia="Consolas" w:hAnsi="Consolas"/>
          <w:sz w:val="19"/>
          <w:szCs w:val="19"/>
        </w:rPr>
        <w:t xml:space="preserve">msm</w:t>
      </w:r>
      <w:r>
        <w:rPr>
          <w:rFonts w:ascii="맑은 고딕" w:cs="맑은 고딕" w:eastAsia="맑은 고딕" w:hAnsi="맑은 고딕"/>
        </w:rPr>
        <w:t xml:space="preserve"> 스켈레톤은 부록에 보관한다.</w:t>
      </w:r>
    </w:p>
    <w:p>
      <w:pPr>
        <w:pBdr>
          <w:bottom w:val="single" w:color="999999" w:sz="6"/>
        </w:pBdr>
        <w:spacing w:after="300" w:before="100"/>
      </w:pPr>
      <w:r>
        <w:t xml:space="preserve"/>
      </w:r>
    </w:p>
    <w:p>
      <w:pPr>
        <w:pStyle w:val="Heading2"/>
        <w:spacing w:after="160" w:before="300"/>
      </w:pPr>
      <w:r>
        <w:rPr>
          <w:rFonts w:ascii="맑은 고딕" w:cs="맑은 고딕" w:eastAsia="맑은 고딕" w:hAnsi="맑은 고딕"/>
        </w:rPr>
        <w:t xml:space="preserve">V. 분석축 2 — 교육분야-직종-진학 연결</w:t>
      </w:r>
    </w:p>
    <w:p>
      <w:pPr>
        <w:pBdr>
          <w:left w:val="single" w:color="888888" w:sz="12"/>
        </w:pBdr>
        <w:shd w:fill="F7F7F7" w:color="auto" w:val="clear"/>
        <w:spacing w:after="200" w:before="120"/>
        <w:ind w:left="400"/>
      </w:pPr>
      <w:r>
        <w:rPr>
          <w:rFonts w:ascii="맑은 고딕" w:cs="맑은 고딕" w:eastAsia="맑은 고딕" w:hAnsi="맑은 고딕"/>
          <w:i/>
          <w:iCs/>
        </w:rPr>
        <w:t xml:space="preserve">이 장은 </w:t>
      </w:r>
      <w:r>
        <w:rPr>
          <w:rFonts w:ascii="맑은 고딕" w:cs="맑은 고딕" w:eastAsia="맑은 고딕" w:hAnsi="맑은 고딕"/>
          <w:b/>
          <w:bCs/>
          <w:i/>
          <w:iCs/>
        </w:rPr>
        <w:t xml:space="preserve">서술적 분석</w:t>
      </w:r>
      <w:r>
        <w:rPr>
          <w:rFonts w:ascii="맑은 고딕" w:cs="맑은 고딕" w:eastAsia="맑은 고딕" w:hAnsi="맑은 고딕"/>
          <w:i/>
          <w:iCs/>
        </w:rPr>
        <w:t xml:space="preserve">이며 인과관계를 주장하지 않는다. (v2 개정: 진학을 초판의 축3-PSM에서 이 장의 "경로(상태) 비교"로 이동했다 — 근거는 3-2절.)</w:t>
      </w:r>
    </w:p>
    <w:p>
      <w:pPr>
        <w:pStyle w:val="Heading3"/>
        <w:spacing w:after="160" w:before="300"/>
      </w:pPr>
      <w:r>
        <w:rPr>
          <w:rFonts w:ascii="맑은 고딕" w:cs="맑은 고딕" w:eastAsia="맑은 고딕" w:hAnsi="맑은 고딕"/>
        </w:rPr>
        <w:t xml:space="preserve">1. 연구문제</w:t>
      </w:r>
    </w:p>
    <w:p>
      <w:pPr>
        <w:pStyle w:val="ListParagraph"/>
        <w:numPr>
          <w:ilvl w:val="0"/>
          <w:numId w:val="1"/>
        </w:numPr>
        <w:spacing w:after="100"/>
      </w:pPr>
      <w:r>
        <w:rPr>
          <w:rFonts w:ascii="맑은 고딕" w:cs="맑은 고딕" w:eastAsia="맑은 고딕" w:hAnsi="맑은 고딕"/>
        </w:rPr>
        <w:t xml:space="preserve">RQ2-1. 고교 교육분야는 어떤 직종으로 연결되며, 연결의 집중·분산 정도는 분야별로 어떻게 다른가?</w:t>
      </w:r>
    </w:p>
    <w:p>
      <w:pPr>
        <w:pStyle w:val="ListParagraph"/>
        <w:numPr>
          <w:ilvl w:val="0"/>
          <w:numId w:val="1"/>
        </w:numPr>
        <w:spacing w:after="100"/>
      </w:pPr>
      <w:r>
        <w:rPr>
          <w:rFonts w:ascii="맑은 고딕" w:cs="맑은 고딕" w:eastAsia="맑은 고딕" w:hAnsi="맑은 고딕"/>
        </w:rPr>
        <w:t xml:space="preserve">RQ2-2. 취득이력 간 직종 변경은 어떤 조건에서 발생하는가?</w:t>
      </w:r>
    </w:p>
    <w:p>
      <w:pPr>
        <w:pStyle w:val="ListParagraph"/>
        <w:numPr>
          <w:ilvl w:val="0"/>
          <w:numId w:val="1"/>
        </w:numPr>
        <w:spacing w:after="100"/>
      </w:pPr>
      <w:r>
        <w:rPr>
          <w:rFonts w:ascii="맑은 고딕" w:cs="맑은 고딕" w:eastAsia="맑은 고딕" w:hAnsi="맑은 고딕"/>
        </w:rPr>
        <w:t xml:space="preserve">RQ2-3. 고교 교육분야는 어떤 대학 교육분야로 이어지며, 진학자와 고졸 취업자의 관측된 경로·소득 분포는 어떻게 다른가? (기술적 비교 — 인과효과 아님)</w:t>
      </w:r>
    </w:p>
    <w:p>
      <w:pPr>
        <w:pStyle w:val="Heading3"/>
        <w:spacing w:after="160" w:before="300"/>
      </w:pPr>
      <w:r>
        <w:rPr>
          <w:rFonts w:ascii="맑은 고딕" w:cs="맑은 고딕" w:eastAsia="맑은 고딕" w:hAnsi="맑은 고딕"/>
        </w:rPr>
        <w:t xml:space="preserve">2. 변수정의표</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tblHeader/>
        </w:trPr>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변수명(작업용)</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유형</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정의</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코드·범위</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occ_code</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취득시점 직종(KECO 중분류)</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차수(2·3/4/5차) 병기</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occ_ver</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직종분류 차수 코드</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OCCUPATION_VER</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field_occ_relate</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전공-직종 분류상 관련성</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1=관련, 2=관련가능·혼합, 3=무관련, 4=일반프로그램 비적용, M=미상</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occ_change</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이분</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취득이력 간 직종 변경 여부</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1=변경, 0=유지, M=판정불가</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occ_change_cnt</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정수</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개인별 변경 횟수</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≥0</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college_field2</w:t>
            </w:r>
            <w:r>
              <w:rPr>
                <w:rFonts w:ascii="맑은 고딕" w:cs="맑은 고딕" w:eastAsia="맑은 고딕" w:hAnsi="맑은 고딕"/>
                <w:sz w:val="18"/>
                <w:szCs w:val="18"/>
              </w:rPr>
              <w:t xml:space="preserve">, </w:t>
            </w:r>
            <w:r>
              <w:rPr>
                <w:rFonts w:ascii="Consolas" w:cs="Consolas" w:eastAsia="Consolas" w:hAnsi="Consolas"/>
                <w:sz w:val="18"/>
                <w:szCs w:val="18"/>
              </w:rPr>
              <w:t xml:space="preserve">college_type</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대학 전공(KSCED)·유형</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전문대/일반대/원격대/기타 (2020·2023만)</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H_field</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연속</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전공별 도착직종 엔트로피</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$H_m=-\sum_o p_{o</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m}\log p_{o</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m}$</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pathway_cluster</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명목</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축1 PAM 경로군집 번호</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1..k* (참고용, Ⅴ.5절 탐색적 보완에서만 사용)</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enroll</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이분</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졸업 직후 진학 여부</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1=진학, 0=미진학(고졸 취업자 포함) — 2020·2023만[반출 확인 필요: 2015 진학여부 항목 없음]</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income_year_n</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순서</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졸업 후 n년차 연간 보수구간</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100만원 단위 구간</w:t>
            </w:r>
          </w:p>
        </w:tc>
      </w:tr>
    </w:tbl>
    <w:p>
      <w:pPr>
        <w:spacing w:after="160"/>
      </w:pPr>
    </w:p>
    <w:p>
      <w:pPr>
        <w:pStyle w:val="Heading3"/>
        <w:spacing w:after="160" w:before="300"/>
      </w:pPr>
      <w:r>
        <w:rPr>
          <w:rFonts w:ascii="맑은 고딕" w:cs="맑은 고딕" w:eastAsia="맑은 고딕" w:hAnsi="맑은 고딕"/>
        </w:rPr>
        <w:t xml:space="preserve">3. 고교분야-직종 연결과 엔트로피 지수 (주분석)</w:t>
      </w:r>
    </w:p>
    <w:p>
      <w:pPr>
        <w:pBdr>
          <w:left w:val="single" w:color="888888" w:sz="12"/>
        </w:pBdr>
        <w:shd w:fill="F7F7F7" w:color="auto" w:val="clear"/>
        <w:spacing w:after="200" w:before="120"/>
        <w:ind w:left="400"/>
      </w:pPr>
      <w:r>
        <w:rPr>
          <w:rFonts w:ascii="맑은 고딕" w:cs="맑은 고딕" w:eastAsia="맑은 고딕" w:hAnsi="맑은 고딕"/>
          <w:i/>
          <w:iCs/>
        </w:rPr>
        <w:t xml:space="preserve">v2 개정: 초판은 범주형 관련성 판정(관련/관련가능/무관련)을 주분석으로, 엔트로피를 부록급 "추가 제안"으로 배치했다. 순서를 뒤집는다 — 엔트로피는 연속형·재현가능한 지표인 반면, 범주형 관련성 판정은 KSCED 대분류의 넓은 경계와 판정자 주관에 의존하므로 </w:t>
      </w:r>
      <w:r>
        <w:rPr>
          <w:rFonts w:ascii="맑은 고딕" w:cs="맑은 고딕" w:eastAsia="맑은 고딕" w:hAnsi="맑은 고딕"/>
          <w:b/>
          <w:bCs/>
          <w:i/>
          <w:iCs/>
        </w:rPr>
        <w:t xml:space="preserve">주분석의 자격을 엔트로피가 갖고, 관련성 판정은 4절로 내려 보조지표화</w:t>
      </w:r>
      <w:r>
        <w:rPr>
          <w:rFonts w:ascii="맑은 고딕" w:cs="맑은 고딕" w:eastAsia="맑은 고딕" w:hAnsi="맑은 고딕"/>
          <w:i/>
          <w:iCs/>
        </w:rPr>
        <w:t xml:space="preserve">한다.</w:t>
      </w:r>
    </w:p>
    <w:p>
      <w:pPr>
        <w:spacing w:after="200"/>
      </w:pPr>
      <w:r>
        <w:rPr>
          <w:rFonts w:ascii="맑은 고딕" w:cs="맑은 고딕" w:eastAsia="맑은 고딕" w:hAnsi="맑은 고딕"/>
          <w:b/>
          <w:bCs/>
        </w:rPr>
        <w:t xml:space="preserve">수식.</w:t>
      </w:r>
      <w:r>
        <w:rPr>
          <w:rFonts w:ascii="맑은 고딕" w:cs="맑은 고딕" w:eastAsia="맑은 고딕" w:hAnsi="맑은 고딕"/>
        </w:rPr>
        <w:t xml:space="preserve"> </w:t>
      </w:r>
      <w:r>
        <w:rPr>
          <w:rFonts w:ascii="Cambria Math" w:cs="Cambria Math" w:eastAsia="Cambria Math" w:hAnsi="Cambria Math"/>
          <w:i/>
          <w:iCs/>
        </w:rPr>
        <w:t xml:space="preserve">H_m=-\sum_{o} p_{o|m}\log p_{o|m}</w:t>
      </w:r>
      <w:r>
        <w:rPr>
          <w:rFonts w:ascii="맑은 고딕" w:cs="맑은 고딕" w:eastAsia="맑은 고딕" w:hAnsi="맑은 고딕"/>
        </w:rPr>
        <w:t xml:space="preserve">, </w:t>
      </w:r>
      <w:r>
        <w:rPr>
          <w:rFonts w:ascii="Cambria Math" w:cs="Cambria Math" w:eastAsia="Cambria Math" w:hAnsi="Cambria Math"/>
          <w:i/>
          <w:iCs/>
        </w:rPr>
        <w:t xml:space="preserve">p_{o|m}</w:t>
      </w:r>
      <w:r>
        <w:rPr>
          <w:rFonts w:ascii="맑은 고딕" w:cs="맑은 고딕" w:eastAsia="맑은 고딕" w:hAnsi="맑은 고딕"/>
        </w:rPr>
        <w:t xml:space="preserve">=전공 </w:t>
      </w:r>
      <w:r>
        <w:rPr>
          <w:rFonts w:ascii="Cambria Math" w:cs="Cambria Math" w:eastAsia="Cambria Math" w:hAnsi="Cambria Math"/>
          <w:i/>
          <w:iCs/>
        </w:rPr>
        <w:t xml:space="preserve">m</w:t>
      </w:r>
      <w:r>
        <w:rPr>
          <w:rFonts w:ascii="맑은 고딕" w:cs="맑은 고딕" w:eastAsia="맑은 고딕" w:hAnsi="맑은 고딕"/>
        </w:rPr>
        <w:t xml:space="preserve">에서 직종 </w:t>
      </w:r>
      <w:r>
        <w:rPr>
          <w:rFonts w:ascii="Cambria Math" w:cs="Cambria Math" w:eastAsia="Cambria Math" w:hAnsi="Cambria Math"/>
          <w:i/>
          <w:iCs/>
        </w:rPr>
        <w:t xml:space="preserve">o</w:t>
      </w:r>
      <w:r>
        <w:rPr>
          <w:rFonts w:ascii="맑은 고딕" w:cs="맑은 고딕" w:eastAsia="맑은 고딕" w:hAnsi="맑은 고딕"/>
        </w:rPr>
        <w:t xml:space="preserve">로 연결된 비율. </w:t>
      </w:r>
      <w:r>
        <w:rPr>
          <w:rFonts w:ascii="Cambria Math" w:cs="Cambria Math" w:eastAsia="Cambria Math" w:hAnsi="Cambria Math"/>
          <w:i/>
          <w:iCs/>
        </w:rPr>
        <w:t xml:space="preserve">H_m</w:t>
      </w:r>
      <w:r>
        <w:rPr>
          <w:rFonts w:ascii="맑은 고딕" w:cs="맑은 고딕" w:eastAsia="맑은 고딕" w:hAnsi="맑은 고딕"/>
        </w:rPr>
        <w:t xml:space="preserve">이 낮을수록 특정 직종 종속적, 높을수록 범용적 흡수 경로(기원·해석은 Ⅱ.10절).</w:t>
      </w:r>
    </w:p>
    <w:p>
      <w:pPr>
        <w:spacing w:after="200"/>
      </w:pPr>
      <w:r>
        <w:rPr>
          <w:rFonts w:ascii="맑은 고딕" w:cs="맑은 고딕" w:eastAsia="맑은 고딕" w:hAnsi="맑은 고딕"/>
          <w:b/>
          <w:bCs/>
        </w:rPr>
        <w:t xml:space="preserve">R 코드 스켈레톤</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occ_link: person_id, hs_field2, occ_group(공통 직종 비교군)</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entropy_tab &lt;- occ_link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filter(!is.na(occ_group))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count(hs_field2, occ_group)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group_by(hs_field2)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mutate(p = n / sum(n))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summarise(H_field = -sum(p * log(p)), n_obs = sum(n), .groups = "drop")</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Style w:val="Heading3"/>
        <w:spacing w:after="160" w:before="300"/>
      </w:pPr>
      <w:r>
        <w:rPr>
          <w:rFonts w:ascii="맑은 고딕" w:cs="맑은 고딕" w:eastAsia="맑은 고딕" w:hAnsi="맑은 고딕"/>
        </w:rPr>
        <w:t xml:space="preserve">4. 전공-직종 관련성 판정 (보조지표)</w:t>
      </w:r>
    </w:p>
    <w:p>
      <w:pPr>
        <w:spacing w:after="200"/>
      </w:pPr>
      <w:r>
        <w:rPr>
          <w:rFonts w:ascii="맑은 고딕" w:cs="맑은 고딕" w:eastAsia="맑은 고딕" w:hAnsi="맑은 고딕"/>
        </w:rPr>
        <w:t xml:space="preserve">한국표준교육분류(KSCED) × 한국고용직업분류(KECO) 판정표(관련/관련가능·혼합/무관련/일반프로그램 비적용/미상, Ⅴ장 원안 Ⅱ장 이론배경 참조)는 </w:t>
      </w:r>
      <w:r>
        <w:rPr>
          <w:rFonts w:ascii="맑은 고딕" w:cs="맑은 고딕" w:eastAsia="맑은 고딕" w:hAnsi="맑은 고딕"/>
          <w:b/>
          <w:bCs/>
        </w:rPr>
        <w:t xml:space="preserve">엔트로피 지수의 보조지표</w:t>
      </w:r>
      <w:r>
        <w:rPr>
          <w:rFonts w:ascii="맑은 고딕" w:cs="맑은 고딕" w:eastAsia="맑은 고딕" w:hAnsi="맑은 고딕"/>
        </w:rPr>
        <w:t xml:space="preserve">로만 제시한다. 사전에 합의된 대응표(부록)가 있을 때만 보고하며, 표의 신뢰도를 판정자 간 일치도로 병기한다.</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판정자 간 일치도(관련성 코딩)</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irr::kappa2(cbind(rater1$field_occ_relate, rater2$field_occ_relate))</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Style w:val="Heading3"/>
        <w:spacing w:after="160" w:before="300"/>
      </w:pPr>
      <w:r>
        <w:rPr>
          <w:rFonts w:ascii="맑은 고딕" w:cs="맑은 고딕" w:eastAsia="맑은 고딕" w:hAnsi="맑은 고딕"/>
        </w:rPr>
        <w:t xml:space="preserve">5. 직종 변경 분석</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transition_pairs: person_id, prior_occ, next_occ, prior_loss_reason, wp_size_prior, wp_size_next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transition_pairs &lt;- transition_pairs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mutate(occ_change = if_else(!is.na(prior_occ) &amp; !is.na(next_occ),</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as.integer(prior_occ != next_occ), NA_integer_),</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size_change = case_when(wp_size_next &gt; wp_size_prior ~ 1L,</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wp_size_next == wp_size_prior ~ 0L,</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wp_size_next &lt; wp_size_prior ~ -1L, TRUE ~ NA_integer_))</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Style w:val="Heading3"/>
        <w:spacing w:after="160" w:before="300"/>
      </w:pPr>
      <w:r>
        <w:rPr>
          <w:rFonts w:ascii="맑은 고딕" w:cs="맑은 고딕" w:eastAsia="맑은 고딕" w:hAnsi="맑은 고딕"/>
        </w:rPr>
        <w:t xml:space="preserve">6. 진학 경로 비교 — 기술적 분석 (v2 신설: 축3-PSM에서 이동)</w:t>
      </w:r>
    </w:p>
    <w:p>
      <w:pPr>
        <w:pBdr>
          <w:left w:val="single" w:color="888888" w:sz="12"/>
        </w:pBdr>
        <w:shd w:fill="F7F7F7" w:color="auto" w:val="clear"/>
        <w:spacing w:after="200" w:before="120"/>
        <w:ind w:left="400"/>
      </w:pPr>
      <w:r>
        <w:rPr>
          <w:rFonts w:ascii="맑은 고딕" w:cs="맑은 고딕" w:eastAsia="맑은 고딕" w:hAnsi="맑은 고딕"/>
          <w:b/>
          <w:bCs/>
          <w:i/>
          <w:iCs/>
        </w:rPr>
        <w:t xml:space="preserve">왜 여기로 옮겼는가.</w:t>
      </w:r>
      <w:r>
        <w:rPr>
          <w:rFonts w:ascii="맑은 고딕" w:cs="맑은 고딕" w:eastAsia="맑은 고딕" w:hAnsi="맑은 고딕"/>
          <w:i/>
          <w:iCs/>
        </w:rPr>
        <w:t xml:space="preserve"> 초판은 진학효과를 축3에서 PSM(ATT)으로 추정했다. 그러나 매칭에 필요한 성적·가정배경 대리변수(</w:t>
      </w:r>
      <w:r>
        <w:rPr>
          <w:rFonts w:ascii="Consolas" w:cs="Consolas" w:eastAsia="Consolas" w:hAnsi="Consolas"/>
          <w:i/>
          <w:iCs/>
          <w:sz w:val="19"/>
          <w:szCs w:val="19"/>
        </w:rPr>
        <w:t xml:space="preserve">gpa_ms</w:t>
      </w:r>
      <w:r>
        <w:rPr>
          <w:rFonts w:ascii="맑은 고딕" w:cs="맑은 고딕" w:eastAsia="맑은 고딕" w:hAnsi="맑은 고딕"/>
          <w:i/>
          <w:iCs/>
        </w:rPr>
        <w:t xml:space="preserve">, </w:t>
      </w:r>
      <w:r>
        <w:rPr>
          <w:rFonts w:ascii="Consolas" w:cs="Consolas" w:eastAsia="Consolas" w:hAnsi="Consolas"/>
          <w:i/>
          <w:iCs/>
          <w:sz w:val="19"/>
          <w:szCs w:val="19"/>
        </w:rPr>
        <w:t xml:space="preserve">hh_proxy</w:t>
      </w:r>
      <w:r>
        <w:rPr>
          <w:rFonts w:ascii="맑은 고딕" w:cs="맑은 고딕" w:eastAsia="맑은 고딕" w:hAnsi="맑은 고딕"/>
          <w:i/>
          <w:iCs/>
        </w:rPr>
        <w:t xml:space="preserve">)가 확정 자료요청 항목(Ⅲ.1절, doc2 11.1절)에 없다 — 즉 "확보하면 좋은 변수"가 아니라 </w:t>
      </w:r>
      <w:r>
        <w:rPr>
          <w:rFonts w:ascii="맑은 고딕" w:cs="맑은 고딕" w:eastAsia="맑은 고딕" w:hAnsi="맑은 고딕"/>
          <w:b/>
          <w:bCs/>
          <w:i/>
          <w:iCs/>
        </w:rPr>
        <w:t xml:space="preserve">현재 자료에 존재하지 않는 변수를 전제로 한 인과설계</w:t>
      </w:r>
      <w:r>
        <w:rPr>
          <w:rFonts w:ascii="맑은 고딕" w:cs="맑은 고딕" w:eastAsia="맑은 고딕" w:hAnsi="맑은 고딕"/>
          <w:i/>
          <w:iCs/>
        </w:rPr>
        <w:t xml:space="preserve">였다. 진학이라는 선택은 마이스터고-특성화고 비교보다도 성적·가정배경에 더 강하게 좌우되므로, 이 통제변수 없이 "진학효과"를 주장하는 것은 근거가 약하다. 대신 진학을 축2의 관측된 경로(상태) 중 하나로 내려, </w:t>
      </w:r>
      <w:r>
        <w:rPr>
          <w:rFonts w:ascii="맑은 고딕" w:cs="맑은 고딕" w:eastAsia="맑은 고딕" w:hAnsi="맑은 고딕"/>
          <w:b/>
          <w:bCs/>
          <w:i/>
          <w:iCs/>
        </w:rPr>
        <w:t xml:space="preserve">인과효과를 주장하지 않는 조정된 기술비교</w:t>
      </w:r>
      <w:r>
        <w:rPr>
          <w:rFonts w:ascii="맑은 고딕" w:cs="맑은 고딕" w:eastAsia="맑은 고딕" w:hAnsi="맑은 고딕"/>
          <w:i/>
          <w:iCs/>
        </w:rPr>
        <w:t xml:space="preserve">로 재정의한다.</w:t>
      </w:r>
    </w:p>
    <w:p>
      <w:pPr>
        <w:spacing w:after="200"/>
      </w:pPr>
      <w:r>
        <w:rPr>
          <w:rFonts w:ascii="맑은 고딕" w:cs="맑은 고딕" w:eastAsia="맑은 고딕" w:hAnsi="맑은 고딕"/>
          <w:b/>
          <w:bCs/>
        </w:rPr>
        <w:t xml:space="preserve">6.1 진학 경로 분류 전처리 (Sankey·소득비교 공통 전제).</w:t>
      </w:r>
      <w:r>
        <w:rPr>
          <w:rFonts w:ascii="맑은 고딕" w:cs="맑은 고딕" w:eastAsia="맑은 고딕" w:hAnsi="맑은 고딕"/>
        </w:rPr>
        <w:t xml:space="preserve"> 그림4(Sankey)·그림6(소득비교) 모두 "모든 사람이 첫 직종을 갖는다"는 암묵적 가정 위에 만들면 안 된다. 취업이력·진학이력의 유무·순서로 먼저 </w:t>
      </w:r>
      <w:r>
        <w:rPr>
          <w:rFonts w:ascii="맑은 고딕" w:cs="맑은 고딕" w:eastAsia="맑은 고딕" w:hAnsi="맑은 고딕"/>
          <w:b/>
          <w:bCs/>
        </w:rPr>
        <w:t xml:space="preserve">상호배타적 4개 경로유형</w:t>
      </w:r>
      <w:r>
        <w:rPr>
          <w:rFonts w:ascii="맑은 고딕" w:cs="맑은 고딕" w:eastAsia="맑은 고딕" w:hAnsi="맑은 고딕"/>
        </w:rPr>
        <w:t xml:space="preserve">을 확정한 뒤에만 두 그림을 구성한다.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tblHeader/>
        </w:trPr>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경로유형</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정의(사건 순서 기준)</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Sankey 2단("첫 직종") 노드</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Sankey 3단("진학경로") 노드</w:t>
            </w:r>
          </w:p>
        </w:tc>
      </w:tr>
      <w:tr>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직행취업형</w:t>
            </w:r>
          </w:p>
        </w:tc>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E_start</w:t>
            </w:r>
            <w:r>
              <w:rPr>
                <w:rFonts w:ascii="맑은 고딕" w:cs="맑은 고딕" w:eastAsia="맑은 고딕" w:hAnsi="맑은 고딕"/>
                <w:sz w:val="18"/>
                <w:szCs w:val="18"/>
              </w:rPr>
              <w:t xml:space="preserve"> 있음, </w:t>
            </w:r>
            <w:r>
              <w:rPr>
                <w:rFonts w:ascii="Consolas" w:cs="Consolas" w:eastAsia="Consolas" w:hAnsi="Consolas"/>
                <w:sz w:val="18"/>
                <w:szCs w:val="18"/>
              </w:rPr>
              <w:t xml:space="preserve">enroll_date</w:t>
            </w:r>
            <w:r>
              <w:rPr>
                <w:rFonts w:ascii="맑은 고딕" w:cs="맑은 고딕" w:eastAsia="맑은 고딕" w:hAnsi="맑은 고딕"/>
                <w:sz w:val="18"/>
                <w:szCs w:val="18"/>
              </w:rPr>
              <w:t xml:space="preserve"> 없음</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실제 </w:t>
            </w:r>
            <w:r>
              <w:rPr>
                <w:rFonts w:ascii="Consolas" w:cs="Consolas" w:eastAsia="Consolas" w:hAnsi="Consolas"/>
                <w:sz w:val="18"/>
                <w:szCs w:val="18"/>
              </w:rPr>
              <w:t xml:space="preserve">occ_code</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고졸취업 유지</w:t>
            </w:r>
          </w:p>
        </w:tc>
      </w:tr>
      <w:tr>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선취업후진학형</w:t>
            </w:r>
          </w:p>
        </w:tc>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E_start</w:t>
            </w:r>
            <w:r>
              <w:rPr>
                <w:rFonts w:ascii="맑은 고딕" w:cs="맑은 고딕" w:eastAsia="맑은 고딕" w:hAnsi="맑은 고딕"/>
                <w:sz w:val="18"/>
                <w:szCs w:val="18"/>
              </w:rPr>
              <w:t xml:space="preserve"> 있고 </w:t>
            </w:r>
            <w:r>
              <w:rPr>
                <w:rFonts w:ascii="Consolas" w:cs="Consolas" w:eastAsia="Consolas" w:hAnsi="Consolas"/>
                <w:sz w:val="18"/>
                <w:szCs w:val="18"/>
              </w:rPr>
              <w:t xml:space="preserve">E_start &lt; enroll_date</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실제 </w:t>
            </w:r>
            <w:r>
              <w:rPr>
                <w:rFonts w:ascii="Consolas" w:cs="Consolas" w:eastAsia="Consolas" w:hAnsi="Consolas"/>
                <w:sz w:val="18"/>
                <w:szCs w:val="18"/>
              </w:rPr>
              <w:t xml:space="preserve">occ_code</w:t>
            </w:r>
            <w:r>
              <w:rPr>
                <w:rFonts w:ascii="맑은 고딕" w:cs="맑은 고딕" w:eastAsia="맑은 고딕" w:hAnsi="맑은 고딕"/>
                <w:sz w:val="18"/>
                <w:szCs w:val="18"/>
              </w:rPr>
              <w:t xml:space="preserve">(진학 전 직종이므로 유효)</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동일/타계열 진학(고교–대학 KSCED 비교)</w:t>
            </w:r>
          </w:p>
        </w:tc>
      </w:tr>
      <w:tr>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즉시진학형(선학습형)</w:t>
            </w:r>
          </w:p>
        </w:tc>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enroll_date</w:t>
            </w:r>
            <w:r>
              <w:rPr>
                <w:rFonts w:ascii="맑은 고딕" w:cs="맑은 고딕" w:eastAsia="맑은 고딕" w:hAnsi="맑은 고딕"/>
                <w:sz w:val="18"/>
                <w:szCs w:val="18"/>
              </w:rPr>
              <w:t xml:space="preserve"> 있고 (</w:t>
            </w:r>
            <w:r>
              <w:rPr>
                <w:rFonts w:ascii="Consolas" w:cs="Consolas" w:eastAsia="Consolas" w:hAnsi="Consolas"/>
                <w:sz w:val="18"/>
                <w:szCs w:val="18"/>
              </w:rPr>
              <w:t xml:space="preserve">E_start</w:t>
            </w:r>
            <w:r>
              <w:rPr>
                <w:rFonts w:ascii="맑은 고딕" w:cs="맑은 고딕" w:eastAsia="맑은 고딕" w:hAnsi="맑은 고딕"/>
                <w:sz w:val="18"/>
                <w:szCs w:val="18"/>
              </w:rPr>
              <w:t xml:space="preserve"> 없음 또는 </w:t>
            </w:r>
            <w:r>
              <w:rPr>
                <w:rFonts w:ascii="Consolas" w:cs="Consolas" w:eastAsia="Consolas" w:hAnsi="Consolas"/>
                <w:sz w:val="18"/>
                <w:szCs w:val="18"/>
              </w:rPr>
              <w:t xml:space="preserve">E_start ≥ enroll_date</w:t>
            </w:r>
            <w:r>
              <w:rPr>
                <w:rFonts w:ascii="맑은 고딕" w:cs="맑은 고딕" w:eastAsia="맑은 고딕" w:hAnsi="맑은 고딕"/>
                <w:sz w:val="18"/>
                <w:szCs w:val="18"/>
              </w:rPr>
              <w:t xml:space="preserve">)</w:t>
            </w:r>
          </w:p>
        </w:tc>
        <w:tc>
          <w:tcPr>
            <w:tcW w:type="dxa" w:w="2375"/>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"직행진학(취업이력없음)"</w:t>
            </w:r>
            <w:r>
              <w:rPr>
                <w:rFonts w:ascii="맑은 고딕" w:cs="맑은 고딕" w:eastAsia="맑은 고딕" w:hAnsi="맑은 고딕"/>
                <w:sz w:val="18"/>
                <w:szCs w:val="18"/>
              </w:rPr>
              <w:t xml:space="preserve">(별도 노드)</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동일/타계열 진학</w:t>
            </w:r>
          </w:p>
        </w:tc>
      </w:tr>
      <w:tr>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미관측 지속형</w:t>
            </w:r>
          </w:p>
        </w:tc>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E_start</w:t>
            </w:r>
            <w:r>
              <w:rPr>
                <w:rFonts w:ascii="맑은 고딕" w:cs="맑은 고딕" w:eastAsia="맑은 고딕" w:hAnsi="맑은 고딕"/>
                <w:sz w:val="18"/>
                <w:szCs w:val="18"/>
              </w:rPr>
              <w:t xml:space="preserve">·</w:t>
            </w:r>
            <w:r>
              <w:rPr>
                <w:rFonts w:ascii="Consolas" w:cs="Consolas" w:eastAsia="Consolas" w:hAnsi="Consolas"/>
                <w:sz w:val="18"/>
                <w:szCs w:val="18"/>
              </w:rPr>
              <w:t xml:space="preserve">enroll_date</w:t>
            </w:r>
            <w:r>
              <w:rPr>
                <w:rFonts w:ascii="맑은 고딕" w:cs="맑은 고딕" w:eastAsia="맑은 고딕" w:hAnsi="맑은 고딕"/>
                <w:sz w:val="18"/>
                <w:szCs w:val="18"/>
              </w:rPr>
              <w:t xml:space="preserve"> 모두 없음</w:t>
            </w:r>
          </w:p>
        </w:tc>
        <w:tc>
          <w:tcPr>
            <w:tcW w:type="dxa" w:w="2375"/>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"미관측 지속"</w:t>
            </w:r>
            <w:r>
              <w:rPr>
                <w:rFonts w:ascii="맑은 고딕" w:cs="맑은 고딕" w:eastAsia="맑은 고딕" w:hAnsi="맑은 고딕"/>
                <w:sz w:val="18"/>
                <w:szCs w:val="18"/>
              </w:rPr>
              <w:t xml:space="preserve">(별도 노드)</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미관측 지속(그대로 통과)</w:t>
            </w:r>
          </w:p>
        </w:tc>
      </w:tr>
    </w:tbl>
    <w:p>
      <w:pPr>
        <w:spacing w:after="160"/>
      </w:pP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person_events: person_id, hs_field2, E_start(첫 고용보험 취득일), enroll_date, occ_code, college_field2</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person_events &lt;- person_events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mutate(pathway = case_when(</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is.na(E_start) &amp; is.na(enroll_date) ~ "미관측지속",</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!is.na(enroll_date) &amp; (is.na(E_start) | E_start &gt;= enroll_date) ~ "즉시진학",</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!is.na(E_start) &amp; is.na(enroll_date) ~ "직행취업",</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!is.na(E_start) &amp; E_start &lt; enroll_date ~ "선취업후진학",</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TRUE ~ NA_character_</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2단 노드 값: occ_code는 직행취업·선취업후진학에서만 유효값 사용</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sankey_stage2 &lt;- person_events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mutate(node2 = case_when(</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pathway %in% c("직행취업","선취업후진학") ~ occ_group,   # 공통 직종 비교군</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pathway == "즉시진학" ~ "직행진학(취업이력없음)",</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pathway == "미관측지속" ~ "미관측 지속"</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3단 노드 값: 고교-대학 KSCED 비교는 진학 관련 두 유형에서만 수행</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sankey_stage3 &lt;- sankey_stage2 %&gt;%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mutate(node3 = case_when(</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pathway == "직행취업" ~ "고졸취업 유지",</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pathway == "미관측지속" ~ "미관측 지속",</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pathway %in% c("선취업후진학","즉시진학") &amp; hs_field2 == college_field2 ~ "동일계열 진학",</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pathway %in% c("선취업후진학","즉시진학") &amp; hs_field2 != college_field2 ~ "타계열 진학",</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TRUE ~ "판정불가"</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Bdr>
          <w:left w:val="single" w:color="888888" w:sz="12"/>
        </w:pBdr>
        <w:shd w:fill="F7F7F7" w:color="auto" w:val="clear"/>
        <w:spacing w:after="200" w:before="120"/>
        <w:ind w:left="400"/>
      </w:pPr>
      <w:r>
        <w:rPr>
          <w:rFonts w:ascii="맑은 고딕" w:cs="맑은 고딕" w:eastAsia="맑은 고딕" w:hAnsi="맑은 고딕"/>
          <w:b/>
          <w:bCs/>
          <w:i/>
          <w:iCs/>
        </w:rPr>
        <w:t xml:space="preserve">왜 이렇게 해야 하는가.</w:t>
      </w:r>
      <w:r>
        <w:rPr>
          <w:rFonts w:ascii="맑은 고딕" w:cs="맑은 고딕" w:eastAsia="맑은 고딕" w:hAnsi="맑은 고딕"/>
          <w:i/>
          <w:iCs/>
        </w:rPr>
        <w:t xml:space="preserve"> occ_code가 없는 사람(즉시진학형·미관측지속형)을 억지로 직종 노드에 채우거나 조용히 빠뜨리면, 도표의 흐름 폭이 실제보다 "성공적으로 보이는" 방향으로 왜곡된다(생존자 편향과 같은 성격의 문제). N을 매 단계 보존하는 것이 Sankey 전처리의 최우선 원칙이다.  </w:t>
      </w:r>
      <w:r>
        <w:rPr>
          <w:rFonts w:ascii="맑은 고딕" w:cs="맑은 고딕" w:eastAsia="맑은 고딕" w:hAnsi="맑은 고딕"/>
          <w:b/>
          <w:bCs/>
          <w:i/>
          <w:iCs/>
        </w:rPr>
        <w:t xml:space="preserve">[자료제약 — 코호트별 신뢰도 차이]</w:t>
      </w:r>
      <w:r>
        <w:rPr>
          <w:rFonts w:ascii="맑은 고딕" w:cs="맑은 고딕" w:eastAsia="맑은 고딕" w:hAnsi="맑은 고딕"/>
          <w:i/>
          <w:iCs/>
        </w:rPr>
        <w:t xml:space="preserve"> Ⅲ.2절 표에 따르면 2020 코호트의 교육이력은 "2023–2025년 교육기록과 그 기록에서 식별되는 이전 교육구간"만 제공되므로, 2020~2022년 사이에 진학한 사례의 </w:t>
      </w:r>
      <w:r>
        <w:rPr>
          <w:rFonts w:ascii="Consolas" w:cs="Consolas" w:eastAsia="Consolas" w:hAnsi="Consolas"/>
          <w:i/>
          <w:iCs/>
          <w:sz w:val="19"/>
          <w:szCs w:val="19"/>
        </w:rPr>
        <w:t xml:space="preserve">enroll_date</w:t>
      </w:r>
      <w:r>
        <w:rPr>
          <w:rFonts w:ascii="맑은 고딕" w:cs="맑은 고딕" w:eastAsia="맑은 고딕" w:hAnsi="맑은 고딕"/>
          <w:i/>
          <w:iCs/>
        </w:rPr>
        <w:t xml:space="preserve"> 판정이 불완전할 수 있다. 이 경우 실제로는 즉시진학형·선취업후진학형인 사람이 미관측지속형으로 잘못 분류될 위험이 있다. </w:t>
      </w:r>
      <w:r>
        <w:rPr>
          <w:rFonts w:ascii="맑은 고딕" w:cs="맑은 고딕" w:eastAsia="맑은 고딕" w:hAnsi="맑은 고딕"/>
          <w:b/>
          <w:bCs/>
          <w:i/>
          <w:iCs/>
        </w:rPr>
        <w:t xml:space="preserve">2020 코호트의 "즉시진학형" 규모는 과소추정 가능성</w:t>
      </w:r>
      <w:r>
        <w:rPr>
          <w:rFonts w:ascii="맑은 고딕" w:cs="맑은 고딕" w:eastAsia="맑은 고딕" w:hAnsi="맑은 고딕"/>
          <w:i/>
          <w:iCs/>
        </w:rPr>
        <w:t xml:space="preserve">을 그림 캡션에 명시하고, 2023 코호트(교육이력 동시 포착)를 기준값으로 우선 제시한다.</w:t>
      </w:r>
    </w:p>
    <w:p>
      <w:pPr>
        <w:spacing w:after="200"/>
      </w:pPr>
      <w:r>
        <w:rPr>
          <w:rFonts w:ascii="맑은 고딕" w:cs="맑은 고딕" w:eastAsia="맑은 고딕" w:hAnsi="맑은 고딕"/>
          <w:b/>
          <w:bCs/>
        </w:rPr>
        <w:t xml:space="preserve">6.2 소득비교(그림6)에서의 동일 원칙.</w:t>
      </w:r>
      <w:r>
        <w:rPr>
          <w:rFonts w:ascii="맑은 고딕" w:cs="맑은 고딕" w:eastAsia="맑은 고딕" w:hAnsi="맑은 고딕"/>
        </w:rPr>
        <w:t xml:space="preserve"> 진학자와 고졸 취업자(5.2절 정의와 동일한 조작정의 유지)의 소득 분포를 </w:t>
      </w:r>
      <w:r>
        <w:rPr>
          <w:rFonts w:ascii="맑은 고딕" w:cs="맑은 고딕" w:eastAsia="맑은 고딕" w:hAnsi="맑은 고딕"/>
          <w:b/>
          <w:bCs/>
        </w:rPr>
        <w:t xml:space="preserve">학교유형·전공·지역·성별별로 교차표·상자그림</w:t>
      </w:r>
      <w:r>
        <w:rPr>
          <w:rFonts w:ascii="맑은 고딕" w:cs="맑은 고딕" w:eastAsia="맑은 고딕" w:hAnsi="맑은 고딕"/>
        </w:rPr>
        <w:t xml:space="preserve">으로 병치 제시한다. 확정 공변량(hs_type, hs_field2, hs_sido, sex)으로 조정한 회귀는 수행하되, 결과는 "ATT"가 아니라 </w:t>
      </w:r>
      <w:r>
        <w:rPr>
          <w:rFonts w:ascii="맑은 고딕" w:cs="맑은 고딕" w:eastAsia="맑은 고딕" w:hAnsi="맑은 고딕"/>
          <w:b/>
          <w:bCs/>
        </w:rPr>
        <w:t xml:space="preserve">"관측 특성 통제 후 소득 격차"</w:t>
      </w:r>
      <w:r>
        <w:rPr>
          <w:rFonts w:ascii="맑은 고딕" w:cs="맑은 고딕" w:eastAsia="맑은 고딕" w:hAnsi="맑은 고딕"/>
        </w:rPr>
        <w:t xml:space="preserve">로 명명한다. 선취업-후진학자는 진학 시점 우측절단으로 처리한다(측정의 정직성은 유지). 미관측지속형은 소득 자체가 없으므로 이 비교의 분모에서 제외하고 제외 비율을 별도 보고한다.</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enroll_df: person_id, cohort, hs_type, hs_field2, hs_sido, sex, enroll, income_year_n</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desc_compare &lt;- enroll_df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group_by(cohort, hs_type, enroll)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summarise(median_income = median(income_year_3, na.rm = TRUE),</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n = n(), .groups = "drop")</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조정된 격차(인과효과 아님 — 명칭에 유의)</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adj_gap &lt;- lm(income_year_3 ~ enroll + hs_type + hs_field2 + hs_sido + sex, data = enroll_df)</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broom::tidy(adj_gap) %&gt;% filter(term == "enroll")   # "조정된 격차"로 표기, ATT/효과 표현 금지</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Style w:val="Heading3"/>
        <w:spacing w:after="160" w:before="300"/>
      </w:pPr>
      <w:r>
        <w:rPr>
          <w:rFonts w:ascii="맑은 고딕" w:cs="맑은 고딕" w:eastAsia="맑은 고딕" w:hAnsi="맑은 고딕"/>
        </w:rPr>
        <w:t xml:space="preserve">7. 탐색적 보완 (선택적 — 본 보고서 주결과에는 포함하지 않음)</w:t>
      </w:r>
    </w:p>
    <w:p>
      <w:pPr>
        <w:pBdr>
          <w:left w:val="single" w:color="888888" w:sz="12"/>
        </w:pBdr>
        <w:shd w:fill="F7F7F7" w:color="auto" w:val="clear"/>
        <w:spacing w:after="200" w:before="120"/>
        <w:ind w:left="400"/>
      </w:pPr>
      <w:r>
        <w:rPr>
          <w:rFonts w:ascii="맑은 고딕" w:cs="맑은 고딕" w:eastAsia="맑은 고딕" w:hAnsi="맑은 고딕"/>
          <w:i/>
          <w:iCs/>
        </w:rPr>
        <w:t xml:space="preserve">GPT 리뷰 반영: 경로군집(축1 산출물)을 다시 재학중 특성으로 예측하는 RF+SHAP은 "군집을 만든 재료로 군집을 재예측"하는 순환적 성격이 있고, 입력변수(</w:t>
      </w:r>
      <w:r>
        <w:rPr>
          <w:rFonts w:ascii="Consolas" w:cs="Consolas" w:eastAsia="Consolas" w:hAnsi="Consolas"/>
          <w:i/>
          <w:iCs/>
          <w:sz w:val="19"/>
          <w:szCs w:val="19"/>
        </w:rPr>
        <w:t xml:space="preserve">cert_yn</w:t>
      </w:r>
      <w:r>
        <w:rPr>
          <w:rFonts w:ascii="맑은 고딕" w:cs="맑은 고딕" w:eastAsia="맑은 고딕" w:hAnsi="맑은 고딕"/>
          <w:i/>
          <w:iCs/>
        </w:rPr>
        <w:t xml:space="preserve">, </w:t>
      </w:r>
      <w:r>
        <w:rPr>
          <w:rFonts w:ascii="Consolas" w:cs="Consolas" w:eastAsia="Consolas" w:hAnsi="Consolas"/>
          <w:i/>
          <w:iCs/>
          <w:sz w:val="19"/>
          <w:szCs w:val="19"/>
        </w:rPr>
        <w:t xml:space="preserve">apprentice_flag</w:t>
      </w:r>
      <w:r>
        <w:rPr>
          <w:rFonts w:ascii="맑은 고딕" w:cs="맑은 고딕" w:eastAsia="맑은 고딕" w:hAnsi="맑은 고딕"/>
          <w:i/>
          <w:iCs/>
        </w:rPr>
        <w:t xml:space="preserve">) 상당수가 미확정이다. 본문 결과에서 제외하고, 시행할 경우의 코드만 참고용으로 남긴다(비인과 caveat 필수 유지).</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library(ranger); library(fastshap); library(shapviz)</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predictors &lt;- c("hs_type","hs_field2","hs_sido","sex","cert_yn","apprentice_flag")</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train_df &lt;- panel_wide %&gt;% select(pathway_cluster, all_of(predictors))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mutate(across(where(is.character), as.factor))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rf_fit &lt;- ranger(pathway_cluster ~ ., data = train_df, probability = TRUE,</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num.trees = 2000, importance = "permutation", seed = 1234)</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pred_wrapper &lt;- function(object, newdata) predict(object, data = newdata)$predictions[, 1]</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shap_vals &lt;- fastshap::explain(rf_fit, X = train_df[, predictors], pred_wrapper = pred_wrapper, nsim = 50)</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shapviz::sv_importance(shapviz::shapviz(shap_vals, X = train_df[, predictors]), kind = "beeswarm")</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Style w:val="Heading3"/>
        <w:spacing w:after="160" w:before="300"/>
      </w:pPr>
      <w:r>
        <w:rPr>
          <w:rFonts w:ascii="맑은 고딕" w:cs="맑은 고딕" w:eastAsia="맑은 고딕" w:hAnsi="맑은 고딕"/>
        </w:rPr>
        <w:t xml:space="preserve">8. 시각화 계획</w:t>
      </w:r>
    </w:p>
    <w:p>
      <w:pPr>
        <w:pStyle w:val="ListParagraph"/>
        <w:numPr>
          <w:ilvl w:val="0"/>
          <w:numId w:val="1"/>
        </w:numPr>
        <w:spacing w:after="100"/>
      </w:pPr>
      <w:r>
        <w:rPr>
          <w:rFonts w:ascii="맑은 고딕" w:cs="맑은 고딕" w:eastAsia="맑은 고딕" w:hAnsi="맑은 고딕"/>
        </w:rPr>
        <w:t xml:space="preserve">그림4. 고교전공→첫 관찰상태(직종 4~5개 범주 + "직행진학(취업이력없음)" + "미관측 지속")→진학경로 Sankey(3단, 6.1절 전처리 기준. N을 매 단계 보존 — 취업이력 없는 사람을 조용히 빠뜨리지 않음)</w:t>
      </w:r>
    </w:p>
    <w:p>
      <w:pPr>
        <w:pStyle w:val="ListParagraph"/>
        <w:numPr>
          <w:ilvl w:val="0"/>
          <w:numId w:val="1"/>
        </w:numPr>
        <w:spacing w:after="100"/>
      </w:pPr>
      <w:r>
        <w:rPr>
          <w:rFonts w:ascii="맑은 고딕" w:cs="맑은 고딕" w:eastAsia="맑은 고딕" w:hAnsi="맑은 고딕"/>
        </w:rPr>
        <w:t xml:space="preserve">그림5. 전공별 </w:t>
      </w:r>
      <w:r>
        <w:rPr>
          <w:rFonts w:ascii="Cambria Math" w:cs="Cambria Math" w:eastAsia="Cambria Math" w:hAnsi="Cambria Math"/>
          <w:i/>
          <w:iCs/>
        </w:rPr>
        <w:t xml:space="preserve">H_m</w:t>
      </w:r>
      <w:r>
        <w:rPr>
          <w:rFonts w:ascii="맑은 고딕" w:cs="맑은 고딕" w:eastAsia="맑은 고딕" w:hAnsi="맑은 고딕"/>
        </w:rPr>
        <w:t xml:space="preserve"> 막대그래프(학교유형별) — </w:t>
      </w:r>
      <w:r>
        <w:rPr>
          <w:rFonts w:ascii="맑은 고딕" w:cs="맑은 고딕" w:eastAsia="맑은 고딕" w:hAnsi="맑은 고딕"/>
          <w:b/>
          <w:bCs/>
        </w:rPr>
        <w:t xml:space="preserve">주 결과 그림</w:t>
      </w:r>
    </w:p>
    <w:p>
      <w:pPr>
        <w:pStyle w:val="ListParagraph"/>
        <w:numPr>
          <w:ilvl w:val="0"/>
          <w:numId w:val="1"/>
        </w:numPr>
        <w:spacing w:after="100"/>
      </w:pPr>
      <w:r>
        <w:rPr>
          <w:rFonts w:ascii="맑은 고딕" w:cs="맑은 고딕" w:eastAsia="맑은 고딕" w:hAnsi="맑은 고딕"/>
        </w:rPr>
        <w:t xml:space="preserve">그림6. 진학자 vs 고졸취업자 소득 분포 상자그림(학교유형별)</w:t>
      </w:r>
    </w:p>
    <w:p>
      <w:pPr>
        <w:pStyle w:val="ListParagraph"/>
        <w:numPr>
          <w:ilvl w:val="0"/>
          <w:numId w:val="1"/>
        </w:numPr>
        <w:spacing w:after="100"/>
      </w:pPr>
      <w:r>
        <w:rPr>
          <w:rFonts w:ascii="맑은 고딕" w:cs="맑은 고딕" w:eastAsia="맑은 고딕" w:hAnsi="맑은 고딕"/>
        </w:rPr>
        <w:t xml:space="preserve">표2(결과표 양식). 전공별 도착직종 엔트로피 </w:t>
      </w:r>
      <w:r>
        <w:rPr>
          <w:rFonts w:ascii="Cambria Math" w:cs="Cambria Math" w:eastAsia="Cambria Math" w:hAnsi="Cambria Math"/>
          <w:i/>
          <w:iCs/>
        </w:rPr>
        <w:t xml:space="preserve">H_m</w:t>
      </w:r>
      <w:r>
        <w:rPr>
          <w:rFonts w:ascii="맑은 고딕" w:cs="맑은 고딕" w:eastAsia="맑은 고딕" w:hAnsi="맑은 고딕"/>
        </w:rPr>
        <w:t xml:space="preserve">, 코호트별 — [반출 후 숫자만 채움]</w:t>
      </w:r>
    </w:p>
    <w:p>
      <w:pPr>
        <w:pBdr>
          <w:bottom w:val="single" w:color="999999" w:sz="6"/>
        </w:pBdr>
        <w:spacing w:after="300" w:before="100"/>
      </w:pPr>
      <w:r>
        <w:t xml:space="preserve"/>
      </w:r>
    </w:p>
    <w:p>
      <w:pPr>
        <w:pStyle w:val="Heading2"/>
        <w:spacing w:after="160" w:before="300"/>
      </w:pPr>
      <w:r>
        <w:rPr>
          <w:rFonts w:ascii="맑은 고딕" w:cs="맑은 고딕" w:eastAsia="맑은 고딕" w:hAnsi="맑은 고딕"/>
        </w:rPr>
        <w:t xml:space="preserve">VI. 분석축 3 — 정책학교(도제학교) 비교</w:t>
      </w:r>
    </w:p>
    <w:p>
      <w:pPr>
        <w:pBdr>
          <w:left w:val="single" w:color="888888" w:sz="12"/>
        </w:pBdr>
        <w:shd w:fill="F7F7F7" w:color="auto" w:val="clear"/>
        <w:spacing w:after="200" w:before="120"/>
        <w:ind w:left="400"/>
      </w:pPr>
      <w:r>
        <w:rPr>
          <w:rFonts w:ascii="맑은 고딕" w:cs="맑은 고딕" w:eastAsia="맑은 고딕" w:hAnsi="맑은 고딕"/>
          <w:b/>
          <w:bCs/>
          <w:i/>
          <w:iCs/>
        </w:rPr>
        <w:t xml:space="preserve">이 장은 단계적 인과추론이다.</w:t>
      </w:r>
      <w:r>
        <w:rPr>
          <w:rFonts w:ascii="맑은 고딕" w:cs="맑은 고딕" w:eastAsia="맑은 고딕" w:hAnsi="맑은 고딕"/>
          <w:i/>
          <w:iCs/>
        </w:rPr>
        <w:t xml:space="preserve"> 초판은 진학효과(PSM)·마이스터고효과(PSM)·도제학교효과(DiD) 세 하위분석을 모두 "이 장 전체는 인과추론이다"로 묶어 시작했다. v2는 이를 정정한다: 진학은 확정변수 부족으로 Ⅴ장(서술적)으로 이동했고, 마이스터고 비교는 같은 이유로 이번 라운드에서 제외해 Ⅷ장의 확장과제(RD 확보 시)로 미뤘다. 이 장에 남은 것은 </w:t>
      </w:r>
      <w:r>
        <w:rPr>
          <w:rFonts w:ascii="맑은 고딕" w:cs="맑은 고딕" w:eastAsia="맑은 고딕" w:hAnsi="맑은 고딕"/>
          <w:b/>
          <w:bCs/>
          <w:i/>
          <w:iCs/>
        </w:rPr>
        <w:t xml:space="preserve">도제학교 비교 하나</w:t>
      </w:r>
      <w:r>
        <w:rPr>
          <w:rFonts w:ascii="맑은 고딕" w:cs="맑은 고딕" w:eastAsia="맑은 고딕" w:hAnsi="맑은 고딕"/>
          <w:i/>
          <w:iCs/>
        </w:rPr>
        <w:t xml:space="preserve">이며, 이마저도 방법(ATT, Callaway–Sant'Anna, honestDiD)을 먼저 제시하지 않고 </w:t>
      </w:r>
      <w:r>
        <w:rPr>
          <w:rFonts w:ascii="맑은 고딕" w:cs="맑은 고딕" w:eastAsia="맑은 고딕" w:hAnsi="맑은 고딕"/>
          <w:b/>
          <w:bCs/>
          <w:i/>
          <w:iCs/>
        </w:rPr>
        <w:t xml:space="preserve">식별조건이 실제로 충족되는지를 먼저 검토한 뒤, 충족되는 만큼만 인과추론 도구를 적용</w:t>
      </w:r>
      <w:r>
        <w:rPr>
          <w:rFonts w:ascii="맑은 고딕" w:cs="맑은 고딕" w:eastAsia="맑은 고딕" w:hAnsi="맑은 고딕"/>
          <w:i/>
          <w:iCs/>
        </w:rPr>
        <w:t xml:space="preserve">하는 4단계로 순서를 바꾼다.</w:t>
      </w:r>
    </w:p>
    <w:p>
      <w:pPr>
        <w:pStyle w:val="Heading3"/>
        <w:spacing w:after="160" w:before="300"/>
      </w:pPr>
      <w:r>
        <w:rPr>
          <w:rFonts w:ascii="맑은 고딕" w:cs="맑은 고딕" w:eastAsia="맑은 고딕" w:hAnsi="맑은 고딕"/>
        </w:rPr>
        <w:t xml:space="preserve">1. 방법론 개념</w:t>
      </w:r>
    </w:p>
    <w:p>
      <w:pPr>
        <w:spacing w:after="200"/>
      </w:pPr>
      <w:r>
        <w:rPr>
          <w:rFonts w:ascii="맑은 고딕" w:cs="맑은 고딕" w:eastAsia="맑은 고딕" w:hAnsi="맑은 고딕"/>
        </w:rPr>
        <w:t xml:space="preserve">반사실 구조: 개인·학교 </w:t>
      </w:r>
      <w:r>
        <w:rPr>
          <w:rFonts w:ascii="Cambria Math" w:cs="Cambria Math" w:eastAsia="Cambria Math" w:hAnsi="Cambria Math"/>
          <w:i/>
          <w:iCs/>
        </w:rPr>
        <w:t xml:space="preserve">i</w:t>
      </w:r>
      <w:r>
        <w:rPr>
          <w:rFonts w:ascii="맑은 고딕" w:cs="맑은 고딕" w:eastAsia="맑은 고딕" w:hAnsi="맑은 고딕"/>
        </w:rPr>
        <w:t xml:space="preserve">에게 </w:t>
      </w:r>
      <w:r>
        <w:rPr>
          <w:rFonts w:ascii="Cambria Math" w:cs="Cambria Math" w:eastAsia="Cambria Math" w:hAnsi="Cambria Math"/>
          <w:i/>
          <w:iCs/>
        </w:rPr>
        <w:t xml:space="preserve">Y_i(1)</w:t>
      </w:r>
      <w:r>
        <w:rPr>
          <w:rFonts w:ascii="맑은 고딕" w:cs="맑은 고딕" w:eastAsia="맑은 고딕" w:hAnsi="맑은 고딕"/>
        </w:rPr>
        <w:t xml:space="preserve">(처치)과 </w:t>
      </w:r>
      <w:r>
        <w:rPr>
          <w:rFonts w:ascii="Cambria Math" w:cs="Cambria Math" w:eastAsia="Cambria Math" w:hAnsi="Cambria Math"/>
          <w:i/>
          <w:iCs/>
        </w:rPr>
        <w:t xml:space="preserve">Y_i(0)</w:t>
      </w:r>
      <w:r>
        <w:rPr>
          <w:rFonts w:ascii="맑은 고딕" w:cs="맑은 고딕" w:eastAsia="맑은 고딕" w:hAnsi="맑은 고딕"/>
        </w:rPr>
        <w:t xml:space="preserve">(무처치) 중 하나만 관찰됨. 추정 대상은 ATT: </w:t>
      </w:r>
      <w:r>
        <w:rPr>
          <w:rFonts w:ascii="Cambria Math" w:cs="Cambria Math" w:eastAsia="Cambria Math" w:hAnsi="Cambria Math"/>
          <w:i/>
          <w:iCs/>
        </w:rPr>
        <w:t xml:space="preserve">\tau_{ATT}=E[Y(1)-Y(0)\mid D=1]</w:t>
      </w:r>
      <w:r>
        <w:rPr>
          <w:rFonts w:ascii="맑은 고딕" w:cs="맑은 고딕" w:eastAsia="맑은 고딕" w:hAnsi="맑은 고딕"/>
        </w:rPr>
        <w:t xml:space="preserve">. DiD의 핵심 가정은 평행추세(parallel trends)와 무예측(no anticipation)이며, 필요 데이터는 처치 전·후 결과값이 처치·비교 집단 모두에 있어야 한다는 것이다(Ⅱ.8절 이론배경 참조). PSM(비혼입+겹침 가정)은 Ⅱ.7절·Ⅴ.6절에서 다루며, 이 장에서는 이미 존재하는 학교단위 처치배정(도제학교 지정)에 DiD를 적용하는 문제만 다룬다.</w:t>
      </w:r>
    </w:p>
    <w:p>
      <w:pPr>
        <w:pStyle w:val="Heading3"/>
        <w:spacing w:after="160" w:before="300"/>
      </w:pPr>
      <w:r>
        <w:rPr>
          <w:rFonts w:ascii="맑은 고딕" w:cs="맑은 고딕" w:eastAsia="맑은 고딕" w:hAnsi="맑은 고딕"/>
        </w:rPr>
        <w:t xml:space="preserve">2. 도제학교 비교 — 4단계 설계</w:t>
      </w:r>
    </w:p>
    <w:p>
      <w:pPr>
        <w:spacing w:after="200"/>
      </w:pPr>
      <w:r>
        <w:rPr>
          <w:rFonts w:ascii="맑은 고딕" w:cs="맑은 고딕" w:eastAsia="맑은 고딕" w:hAnsi="맑은 고딕"/>
          <w:b/>
          <w:bCs/>
        </w:rPr>
        <w:t xml:space="preserve">2단계 구성의 근거.</w:t>
      </w:r>
      <w:r>
        <w:rPr>
          <w:rFonts w:ascii="맑은 고딕" w:cs="맑은 고딕" w:eastAsia="맑은 고딕" w:hAnsi="맑은 고딕"/>
        </w:rPr>
        <w:t xml:space="preserve"> GPT 리뷰가 지적한 6개 미해결 질문(① 학교전체가 처치단위인가, ② 실제 참여학생 구분 가능한가, ③ 정책 전 코호트가 충분한가, ④ 사전추세를 볼 수 있는가, ⑤ 비무작위 선정을 얼마나 다룰 수 있는가, ⑥ 중복사업 학교를 어떻게 처리하는가) 중 ①②⑤⑥은 이미 설계에 반영되어 있었으나(아래 표), 이를 </w:t>
      </w:r>
      <w:r>
        <w:rPr>
          <w:rFonts w:ascii="맑은 고딕" w:cs="맑은 고딕" w:eastAsia="맑은 고딕" w:hAnsi="맑은 고딕"/>
          <w:b/>
          <w:bCs/>
        </w:rPr>
        <w:t xml:space="preserve">본문에서 방법론 코드보다 먼저 보여주지 않은 것 자체가 문제</w:t>
      </w:r>
      <w:r>
        <w:rPr>
          <w:rFonts w:ascii="맑은 고딕" w:cs="맑은 고딕" w:eastAsia="맑은 고딕" w:hAnsi="맑은 고딕"/>
        </w:rPr>
        <w:t xml:space="preserve">였다. 4단계로 순서를 바꿔 이 우려에 먼저 답한다.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tblHeader/>
        </w:trPr>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GPT의 미해결 질문</w:t>
            </w:r>
          </w:p>
        </w:tc>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본 설계의 대응</w:t>
            </w:r>
          </w:p>
        </w:tc>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위치</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① 학교 전체가 처치단위인가</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그렇다 — 개인식별 불가로 학교단위 ITT로 확정, 하한으로 해석</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2.2단계</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② 실제 참여학생 구분 가능한가</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불가능(재학중 고용보험 이력 미제공) — Bloom(1984) 보정식으로 TOT 근사만 참고 제시</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2.4·2.5단계</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③ 정책 전 코호트가 충분한가</w:t>
            </w:r>
          </w:p>
        </w:tc>
        <w:tc>
          <w:tcPr>
            <w:tcW w:type="dxa" w:w="3166"/>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아니다 — 2015 단 하나뿐.</w:t>
            </w:r>
            <w:r>
              <w:rPr>
                <w:rFonts w:ascii="맑은 고딕" w:cs="맑은 고딕" w:eastAsia="맑은 고딕" w:hAnsi="맑은 고딕"/>
                <w:sz w:val="18"/>
                <w:szCs w:val="18"/>
              </w:rPr>
              <w:t xml:space="preserve"> 이 한계는 숨기지 않고 전제로 명시</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2.1단계</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④ 사전추세를 볼 수 있는가</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볼 수 없다 — 그래서 honestDiD로 "검정 불가능함"을 정량적으로 우회</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2.4단계</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⑤ 비무작위 선정을 얼마나 다루는가</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학교특성 매칭(조건부 DiD)으로 관측가능한 선정편의만 통제, 미관측 동기·의지는 한계로 명시</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2.3~2.4단계</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⑥ 중복사업 학교 처리</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매칭변수에 중기부 인력양성사업·마이스터고 지정여부 포함</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2.2~2.4단계</w:t>
            </w:r>
          </w:p>
        </w:tc>
      </w:tr>
    </w:tbl>
    <w:p>
      <w:pPr>
        <w:spacing w:after="160"/>
      </w:pPr>
    </w:p>
    <w:p>
      <w:pPr>
        <w:spacing w:after="200"/>
      </w:pPr>
      <w:r>
        <w:rPr>
          <w:rFonts w:ascii="맑은 고딕" w:cs="맑은 고딕" w:eastAsia="맑은 고딕" w:hAnsi="맑은 고딕"/>
          <w:b/>
          <w:bCs/>
        </w:rPr>
        <w:t xml:space="preserve">2.1 (1단계) 매칭 가능성 검토.</w:t>
      </w:r>
      <w:r>
        <w:rPr>
          <w:rFonts w:ascii="맑은 고딕" w:cs="맑은 고딕" w:eastAsia="맑은 고딕" w:hAnsi="맑은 고딕"/>
        </w:rPr>
        <w:t xml:space="preserve"> 산학일체형 도제학교(2014.11 1차 9개교 → 2015·2016·2017 확대, 2026.9 기준 약 194개교 마스터 명단 확보)를 후보 정책으로 확정한 근거: DiD가 성립하려면 (a) 학교단위로 선정되고, (b) 도입시점이 2015 졸업(전)과 2020 졸업(후) 사이에 있으며, (c) 선정학교 명단이 확보되어야 한다. 마이스터고(2010년 시작, 2015 졸업생이 이미 "후")·협약형 특성화고(2024년 시작, 세 코호트 모두 "전")·NCS 교육과정과 현장실습 개편(전국 동시 적용, 비교집단 없음)은 이 기준을 충족하지 못한다. 중소기업 특성화고 인력양성사업(2008년 시작, 2015년 이전 대부분 학교가 이미 참여 중)은 처치집단이 작고 개입강도가 짧으며 도제학교와 상당수 중복되므로, 도제 분석이 성립한 뒤 동일 마스터 구조로 견고성 분석(같은 방향의 결과가 나오는지)으로만 병행한다. </w:t>
      </w:r>
      <w:r>
        <w:rPr>
          <w:rFonts w:ascii="맑은 고딕" w:cs="맑은 고딕" w:eastAsia="맑은 고딕" w:hAnsi="맑은 고딕"/>
          <w:b/>
          <w:bCs/>
        </w:rPr>
        <w:t xml:space="preserve">결론: 매칭은 가능하나, 사전시점이 2015 하나뿐이라는 제약을 안고 시작한다.</w:t>
      </w:r>
    </w:p>
    <w:p>
      <w:pPr>
        <w:spacing w:after="200"/>
      </w:pPr>
      <w:r>
        <w:rPr>
          <w:rFonts w:ascii="맑은 고딕" w:cs="맑은 고딕" w:eastAsia="맑은 고딕" w:hAnsi="맑은 고딕"/>
          <w:b/>
          <w:bCs/>
        </w:rPr>
        <w:t xml:space="preserve">2.2 (2단계) 노출변수 구축.</w:t>
      </w:r>
      <w:r>
        <w:rPr>
          <w:rFonts w:ascii="맑은 고딕" w:cs="맑은 고딕" w:eastAsia="맑은 고딕" w:hAnsi="맑은 고딕"/>
        </w:rPr>
        <w:t xml:space="preserve"> 2015 졸업생은 재학 중 도제 미운영(전원 "전"), 2020 졸업생은 도제반 시기(2018–2019) 운영 중이던 160개교, 2023 졸업생은 도제반 시기(2021–2022) 운영 중이던 133개교를 "후"로 판정한다.</w:t>
      </w:r>
    </w:p>
    <w:p>
      <w:pPr>
        <w:spacing w:after="200"/>
      </w:pPr>
      <w:r>
        <w:rPr>
          <w:rFonts w:ascii="맑은 고딕" w:cs="맑은 고딕" w:eastAsia="맑은 고딕" w:hAnsi="맑은 고딕"/>
          <w:b/>
          <w:bCs/>
        </w:rPr>
        <w:t xml:space="preserve">변수정의표</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tblHeader/>
        </w:trPr>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변수명(작업용)</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유형</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정의</w:t>
            </w:r>
          </w:p>
        </w:tc>
        <w:tc>
          <w:tcPr>
            <w:tcW w:type="dxa" w:w="2375"/>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코드·범위</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apprentice_school</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이분</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학교의 도제학교 지정 여부(처치)</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1/0, 마스터 명단(194개교) 매칭</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first_treat</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정수</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처치 개시연도(미처치=0)</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2015/2016/2017/0</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apprentice_intensity</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연속</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처치강도(학습기업 수)</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고용24 과정 수</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school_size</w:t>
            </w:r>
            <w:r>
              <w:rPr>
                <w:rFonts w:ascii="맑은 고딕" w:cs="맑은 고딕" w:eastAsia="맑은 고딕" w:hAnsi="맑은 고딕"/>
                <w:sz w:val="18"/>
                <w:szCs w:val="18"/>
              </w:rPr>
              <w:t xml:space="preserve">, </w:t>
            </w:r>
            <w:r>
              <w:rPr>
                <w:rFonts w:ascii="Consolas" w:cs="Consolas" w:eastAsia="Consolas" w:hAnsi="Consolas"/>
                <w:sz w:val="18"/>
                <w:szCs w:val="18"/>
              </w:rPr>
              <w:t xml:space="preserve">hs_field_mix</w:t>
            </w:r>
            <w:r>
              <w:rPr>
                <w:rFonts w:ascii="맑은 고딕" w:cs="맑은 고딕" w:eastAsia="맑은 고딕" w:hAnsi="맑은 고딕"/>
                <w:sz w:val="18"/>
                <w:szCs w:val="18"/>
              </w:rPr>
              <w:t xml:space="preserve">, </w:t>
            </w:r>
            <w:r>
              <w:rPr>
                <w:rFonts w:ascii="Consolas" w:cs="Consolas" w:eastAsia="Consolas" w:hAnsi="Consolas"/>
                <w:sz w:val="18"/>
                <w:szCs w:val="18"/>
              </w:rPr>
              <w:t xml:space="preserve">baseline_emp_rate</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연속</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매칭변수: 학교규모·계열구성비·2015년 취업률</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sme_program_yn</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이분</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중소기업 인력양성사업 참여여부</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1/0</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meister_yn</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이분</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마이스터고 지정여부</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1/0</w:t>
            </w:r>
          </w:p>
        </w:tc>
      </w:tr>
      <w:tr>
        <w:tc>
          <w:tcPr>
            <w:tcW w:type="dxa" w:w="2375"/>
            <w:tcMar>
              <w:top w:type="dxa" w:w="60"/>
              <w:left w:type="dxa" w:w="100"/>
              <w:bottom w:type="dxa" w:w="60"/>
              <w:right w:type="dxa" w:w="100"/>
            </w:tcMar>
          </w:tcPr>
          <w:p>
            <w:pPr>
              <w:spacing w:after="0"/>
            </w:pPr>
            <w:r>
              <w:rPr>
                <w:rFonts w:ascii="Consolas" w:cs="Consolas" w:eastAsia="Consolas" w:hAnsi="Consolas"/>
                <w:sz w:val="18"/>
                <w:szCs w:val="18"/>
              </w:rPr>
              <w:t xml:space="preserve">Y</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연속</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결과변수(졸업 후 취업률 또는 평균소득, 학교단위 집계)</w:t>
            </w:r>
          </w:p>
        </w:tc>
        <w:tc>
          <w:tcPr>
            <w:tcW w:type="dxa" w:w="2375"/>
            <w:tcMar>
              <w:top w:type="dxa" w:w="60"/>
              <w:left w:type="dxa" w:w="100"/>
              <w:bottom w:type="dxa" w:w="60"/>
              <w:right w:type="dxa" w:w="100"/>
            </w:tcMar>
          </w:tcPr>
          <w:p>
            <w:pPr>
              <w:spacing w:after="0"/>
            </w:pPr>
            <w:r>
              <w:rPr>
                <w:rFonts w:ascii="맑은 고딕" w:cs="맑은 고딕" w:eastAsia="맑은 고딕" w:hAnsi="맑은 고딕"/>
                <w:sz w:val="18"/>
                <w:szCs w:val="18"/>
              </w:rPr>
              <w:t xml:space="preserve">—</w:t>
            </w:r>
          </w:p>
        </w:tc>
      </w:tr>
    </w:tbl>
    <w:p>
      <w:pPr>
        <w:spacing w:after="160"/>
      </w:pPr>
    </w:p>
    <w:p>
      <w:pPr>
        <w:spacing w:after="200"/>
      </w:pPr>
      <w:r>
        <w:rPr>
          <w:rFonts w:ascii="맑은 고딕" w:cs="맑은 고딕" w:eastAsia="맑은 고딕" w:hAnsi="맑은 고딕"/>
          <w:b/>
          <w:bCs/>
        </w:rPr>
        <w:t xml:space="preserve">2.3 (3단계) 기술적 전후비교 — 회귀 이전에 눈으로 먼저 본다.</w:t>
      </w:r>
      <w:r>
        <w:rPr>
          <w:rFonts w:ascii="맑은 고딕" w:cs="맑은 고딕" w:eastAsia="맑은 고딕" w:hAnsi="맑은 고딕"/>
        </w:rPr>
        <w:t xml:space="preserve"> 매칭·이질성강건 추정으로 바로 들어가지 않고, 도제/비도제 학교의 2015(전) 대비 2020·2023(후) 결과 격차를 </w:t>
      </w:r>
      <w:r>
        <w:rPr>
          <w:rFonts w:ascii="맑은 고딕" w:cs="맑은 고딕" w:eastAsia="맑은 고딕" w:hAnsi="맑은 고딕"/>
          <w:b/>
          <w:bCs/>
        </w:rPr>
        <w:t xml:space="preserve">회귀모형 없이 먼저 기술</w:t>
      </w:r>
      <w:r>
        <w:rPr>
          <w:rFonts w:ascii="맑은 고딕" w:cs="맑은 고딕" w:eastAsia="맑은 고딕" w:hAnsi="맑은 고딕"/>
        </w:rPr>
        <w:t xml:space="preserve">한다. 이 단계의 목적은 두 가지다 — (a) 4단계 회귀 결과가 나왔을 때 "복잡한 모형이 만들어낸 결과"가 아니라 "raw 데이터에서도 보이는 패턴"인지 대조할 기준선을 미리 확보하고, (b) 만약 이 단순비교조차 방향이 불안정하면(예: 표본이 너무 작거나 학교 간 편차가 커서 신뢰구간이 0을 크게 포함하면) 4단계로 진행하지 않고 "식별조건 미충족"으로 결론짓는다.</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school_panel: school_id, year, Y, apprentice_school</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desc_prepost &lt;- school_panel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filter(year %in% c(2015, 2020, 2023))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group_by(apprentice_school, year)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summarise(mean_Y = mean(Y, na.rm = TRUE), sd_Y = sd(Y, na.rm = TRUE), n_schools = n(), .groups = "drop")</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단순 2x2 격차 (회귀 없이)</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naive_gap &lt;- desc_prepost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pivot_wider(names_from = year, values_from = mean_Y, names_prefix = "y") %&gt;%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mutate(gap_2020 = (y2020 - y2015), gap_2023 = (y2023 - y2015))</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spacing w:after="200"/>
      </w:pPr>
      <w:r>
        <w:rPr>
          <w:rFonts w:ascii="맑은 고딕" w:cs="맑은 고딕" w:eastAsia="맑은 고딕" w:hAnsi="맑은 고딕"/>
          <w:b/>
          <w:bCs/>
        </w:rPr>
        <w:t xml:space="preserve">진행 판단 기준.</w:t>
      </w:r>
      <w:r>
        <w:rPr>
          <w:rFonts w:ascii="맑은 고딕" w:cs="맑은 고딕" w:eastAsia="맑은 고딕" w:hAnsi="맑은 고딕"/>
        </w:rPr>
        <w:t xml:space="preserve"> </w:t>
      </w:r>
      <w:r>
        <w:rPr>
          <w:rFonts w:ascii="Consolas" w:cs="Consolas" w:eastAsia="Consolas" w:hAnsi="Consolas"/>
          <w:sz w:val="19"/>
          <w:szCs w:val="19"/>
        </w:rPr>
        <w:t xml:space="preserve">naive_gap</w:t>
      </w:r>
      <w:r>
        <w:rPr>
          <w:rFonts w:ascii="맑은 고딕" w:cs="맑은 고딕" w:eastAsia="맑은 고딕" w:hAnsi="맑은 고딕"/>
        </w:rPr>
        <w:t xml:space="preserve">의 도제-비도제 격차 방향이 두 시점(2020, 2023)에서 일관되고, 학교별 분산이 과도하지 않으면(경험적으로 학교간 표준편차가 격차 크기의 3배를 넘지 않으면) 4단계로 진행한다. 그렇지 않으면 이 절에서 멈추고 "정책학교와 비교학교의 raw 격차 자체가 불안정하여 회귀 기반 추정으로 나아가지 않는다"고 명시한다.</w:t>
      </w:r>
    </w:p>
    <w:p>
      <w:pPr>
        <w:spacing w:after="200"/>
      </w:pPr>
      <w:r>
        <w:rPr>
          <w:rFonts w:ascii="맑은 고딕" w:cs="맑은 고딕" w:eastAsia="맑은 고딕" w:hAnsi="맑은 고딕"/>
          <w:b/>
          <w:bCs/>
        </w:rPr>
        <w:t xml:space="preserve">2.4 (4단계, 식별조건 충족 시) 조건부 DiD.</w:t>
      </w:r>
    </w:p>
    <w:p>
      <w:pPr>
        <w:spacing w:after="200"/>
      </w:pPr>
      <w:r>
        <w:rPr>
          <w:rFonts w:ascii="맑은 고딕" w:cs="맑은 고딕" w:eastAsia="맑은 고딕" w:hAnsi="맑은 고딕"/>
          <w:b/>
          <w:bCs/>
        </w:rPr>
        <w:t xml:space="preserve">모형식.</w:t>
      </w:r>
      <w:r>
        <w:rPr>
          <w:rFonts w:ascii="맑은 고딕" w:cs="맑은 고딕" w:eastAsia="맑은 고딕" w:hAnsi="맑은 고딕"/>
        </w:rPr>
        <w:t xml:space="preserve"> 기본형(2×2, 백승희·이정민 2021): </w:t>
      </w:r>
      <w:r>
        <w:rPr>
          <w:rFonts w:ascii="Cambria Math" w:cs="Cambria Math" w:eastAsia="Cambria Math" w:hAnsi="Cambria Math"/>
          <w:i/>
          <w:iCs/>
        </w:rPr>
        <w:t xml:space="preserve">Y=\beta_0+\beta_1\text{시점}+\beta_2\text{처치}+\beta_3(\text{시점}\times\text{처치})+\epsilon</w:t>
      </w:r>
      <w:r>
        <w:rPr>
          <w:rFonts w:ascii="맑은 고딕" w:cs="맑은 고딕" w:eastAsia="맑은 고딕" w:hAnsi="맑은 고딕"/>
        </w:rPr>
        <w:t xml:space="preserve">. TWFE 일반형: </w:t>
      </w:r>
      <w:r>
        <w:rPr>
          <w:rFonts w:ascii="Cambria Math" w:cs="Cambria Math" w:eastAsia="Cambria Math" w:hAnsi="Cambria Math"/>
          <w:i/>
          <w:iCs/>
        </w:rPr>
        <w:t xml:space="preserve">Y_{it}=\alpha_i+\lambda_t+\beta\, D_{it}+\epsilon_{it}</w:t>
      </w:r>
      <w:r>
        <w:rPr>
          <w:rFonts w:ascii="맑은 고딕" w:cs="맑은 고딕" w:eastAsia="맑은 고딕" w:hAnsi="맑은 고딕"/>
        </w:rPr>
        <w:t xml:space="preserve">(</w:t>
      </w:r>
      <w:r>
        <w:rPr>
          <w:rFonts w:ascii="Cambria Math" w:cs="Cambria Math" w:eastAsia="Cambria Math" w:hAnsi="Cambria Math"/>
          <w:i/>
          <w:iCs/>
        </w:rPr>
        <w:t xml:space="preserve">\alpha_i</w:t>
      </w:r>
      <w:r>
        <w:rPr>
          <w:rFonts w:ascii="맑은 고딕" w:cs="맑은 고딕" w:eastAsia="맑은 고딕" w:hAnsi="맑은 고딕"/>
        </w:rPr>
        <w:t xml:space="preserve">=학교고정효과, </w:t>
      </w:r>
      <w:r>
        <w:rPr>
          <w:rFonts w:ascii="Cambria Math" w:cs="Cambria Math" w:eastAsia="Cambria Math" w:hAnsi="Cambria Math"/>
          <w:i/>
          <w:iCs/>
        </w:rPr>
        <w:t xml:space="preserve">\lambda_t</w:t>
      </w:r>
      <w:r>
        <w:rPr>
          <w:rFonts w:ascii="맑은 고딕" w:cs="맑은 고딕" w:eastAsia="맑은 고딕" w:hAnsi="맑은 고딕"/>
        </w:rPr>
        <w:t xml:space="preserve">=연도고정효과). Staggered 확장(Callaway &amp; Sant'Anna, 2021): </w:t>
      </w:r>
      <w:r>
        <w:rPr>
          <w:rFonts w:ascii="Cambria Math" w:cs="Cambria Math" w:eastAsia="Cambria Math" w:hAnsi="Cambria Math"/>
          <w:i/>
          <w:iCs/>
        </w:rPr>
        <w:t xml:space="preserve">ATT(g,t)=E[Y_t(g)-Y_t(0)\mid G=g]-E[Y_t(g)-Y_t(0)\mid G=\infty]</w:t>
      </w:r>
      <w:r>
        <w:rPr>
          <w:rFonts w:ascii="맑은 고딕" w:cs="맑은 고딕" w:eastAsia="맑은 고딕" w:hAnsi="맑은 고딕"/>
        </w:rPr>
        <w:t xml:space="preserve">, </w:t>
      </w:r>
      <w:r>
        <w:rPr>
          <w:rFonts w:ascii="Cambria Math" w:cs="Cambria Math" w:eastAsia="Cambria Math" w:hAnsi="Cambria Math"/>
          <w:i/>
          <w:iCs/>
        </w:rPr>
        <w:t xml:space="preserve">g</w:t>
      </w:r>
      <w:r>
        <w:rPr>
          <w:rFonts w:ascii="맑은 고딕" w:cs="맑은 고딕" w:eastAsia="맑은 고딕" w:hAnsi="맑은 고딕"/>
        </w:rPr>
        <w:t xml:space="preserve">=처치개시집단(선정연도), 비교집단은 "아직 처치받지 않은" 학교로 한정한다. 동적 집계: </w:t>
      </w:r>
      <w:r>
        <w:rPr>
          <w:rFonts w:ascii="Cambria Math" w:cs="Cambria Math" w:eastAsia="Cambria Math" w:hAnsi="Cambria Math"/>
          <w:i/>
          <w:iCs/>
        </w:rPr>
        <w:t xml:space="preserve">\theta_{dyn}(e)=\sum_g \mathbb{1}[g+e\le T]\,w_g\,ATT(g,g+e)</w:t>
      </w:r>
      <w:r>
        <w:rPr>
          <w:rFonts w:ascii="맑은 고딕" w:cs="맑은 고딕" w:eastAsia="맑은 고딕" w:hAnsi="맑은 고딕"/>
        </w:rPr>
        <w:t xml:space="preserve">(</w:t>
      </w:r>
      <w:r>
        <w:rPr>
          <w:rFonts w:ascii="Cambria Math" w:cs="Cambria Math" w:eastAsia="Cambria Math" w:hAnsi="Cambria Math"/>
          <w:i/>
          <w:iCs/>
        </w:rPr>
        <w:t xml:space="preserve">e</w:t>
      </w:r>
      <w:r>
        <w:rPr>
          <w:rFonts w:ascii="맑은 고딕" w:cs="맑은 고딕" w:eastAsia="맑은 고딕" w:hAnsi="맑은 고딕"/>
        </w:rPr>
        <w:t xml:space="preserve">=처치 후 경과, </w:t>
      </w:r>
      <w:r>
        <w:rPr>
          <w:rFonts w:ascii="Cambria Math" w:cs="Cambria Math" w:eastAsia="Cambria Math" w:hAnsi="Cambria Math"/>
          <w:i/>
          <w:iCs/>
        </w:rPr>
        <w:t xml:space="preserve">w_g</w:t>
      </w:r>
      <w:r>
        <w:rPr>
          <w:rFonts w:ascii="맑은 고딕" w:cs="맑은 고딕" w:eastAsia="맑은 고딕" w:hAnsi="맑은 고딕"/>
        </w:rPr>
        <w:t xml:space="preserve">=집단별 가중치).</w:t>
      </w:r>
    </w:p>
    <w:p>
      <w:pPr>
        <w:spacing w:after="200"/>
      </w:pPr>
      <w:r>
        <w:rPr>
          <w:rFonts w:ascii="맑은 고딕" w:cs="맑은 고딕" w:eastAsia="맑은 고딕" w:hAnsi="맑은 고딕"/>
          <w:b/>
          <w:bCs/>
        </w:rPr>
        <w:t xml:space="preserve">처치 희석 문제와 그 처리.</w:t>
      </w:r>
      <w:r>
        <w:rPr>
          <w:rFonts w:ascii="맑은 고딕" w:cs="맑은 고딕" w:eastAsia="맑은 고딕" w:hAnsi="맑은 고딕"/>
        </w:rPr>
        <w:t xml:space="preserve"> 도제교육은 학교 전체가 아니라 학교당 50–60명 도제반에만 적용되며(직업계고 졸업생의 약 8%), NEIS 학급 코드·재학 중 고용보험 이력 모두 이번 반출 데이터에 포함되지 않으므로[반출 확인 필요] 개인단위 식별은 불가능하다. 따라서 "학교가 도제학교였는가"를 처치로 하는 학교단위 분석으로 확정하고, 결과는 실제 효과의 하한(intent-to-treat)으로 해석한다. 고용24 학습기업 수(학교별 참여기업 수)를 처치 강도 대리변수로 넣은 보조 추정을 병행한다.</w:t>
      </w:r>
    </w:p>
    <w:p>
      <w:pPr>
        <w:spacing w:after="200"/>
      </w:pPr>
      <w:r>
        <w:rPr>
          <w:rFonts w:ascii="맑은 고딕" w:cs="맑은 고딕" w:eastAsia="맑은 고딕" w:hAnsi="맑은 고딕"/>
          <w:b/>
          <w:bCs/>
        </w:rPr>
        <w:t xml:space="preserve">평행추세 위협과 대응.</w:t>
      </w:r>
      <w:r>
        <w:rPr>
          <w:rFonts w:ascii="맑은 고딕" w:cs="맑은 고딕" w:eastAsia="맑은 고딕" w:hAnsi="맑은 고딕"/>
        </w:rPr>
        <w:t xml:space="preserve"> 사전 시점이 2015 하나뿐이라 평행추세를 검정으로 확인할 수 없고, 2015–2020 사이 현장실습 학습중심 전환(2018)이 전국을 강타했는데 채용약정형인 도제학교는 이 충격을 상대적으로 덜 받았을 가능성이 있어 추세가 어긋났을 위험이 있다. 대응:</w:t>
      </w:r>
    </w:p>
    <w:p>
      <w:pPr>
        <w:pStyle w:val="ListParagraph"/>
        <w:numPr>
          <w:ilvl w:val="0"/>
          <w:numId w:val="2"/>
        </w:numPr>
        <w:spacing w:after="100"/>
      </w:pPr>
      <w:r>
        <w:rPr>
          <w:rFonts w:ascii="맑은 고딕" w:cs="맑은 고딕" w:eastAsia="맑은 고딕" w:hAnsi="맑은 고딕"/>
        </w:rPr>
        <w:t xml:space="preserve">학교 특성(규모·계열·지역·2015년 취업률, 및 중소기업 인력양성사업 참여여부·마이스터고 지정여부)으로 성향점수를 만들어 도제/비도제 학교를 매칭한 뒤 DiD를 적용하는 조건부 DiD(PSM-DiD)</w:t>
      </w:r>
    </w:p>
    <w:p>
      <w:pPr>
        <w:pStyle w:val="ListParagraph"/>
        <w:numPr>
          <w:ilvl w:val="0"/>
          <w:numId w:val="2"/>
        </w:numPr>
        <w:spacing w:after="100"/>
      </w:pPr>
      <w:r>
        <w:rPr>
          <w:rFonts w:ascii="맑은 고딕" w:cs="맑은 고딕" w:eastAsia="맑은 고딕" w:hAnsi="맑은 고딕"/>
        </w:rPr>
        <w:t xml:space="preserve">학교별 선정연도가 다르므로(2014·2015·2016·2017) 일반 TWFE 대신 이질성에 강건한 추정량(Callaway &amp; Sant'Anna, 2021; R 패키지 </w:t>
      </w:r>
      <w:r>
        <w:rPr>
          <w:rFonts w:ascii="Consolas" w:cs="Consolas" w:eastAsia="Consolas" w:hAnsi="Consolas"/>
          <w:sz w:val="19"/>
          <w:szCs w:val="19"/>
        </w:rPr>
        <w:t xml:space="preserve">did</w:t>
      </w:r>
      <w:r>
        <w:rPr>
          <w:rFonts w:ascii="맑은 고딕" w:cs="맑은 고딕" w:eastAsia="맑은 고딕" w:hAnsi="맑은 고딕"/>
        </w:rPr>
        <w:t xml:space="preserve">)</w:t>
      </w:r>
    </w:p>
    <w:p>
      <w:pPr>
        <w:pStyle w:val="ListParagraph"/>
        <w:numPr>
          <w:ilvl w:val="0"/>
          <w:numId w:val="2"/>
        </w:numPr>
        <w:spacing w:after="100"/>
      </w:pPr>
      <w:r>
        <w:rPr>
          <w:rFonts w:ascii="맑은 고딕" w:cs="맑은 고딕" w:eastAsia="맑은 고딕" w:hAnsi="맑은 고딕"/>
        </w:rPr>
        <w:t xml:space="preserve">표준오차는 학교단위 클러스터</w:t>
      </w:r>
    </w:p>
    <w:p>
      <w:pPr>
        <w:pStyle w:val="ListParagraph"/>
        <w:numPr>
          <w:ilvl w:val="0"/>
          <w:numId w:val="2"/>
        </w:numPr>
        <w:spacing w:after="100"/>
      </w:pPr>
      <w:r>
        <w:rPr>
          <w:rFonts w:ascii="맑은 고딕" w:cs="맑은 고딕" w:eastAsia="맑은 고딕" w:hAnsi="맑은 고딕"/>
        </w:rPr>
        <w:t xml:space="preserve">honestDiD(Rambachan &amp; Roth, 2022) 민감도 분석 — 평행추세가 어느 정도 깨져도 결론이 유지되는 최대 위반폭 </w:t>
      </w:r>
      <w:r>
        <w:rPr>
          <w:rFonts w:ascii="Cambria Math" w:cs="Cambria Math" w:eastAsia="Cambria Math" w:hAnsi="Cambria Math"/>
          <w:i/>
          <w:iCs/>
        </w:rPr>
        <w:t xml:space="preserve">\bar M</w:t>
      </w:r>
      <w:r>
        <w:rPr>
          <w:rFonts w:ascii="맑은 고딕" w:cs="맑은 고딕" w:eastAsia="맑은 고딕" w:hAnsi="맑은 고딕"/>
        </w:rPr>
        <w:t xml:space="preserve">을 보고</w:t>
      </w:r>
    </w:p>
    <w:p>
      <w:pPr>
        <w:pBdr>
          <w:left w:val="single" w:color="888888" w:sz="12"/>
        </w:pBdr>
        <w:shd w:fill="F7F7F7" w:color="auto" w:val="clear"/>
        <w:spacing w:after="200" w:before="120"/>
        <w:ind w:left="400"/>
      </w:pPr>
      <w:r>
        <w:rPr>
          <w:rFonts w:ascii="맑은 고딕" w:cs="맑은 고딕" w:eastAsia="맑은 고딕" w:hAnsi="맑은 고딕"/>
          <w:b/>
          <w:bCs/>
          <w:i/>
          <w:iCs/>
        </w:rPr>
        <w:t xml:space="preserve">비교집단 오염 주의.</w:t>
      </w:r>
      <w:r>
        <w:rPr>
          <w:rFonts w:ascii="맑은 고딕" w:cs="맑은 고딕" w:eastAsia="맑은 고딕" w:hAnsi="맑은 고딕"/>
          <w:i/>
          <w:iCs/>
        </w:rPr>
        <w:t xml:space="preserve"> 대조군(비도제 특성화·마이스터고)에 중소기업 인력양성사업 참여교, 마이스터고가 섞여 있으면 "정책 vs 무정책" 비교가 아니라 "도제+기타개입 vs 기타개입-only" 비교가 되어 효과가 편향된다. 매칭변수에 두 항목을 반드시 포함하고, 마이스터고를 제외한 특성화고 한정 서브분석을 민감도로 병행한다.</w:t>
      </w:r>
    </w:p>
    <w:p>
      <w:pPr>
        <w:spacing w:after="200"/>
      </w:pPr>
      <w:r>
        <w:rPr>
          <w:rFonts w:ascii="맑은 고딕" w:cs="맑은 고딕" w:eastAsia="맑은 고딕" w:hAnsi="맑은 고딕"/>
          <w:b/>
          <w:bCs/>
        </w:rPr>
        <w:t xml:space="preserve">R 코드 스켈레톤</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library(did); library(HonestDiD)</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school_panel: school_id, year, Y, first_treat, school_size, hs_field_mix, hs_sido,</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baseline_emp_rate, sme_program_yn, meister_yn</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1) 조건부(매칭) 대조군 구성 — 비도제 학교를 학교특성으로 매칭</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m_school &lt;- matchit(apprentice_school ~ school_size + hs_field_mix + hs_sido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baseline_emp_rate + sme_program_yn + meister_yn,</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data = school_baseline, method = "nearest", caliper = 0.2)</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matched_schools &lt;- match.data(m_school)</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school_panel_m &lt;- school_panel %&gt;% semi_join(matched_schools, by = "school_id")</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2) Callaway–Sant'Anna 이질성강건 추정</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cs_out &lt;- att_gt(yname = "Y", tname = "year", idname = "school_id", gname = "first_treat",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xformla = ~ school_size + hs_field_mix + baseline_emp_rate,</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data = school_panel_m, control_group = "notyettreated",</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est_method = "dr", clustervars = "school_id")</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agg_es &lt;- aggte(cs_out, type = "dynamic")</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ggdid(agg_es)                                    # 그림9: event-study plot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3) honestDiD 민감도(평행추세 미검정 보완)</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beta_hat &lt;- cs_out$att; sigma_hat &lt;- cs_out$V_analytical</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sens &lt;- createSensitivityResults_relativeMagnitudes(</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betahat = beta_hat, sigma = sigma_hat, numPrePeriods = 1, numPostPeriods = length(beta_hat) - 1)</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createSensitivityPlot_relativeMagnitudes(sens)   # 그림10: 민감도 경계</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4) 처치강도 보조추정</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lm_intensity &lt;- lm(Y ~ apprentice_intensity + school_size + hs_field_mix,</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data = school_panel_m %&gt;% filter(year &gt;= first_treat))</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Style w:val="Heading3"/>
        <w:spacing w:after="160" w:before="300"/>
      </w:pPr>
      <w:r>
        <w:rPr>
          <w:rFonts w:ascii="맑은 고딕" w:cs="맑은 고딕" w:eastAsia="맑은 고딕" w:hAnsi="맑은 고딕"/>
        </w:rPr>
        <w:t xml:space="preserve">2.5 결과 해석 가이드 — ATT(g,t)를 어떻게 읽을 것인가</w:t>
      </w:r>
    </w:p>
    <w:p>
      <w:pPr>
        <w:spacing w:after="200"/>
      </w:pPr>
      <w:r>
        <w:rPr>
          <w:rFonts w:ascii="맑은 고딕" w:cs="맑은 고딕" w:eastAsia="맑은 고딕" w:hAnsi="맑은 고딕"/>
        </w:rPr>
        <w:t xml:space="preserve">이 절은 아직 존재하지 않는 결과를 미리 지어내는 것이 아니라, 결과가 나왔을 때 </w:t>
      </w:r>
      <w:r>
        <w:rPr>
          <w:rFonts w:ascii="맑은 고딕" w:cs="맑은 고딕" w:eastAsia="맑은 고딕" w:hAnsi="맑은 고딕"/>
          <w:b/>
          <w:bCs/>
        </w:rPr>
        <w:t xml:space="preserve">무엇을 어떤 근거로 어떻게 서술할지</w:t>
      </w:r>
      <w:r>
        <w:rPr>
          <w:rFonts w:ascii="맑은 고딕" w:cs="맑은 고딕" w:eastAsia="맑은 고딕" w:hAnsi="맑은 고딕"/>
        </w:rPr>
        <w:t xml:space="preserve">를 미리 정해두는 해석 규약(interpretation protocol)이다. 규약을 사전에 정해두지 않으면 결과를 보고 나서 유리한 해석을 짜맞추는 것처럼 보이기 쉽다 — 지금까지 방법론에서 지적받아 온 지점과 본질적으로 같은 문제다.</w:t>
      </w:r>
    </w:p>
    <w:p>
      <w:pPr>
        <w:spacing w:after="200"/>
      </w:pPr>
      <w:r>
        <w:rPr>
          <w:rFonts w:ascii="맑은 고딕" w:cs="맑은 고딕" w:eastAsia="맑은 고딕" w:hAnsi="맑은 고딕"/>
          <w:b/>
          <w:bCs/>
        </w:rPr>
        <w:t xml:space="preserve">(1) 우리 DiD 패널의 실제 구조를 먼저 인정한다.</w:t>
      </w:r>
      <w:r>
        <w:rPr>
          <w:rFonts w:ascii="맑은 고딕" w:cs="맑은 고딕" w:eastAsia="맑은 고딕" w:hAnsi="맑은 고딕"/>
        </w:rPr>
        <w:t xml:space="preserve"> </w:t>
      </w:r>
      <w:r>
        <w:rPr>
          <w:rFonts w:ascii="Consolas" w:cs="Consolas" w:eastAsia="Consolas" w:hAnsi="Consolas"/>
          <w:sz w:val="19"/>
          <w:szCs w:val="19"/>
        </w:rPr>
        <w:t xml:space="preserve">did::att_gt()</w:t>
      </w:r>
      <w:r>
        <w:rPr>
          <w:rFonts w:ascii="맑은 고딕" w:cs="맑은 고딕" w:eastAsia="맑은 고딕" w:hAnsi="맑은 고딕"/>
        </w:rPr>
        <w:t xml:space="preserve">는 원래 처치시점이 다른 다수의 연간 관측치에서 힘을 발휘하도록 설계된 도구다(Goodman-Bacon, 2021; Callaway &amp; Sant'Anna, 2021). 그러나 </w:t>
      </w:r>
      <w:r>
        <w:rPr>
          <w:rFonts w:ascii="Consolas" w:cs="Consolas" w:eastAsia="Consolas" w:hAnsi="Consolas"/>
          <w:sz w:val="19"/>
          <w:szCs w:val="19"/>
        </w:rPr>
        <w:t xml:space="preserve">school_panel</w:t>
      </w:r>
      <w:r>
        <w:rPr>
          <w:rFonts w:ascii="맑은 고딕" w:cs="맑은 고딕" w:eastAsia="맑은 고딕" w:hAnsi="맑은 고딕"/>
        </w:rPr>
        <w:t xml:space="preserve">은 졸업 코호트-연도가 </w:t>
      </w:r>
      <w:r>
        <w:rPr>
          <w:rFonts w:ascii="맑은 고딕" w:cs="맑은 고딕" w:eastAsia="맑은 고딕" w:hAnsi="맑은 고딕"/>
          <w:b/>
          <w:bCs/>
        </w:rPr>
        <w:t xml:space="preserve">2015·2020·2023 세 시점뿐</w:t>
      </w:r>
      <w:r>
        <w:rPr>
          <w:rFonts w:ascii="맑은 고딕" w:cs="맑은 고딕" w:eastAsia="맑은 고딕" w:hAnsi="맑은 고딕"/>
        </w:rPr>
        <w:t xml:space="preserve">이다. 도제학교 선정연도(2014·2015·2016·2017)가 staggered이긴 하지만, 2020년(첫 사후시점)에는 이미 모든 처치학교가 처치를 받은 상태이므로, 고전적인 Goodman-Bacon 문제(이미 처치된 집단을 비교집단으로 잘못 사용해 발생하는 음의 가중치)가 발생할 여지 자체가 크지 않다. 따라서 이 설계에서 </w:t>
      </w:r>
      <w:r>
        <w:rPr>
          <w:rFonts w:ascii="Consolas" w:cs="Consolas" w:eastAsia="Consolas" w:hAnsi="Consolas"/>
          <w:sz w:val="19"/>
          <w:szCs w:val="19"/>
        </w:rPr>
        <w:t xml:space="preserve">att_gt()</w:t>
      </w:r>
      <w:r>
        <w:rPr>
          <w:rFonts w:ascii="맑은 고딕" w:cs="맑은 고딕" w:eastAsia="맑은 고딕" w:hAnsi="맑은 고딕"/>
        </w:rPr>
        <w:t xml:space="preserve">의 진짜 효용은 "이질성강건 추정으로 TWFE 편향을 제거한다"는 표준적 설명이 아니라, </w:t>
      </w:r>
      <w:r>
        <w:rPr>
          <w:rFonts w:ascii="맑은 고딕" w:cs="맑은 고딕" w:eastAsia="맑은 고딕" w:hAnsi="맑은 고딕"/>
          <w:b/>
          <w:bCs/>
        </w:rPr>
        <w:t xml:space="preserve">선정연도별 그룹 $g$를 이용해 "처치 성숙도"(2020년 시점에 2014년 선정교는 6년차, 2017년 선정교는 3년차 운영 중)에 따른 효과 이질성을 관측할 수 있다는 점</w:t>
      </w:r>
      <w:r>
        <w:rPr>
          <w:rFonts w:ascii="맑은 고딕" w:cs="맑은 고딕" w:eastAsia="맑은 고딕" w:hAnsi="맑은 고딕"/>
        </w:rPr>
        <w:t xml:space="preserve">이다. 결과를 서술할 때는 이 구분을 반드시 명시한다 — "이질성강건 추정량을 썼다"는 문장만으로는 이 방법을 쓴 이유를 설명하지 못하며, 심사에서 "왜 굳이 이 방법인가"를 다시 묻게 만든다.</w:t>
      </w:r>
    </w:p>
    <w:p>
      <w:pPr>
        <w:spacing w:after="200"/>
      </w:pPr>
      <w:r>
        <w:rPr>
          <w:rFonts w:ascii="맑은 고딕" w:cs="맑은 고딕" w:eastAsia="맑은 고딕" w:hAnsi="맑은 고딕"/>
          <w:b/>
          <w:bCs/>
        </w:rPr>
        <w:t xml:space="preserve">(2) $ATT(g,t)$ 표를 읽는 순서.</w:t>
      </w:r>
    </w:p>
    <w:p>
      <w:pPr>
        <w:pStyle w:val="ListParagraph"/>
        <w:numPr>
          <w:ilvl w:val="0"/>
          <w:numId w:val="2"/>
        </w:numPr>
        <w:spacing w:after="100"/>
      </w:pPr>
      <w:r>
        <w:rPr>
          <w:rFonts w:ascii="맑은 고딕" w:cs="맑은 고딕" w:eastAsia="맑은 고딕" w:hAnsi="맑은 고딕"/>
        </w:rPr>
        <w:t xml:space="preserve">먼저 </w:t>
      </w:r>
      <w:r>
        <w:rPr>
          <w:rFonts w:ascii="Cambria Math" w:cs="Cambria Math" w:eastAsia="Cambria Math" w:hAnsi="Cambria Math"/>
          <w:i/>
          <w:iCs/>
        </w:rPr>
        <w:t xml:space="preserve">g</w:t>
      </w:r>
      <w:r>
        <w:rPr>
          <w:rFonts w:ascii="맑은 고딕" w:cs="맑은 고딕" w:eastAsia="맑은 고딕" w:hAnsi="맑은 고딕"/>
        </w:rPr>
        <w:t xml:space="preserve">(선정연도군: 2014/2015/2016)별로 </w:t>
      </w:r>
      <w:r>
        <w:rPr>
          <w:rFonts w:ascii="Cambria Math" w:cs="Cambria Math" w:eastAsia="Cambria Math" w:hAnsi="Cambria Math"/>
          <w:i/>
          <w:iCs/>
        </w:rPr>
        <w:t xml:space="preserve">t=2020</w:t>
      </w:r>
      <w:r>
        <w:rPr>
          <w:rFonts w:ascii="맑은 고딕" w:cs="맑은 고딕" w:eastAsia="맑은 고딕" w:hAnsi="맑은 고딕"/>
        </w:rPr>
        <w:t xml:space="preserve">, </w:t>
      </w:r>
      <w:r>
        <w:rPr>
          <w:rFonts w:ascii="Cambria Math" w:cs="Cambria Math" w:eastAsia="Cambria Math" w:hAnsi="Cambria Math"/>
          <w:i/>
          <w:iCs/>
        </w:rPr>
        <w:t xml:space="preserve">t=2023</w:t>
      </w:r>
      <w:r>
        <w:rPr>
          <w:rFonts w:ascii="맑은 고딕" w:cs="맑은 고딕" w:eastAsia="맑은 고딕" w:hAnsi="맑은 고딕"/>
        </w:rPr>
        <w:t xml:space="preserve"> 두 시점의 계수를 확인한다. 기준시점은 </w:t>
      </w:r>
      <w:r>
        <w:rPr>
          <w:rFonts w:ascii="Cambria Math" w:cs="Cambria Math" w:eastAsia="Cambria Math" w:hAnsi="Cambria Math"/>
          <w:i/>
          <w:iCs/>
        </w:rPr>
        <w:t xml:space="preserve">t=2015</w:t>
      </w:r>
      <w:r>
        <w:rPr>
          <w:rFonts w:ascii="맑은 고딕" w:cs="맑은 고딕" w:eastAsia="맑은 고딕" w:hAnsi="맑은 고딕"/>
        </w:rPr>
        <w:t xml:space="preserve">(전원 미처치)다.</w:t>
      </w:r>
    </w:p>
    <w:p>
      <w:pPr>
        <w:pStyle w:val="ListParagraph"/>
        <w:numPr>
          <w:ilvl w:val="0"/>
          <w:numId w:val="2"/>
        </w:numPr>
        <w:spacing w:after="100"/>
      </w:pPr>
      <w:r>
        <w:rPr>
          <w:rFonts w:ascii="맑은 고딕" w:cs="맑은 고딕" w:eastAsia="맑은 고딕" w:hAnsi="맑은 고딕"/>
        </w:rPr>
        <w:t xml:space="preserve">같은 </w:t>
      </w:r>
      <w:r>
        <w:rPr>
          <w:rFonts w:ascii="Cambria Math" w:cs="Cambria Math" w:eastAsia="Cambria Math" w:hAnsi="Cambria Math"/>
          <w:i/>
          <w:iCs/>
        </w:rPr>
        <w:t xml:space="preserve">g</w:t>
      </w:r>
      <w:r>
        <w:rPr>
          <w:rFonts w:ascii="맑은 고딕" w:cs="맑은 고딕" w:eastAsia="맑은 고딕" w:hAnsi="맑은 고딕"/>
        </w:rPr>
        <w:t xml:space="preserve"> 내에서 </w:t>
      </w:r>
      <w:r>
        <w:rPr>
          <w:rFonts w:ascii="Cambria Math" w:cs="Cambria Math" w:eastAsia="Cambria Math" w:hAnsi="Cambria Math"/>
          <w:i/>
          <w:iCs/>
        </w:rPr>
        <w:t xml:space="preserve">t=2020\to 2023</w:t>
      </w:r>
      <w:r>
        <w:rPr>
          <w:rFonts w:ascii="맑은 고딕" w:cs="맑은 고딕" w:eastAsia="맑은 고딕" w:hAnsi="맑은 고딕"/>
        </w:rPr>
        <w:t xml:space="preserve"> 계수가 커지는지 확인한다 — 커진다면 "정책효과가 시간이 지나며 누적된다"는 서술이 가능하다. 단, 이는 같은 학생 코호트를 추적한 것이 아니라 서로 다른 졸업코호트(2020졸업생 vs 2023졸업생)를 비교하는 것이므로 "동일 학교의 시간에 따른 개선"이 아니라 "정책성숙도가 다른 두 코호트 간 격차"로 표현한다.</w:t>
      </w:r>
    </w:p>
    <w:p>
      <w:pPr>
        <w:pStyle w:val="ListParagraph"/>
        <w:numPr>
          <w:ilvl w:val="0"/>
          <w:numId w:val="2"/>
        </w:numPr>
        <w:spacing w:after="100"/>
      </w:pPr>
      <w:r>
        <w:rPr>
          <w:rFonts w:ascii="맑은 고딕" w:cs="맑은 고딕" w:eastAsia="맑은 고딕" w:hAnsi="맑은 고딕"/>
        </w:rPr>
        <w:t xml:space="preserve">같은 </w:t>
      </w:r>
      <w:r>
        <w:rPr>
          <w:rFonts w:ascii="Cambria Math" w:cs="Cambria Math" w:eastAsia="Cambria Math" w:hAnsi="Cambria Math"/>
          <w:i/>
          <w:iCs/>
        </w:rPr>
        <w:t xml:space="preserve">t</w:t>
      </w:r>
      <w:r>
        <w:rPr>
          <w:rFonts w:ascii="맑은 고딕" w:cs="맑은 고딕" w:eastAsia="맑은 고딕" w:hAnsi="맑은 고딕"/>
        </w:rPr>
        <w:t xml:space="preserve">에서 </w:t>
      </w:r>
      <w:r>
        <w:rPr>
          <w:rFonts w:ascii="Cambria Math" w:cs="Cambria Math" w:eastAsia="Cambria Math" w:hAnsi="Cambria Math"/>
          <w:i/>
          <w:iCs/>
        </w:rPr>
        <w:t xml:space="preserve">g</w:t>
      </w:r>
      <w:r>
        <w:rPr>
          <w:rFonts w:ascii="맑은 고딕" w:cs="맑은 고딕" w:eastAsia="맑은 고딕" w:hAnsi="맑은 고딕"/>
        </w:rPr>
        <w:t xml:space="preserve">가 다른 두 값을 비교한다(예: </w:t>
      </w:r>
      <w:r>
        <w:rPr>
          <w:rFonts w:ascii="Cambria Math" w:cs="Cambria Math" w:eastAsia="Cambria Math" w:hAnsi="Cambria Math"/>
          <w:i/>
          <w:iCs/>
        </w:rPr>
        <w:t xml:space="preserve">t=2020</w:t>
      </w:r>
      <w:r>
        <w:rPr>
          <w:rFonts w:ascii="맑은 고딕" w:cs="맑은 고딕" w:eastAsia="맑은 고딕" w:hAnsi="맑은 고딕"/>
        </w:rPr>
        <w:t xml:space="preserve">에서 </w:t>
      </w:r>
      <w:r>
        <w:rPr>
          <w:rFonts w:ascii="Cambria Math" w:cs="Cambria Math" w:eastAsia="Cambria Math" w:hAnsi="Cambria Math"/>
          <w:i/>
          <w:iCs/>
        </w:rPr>
        <w:t xml:space="preserve">g=2014</w:t>
      </w:r>
      <w:r>
        <w:rPr>
          <w:rFonts w:ascii="맑은 고딕" w:cs="맑은 고딕" w:eastAsia="맑은 고딕" w:hAnsi="맑은 고딕"/>
        </w:rPr>
        <w:t xml:space="preserve"> vs </w:t>
      </w:r>
      <w:r>
        <w:rPr>
          <w:rFonts w:ascii="Cambria Math" w:cs="Cambria Math" w:eastAsia="Cambria Math" w:hAnsi="Cambria Math"/>
          <w:i/>
          <w:iCs/>
        </w:rPr>
        <w:t xml:space="preserve">g=2017</w:t>
      </w:r>
      <w:r>
        <w:rPr>
          <w:rFonts w:ascii="맑은 고딕" w:cs="맑은 고딕" w:eastAsia="맑은 고딕" w:hAnsi="맑은 고딕"/>
        </w:rPr>
        <w:t xml:space="preserve">) — 이것이 "선정이 빠른 학교일수록 효과가 큰가"에 대한 직접적인 답이다. 단, 선정 시점 자체가 무작위가 아니라 준비도·의지가 높은 학교가 먼저 선정됐을 자기선택(self-selection)이 섞여 있으므로, 이 비교를 "조기 도입의 인과효과"로 명명하지 않고 "조기 선정교와 후기 선정교 간 관측된 격차"로 서술한다.</w:t>
      </w:r>
    </w:p>
    <w:p>
      <w:pPr>
        <w:pStyle w:val="ListParagraph"/>
        <w:numPr>
          <w:ilvl w:val="0"/>
          <w:numId w:val="2"/>
        </w:numPr>
        <w:spacing w:after="100"/>
      </w:pPr>
      <w:r>
        <w:rPr>
          <w:rFonts w:ascii="Consolas" w:cs="Consolas" w:eastAsia="Consolas" w:hAnsi="Consolas"/>
          <w:sz w:val="19"/>
          <w:szCs w:val="19"/>
        </w:rPr>
        <w:t xml:space="preserve">aggte(cs_out, type="dynamic")</w:t>
      </w:r>
      <w:r>
        <w:rPr>
          <w:rFonts w:ascii="맑은 고딕" w:cs="맑은 고딕" w:eastAsia="맑은 고딕" w:hAnsi="맑은 고딕"/>
        </w:rPr>
        <w:t xml:space="preserve">로 집계한 event-study 계수는 "정책 후 경과연수"(고전적 의미의 −3,−2,−1,0,1,2,3년처럼 촘촘한 연간 추이)가 아니라 </w:t>
      </w:r>
      <w:r>
        <w:rPr>
          <w:rFonts w:ascii="맑은 고딕" w:cs="맑은 고딕" w:eastAsia="맑은 고딕" w:hAnsi="맑은 고딕"/>
          <w:b/>
          <w:bCs/>
        </w:rPr>
        <w:t xml:space="preserve">"관측된 코호트-연도"(2020, 2023) 두 점</w:t>
      </w:r>
      <w:r>
        <w:rPr>
          <w:rFonts w:ascii="맑은 고딕" w:cs="맑은 고딕" w:eastAsia="맑은 고딕" w:hAnsi="맑은 고딕"/>
        </w:rPr>
        <w:t xml:space="preserve">뿐이라는 점을 그림 캡션에 명시한다. 표준 event-study plot처럼 촘촘한 연도별 추이로 오인되지 않도록 x축 라벨을 "졸업코호트연도"로 명확히 한다.</w:t>
      </w:r>
    </w:p>
    <w:p>
      <w:pPr>
        <w:spacing w:after="200"/>
      </w:pPr>
      <w:r>
        <w:rPr>
          <w:rFonts w:ascii="맑은 고딕" w:cs="맑은 고딕" w:eastAsia="맑은 고딕" w:hAnsi="맑은 고딕"/>
          <w:b/>
          <w:bCs/>
        </w:rPr>
        <w:t xml:space="preserve">(3) honestDiD 민감도 $\bar M$ 값의 해석.</w:t>
      </w:r>
      <w:r>
        <w:rPr>
          <w:rFonts w:ascii="맑은 고딕" w:cs="맑은 고딕" w:eastAsia="맑은 고딕" w:hAnsi="맑은 고딕"/>
        </w:rPr>
        <w:t xml:space="preserve"> 사전시점이 2015 하나뿐이라 평행추세를 검정할 수 없다(Roth 2022가 지적하듯, 사전추세 검정 자체도 검정력이 낮아 위험을 완전히 걸러내지 못한다). </w:t>
      </w:r>
      <w:r>
        <w:rPr>
          <w:rFonts w:ascii="Consolas" w:cs="Consolas" w:eastAsia="Consolas" w:hAnsi="Consolas"/>
          <w:sz w:val="19"/>
          <w:szCs w:val="19"/>
        </w:rPr>
        <w:t xml:space="preserve">createSensitivityResults_relativeMagnitudes()</w:t>
      </w:r>
      <w:r>
        <w:rPr>
          <w:rFonts w:ascii="맑은 고딕" w:cs="맑은 고딕" w:eastAsia="맑은 고딕" w:hAnsi="맑은 고딕"/>
        </w:rPr>
        <w:t xml:space="preserve">가 반환하는 </w:t>
      </w:r>
      <w:r>
        <w:rPr>
          <w:rFonts w:ascii="Cambria Math" w:cs="Cambria Math" w:eastAsia="Cambria Math" w:hAnsi="Cambria Math"/>
          <w:i/>
          <w:iCs/>
        </w:rPr>
        <w:t xml:space="preserve">\bar M</w:t>
      </w:r>
      <w:r>
        <w:rPr>
          <w:rFonts w:ascii="맑은 고딕" w:cs="맑은 고딕" w:eastAsia="맑은 고딕" w:hAnsi="맑은 고딕"/>
        </w:rPr>
        <w:t xml:space="preserve">은 "사후기간의 평행추세 위반이 사전기간에 관측되지 않은 위반의 최대 몇 배까지 허용되어도 결론(효과의 부호)이 유지되는가"를 뜻한다(Rambachan &amp; Roth, 2022). 해석 규약:</w:t>
      </w:r>
    </w:p>
    <w:p>
      <w:pPr>
        <w:pStyle w:val="ListParagraph"/>
        <w:numPr>
          <w:ilvl w:val="0"/>
          <w:numId w:val="1"/>
        </w:numPr>
        <w:spacing w:after="100"/>
      </w:pPr>
      <w:r>
        <w:rPr>
          <w:rFonts w:ascii="Cambria Math" w:cs="Cambria Math" w:eastAsia="Cambria Math" w:hAnsi="Cambria Math"/>
          <w:i/>
          <w:iCs/>
        </w:rPr>
        <w:t xml:space="preserve">\bar M\ge 1</w:t>
      </w:r>
      <w:r>
        <w:rPr>
          <w:rFonts w:ascii="맑은 고딕" w:cs="맑은 고딕" w:eastAsia="맑은 고딕" w:hAnsi="맑은 고딕"/>
        </w:rPr>
        <w:t xml:space="preserve">: 사전기간 정보가 전무한 우리 설계에서는 강한 결론이다 — "사후기간에 나타날 수 있는 추세 위반이 상상 가능한 최소 수준(사전기간과 같은 크기)만 되어도" 결론이 유지된다는 뜻이므로, 이 경우 "이 결과는 상당히 강건하다"고 쓸 수 있다.</w:t>
      </w:r>
    </w:p>
    <w:p>
      <w:pPr>
        <w:pStyle w:val="ListParagraph"/>
        <w:numPr>
          <w:ilvl w:val="0"/>
          <w:numId w:val="1"/>
        </w:numPr>
        <w:spacing w:after="100"/>
      </w:pPr>
      <w:r>
        <w:rPr>
          <w:rFonts w:ascii="Cambria Math" w:cs="Cambria Math" w:eastAsia="Cambria Math" w:hAnsi="Cambria Math"/>
          <w:i/>
          <w:iCs/>
        </w:rPr>
        <w:t xml:space="preserve">0&lt;\bar M&lt;1</w:t>
      </w:r>
      <w:r>
        <w:rPr>
          <w:rFonts w:ascii="맑은 고딕" w:cs="맑은 고딕" w:eastAsia="맑은 고딕" w:hAnsi="맑은 고딕"/>
        </w:rPr>
        <w:t xml:space="preserve">: 결론이 사전기간 위반보다 더 작은 위반에도 뒤집힌다는 뜻이므로, "이 결과는 평행추세 가정에 민감하며 보조적 증거로만 활용한다"고 명시한다.</w:t>
      </w:r>
    </w:p>
    <w:p>
      <w:pPr>
        <w:pStyle w:val="ListParagraph"/>
        <w:numPr>
          <w:ilvl w:val="0"/>
          <w:numId w:val="1"/>
        </w:numPr>
        <w:spacing w:after="100"/>
      </w:pPr>
      <w:r>
        <w:rPr>
          <w:rFonts w:ascii="Cambria Math" w:cs="Cambria Math" w:eastAsia="Cambria Math" w:hAnsi="Cambria Math"/>
          <w:i/>
          <w:iCs/>
        </w:rPr>
        <w:t xml:space="preserve">\bar M</w:t>
      </w:r>
      <w:r>
        <w:rPr>
          <w:rFonts w:ascii="맑은 고딕" w:cs="맑은 고딕" w:eastAsia="맑은 고딕" w:hAnsi="맑은 고딕"/>
        </w:rPr>
        <w:t xml:space="preserve">이 산출되지 않거나 신뢰구간이 0을 포함하는 범위가 넓으면, 점추정치를 본문 전면에 내세우지 않고 "방향성 참고자료"로만 각주 처리한다.</w:t>
      </w:r>
    </w:p>
    <w:p>
      <w:pPr>
        <w:spacing w:after="200"/>
      </w:pPr>
      <w:r>
        <w:rPr>
          <w:rFonts w:ascii="맑은 고딕" w:cs="맑은 고딕" w:eastAsia="맑은 고딕" w:hAnsi="맑은 고딕"/>
          <w:b/>
          <w:bCs/>
        </w:rPr>
        <w:t xml:space="preserve">(4) 학교단위 ITT를 개인단위 효과로 확대해석하지 않는다.</w:t>
      </w:r>
      <w:r>
        <w:rPr>
          <w:rFonts w:ascii="맑은 고딕" w:cs="맑은 고딕" w:eastAsia="맑은 고딕" w:hAnsi="맑은 고딕"/>
        </w:rPr>
        <w:t xml:space="preserve"> </w:t>
      </w:r>
      <w:r>
        <w:rPr>
          <w:rFonts w:ascii="Consolas" w:cs="Consolas" w:eastAsia="Consolas" w:hAnsi="Consolas"/>
          <w:sz w:val="19"/>
          <w:szCs w:val="19"/>
        </w:rPr>
        <w:t xml:space="preserve">att_gt()</w:t>
      </w:r>
      <w:r>
        <w:rPr>
          <w:rFonts w:ascii="맑은 고딕" w:cs="맑은 고딕" w:eastAsia="맑은 고딕" w:hAnsi="맑은 고딕"/>
        </w:rPr>
        <w:t xml:space="preserve">의 추정치는 </w:t>
      </w:r>
      <w:r>
        <w:rPr>
          <w:rFonts w:ascii="맑은 고딕" w:cs="맑은 고딕" w:eastAsia="맑은 고딕" w:hAnsi="맑은 고딕"/>
          <w:b/>
          <w:bCs/>
        </w:rPr>
        <w:t xml:space="preserve">학교단위 의도처리효과(intent-to-treat, ITT)</w:t>
      </w:r>
      <w:r>
        <w:rPr>
          <w:rFonts w:ascii="맑은 고딕" w:cs="맑은 고딕" w:eastAsia="맑은 고딕" w:hAnsi="맑은 고딕"/>
        </w:rPr>
        <w:t xml:space="preserve">다. 도제반 참여 학생은 학교당 8~20% 수준이므로(2.4절 "처치 희석 문제"), 실제 참여자 효과(effect on the treated, TOT)에 대한 근사값이 필요하면 Bloom(1984)의 no-show 보정 공식을 참고 인용한다:</w:t>
      </w:r>
    </w:p>
    <w:p>
      <w:pPr>
        <w:spacing w:after="200"/>
      </w:pPr>
      <w:r>
        <w:rPr>
          <w:rFonts w:ascii="맑은 고딕" w:cs="맑은 고딕" w:eastAsia="맑은 고딕" w:hAnsi="맑은 고딕"/>
        </w:rPr>
        <w:t xml:space="preserve">$</w:t>
      </w:r>
      <w:r>
        <w:rPr>
          <w:rFonts w:ascii="Cambria Math" w:cs="Cambria Math" w:eastAsia="Cambria Math" w:hAnsi="Cambria Math"/>
          <w:i/>
          <w:iCs/>
        </w:rPr>
        <w:t xml:space="preserve">\widehat{TOT}\approx\frac{\widehat{ITT}}{\hat p}</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r>
        <w:rPr>
          <w:rFonts w:ascii="Cambria Math" w:cs="Cambria Math" w:eastAsia="Cambria Math" w:hAnsi="Cambria Math"/>
          <w:i/>
          <w:iCs/>
        </w:rPr>
        <w:t xml:space="preserve">\hat p</w:t>
      </w:r>
      <w:r>
        <w:rPr>
          <w:rFonts w:ascii="맑은 고딕" w:cs="맑은 고딕" w:eastAsia="맑은 고딕" w:hAnsi="맑은 고딕"/>
        </w:rPr>
        <w:t xml:space="preserve">=학교별 도제반 참여 비율). 단, 이 식은 (a) 비참여 학생에게 파급효과(spillover)가 없고 (b) 참여율이 참여자 구성과 무관하다는 강한 가정을 전제하므로, 본문에는 반드시 "근사적 하한 보정치이며 실제 개인효과를 정확히 복원하지 못한다"는 caveat과 함께 참고용 수치로만 제시한다.</w:t>
      </w:r>
    </w:p>
    <w:p>
      <w:pPr>
        <w:spacing w:after="200"/>
      </w:pPr>
      <w:r>
        <w:rPr>
          <w:rFonts w:ascii="맑은 고딕" w:cs="맑은 고딕" w:eastAsia="맑은 고딕" w:hAnsi="맑은 고딕"/>
          <w:b/>
          <w:bCs/>
        </w:rPr>
        <w:t xml:space="preserve">(5) 결과 서술 문장 템플릿.</w:t>
      </w:r>
    </w:p>
    <w:p>
      <w:pPr>
        <w:pStyle w:val="ListParagraph"/>
        <w:numPr>
          <w:ilvl w:val="0"/>
          <w:numId w:val="1"/>
        </w:numPr>
        <w:spacing w:after="100"/>
      </w:pPr>
      <w:r>
        <w:rPr>
          <w:rFonts w:ascii="맑은 고딕" w:cs="맑은 고딕" w:eastAsia="맑은 고딕" w:hAnsi="맑은 고딕"/>
        </w:rPr>
        <w:t xml:space="preserve">*강한 근거가 있을 때*: "도제학교 지정은 2015 코호트 대비 2020·2023 코호트에서 학교단위 평균 [X]%p의 취업률 격차와 연관되며(</w:t>
      </w:r>
      <w:r>
        <w:rPr>
          <w:rFonts w:ascii="Cambria Math" w:cs="Cambria Math" w:eastAsia="Cambria Math" w:hAnsi="Cambria Math"/>
          <w:i/>
          <w:iCs/>
        </w:rPr>
        <w:t xml:space="preserve">ATT(g,t)</w:t>
      </w:r>
      <w:r>
        <w:rPr>
          <w:rFonts w:ascii="맑은 고딕" w:cs="맑은 고딕" w:eastAsia="맑은 고딕" w:hAnsi="맑은 고딕"/>
        </w:rPr>
        <w:t xml:space="preserve">), 이 결과는 honestDiD 민감도 분석에서 </w:t>
      </w:r>
      <w:r>
        <w:rPr>
          <w:rFonts w:ascii="Cambria Math" w:cs="Cambria Math" w:eastAsia="Cambria Math" w:hAnsi="Cambria Math"/>
          <w:i/>
          <w:iCs/>
        </w:rPr>
        <w:t xml:space="preserve">\bar M=</w:t>
      </w:r>
      <w:r>
        <w:rPr>
          <w:rFonts w:ascii="맑은 고딕" w:cs="맑은 고딕" w:eastAsia="맑은 고딕" w:hAnsi="맑은 고딕"/>
        </w:rPr>
        <w:t xml:space="preserve">[값]까지 결론이 유지되어 비교적 강건하다. 다만 이는 도제반 미참여 학생을 포함한 학교 전체 평균(ITT)이므로 실제 도제교육 참여효과의 하한으로 해석한다."</w:t>
      </w:r>
    </w:p>
    <w:p>
      <w:pPr>
        <w:pStyle w:val="ListParagraph"/>
        <w:numPr>
          <w:ilvl w:val="0"/>
          <w:numId w:val="1"/>
        </w:numPr>
        <w:spacing w:after="100"/>
      </w:pPr>
      <w:r>
        <w:rPr>
          <w:rFonts w:ascii="맑은 고딕" w:cs="맑은 고딕" w:eastAsia="맑은 고딕" w:hAnsi="맑은 고딕"/>
        </w:rPr>
        <w:t xml:space="preserve">*근거가 약할 때*: "관측된 격차는 [X]%p였으나 honestDiD 민감도 분석에서 </w:t>
      </w:r>
      <w:r>
        <w:rPr>
          <w:rFonts w:ascii="Cambria Math" w:cs="Cambria Math" w:eastAsia="Cambria Math" w:hAnsi="Cambria Math"/>
          <w:i/>
          <w:iCs/>
        </w:rPr>
        <w:t xml:space="preserve">\bar M=</w:t>
      </w:r>
      <w:r>
        <w:rPr>
          <w:rFonts w:ascii="맑은 고딕" w:cs="맑은 고딕" w:eastAsia="맑은 고딕" w:hAnsi="맑은 고딕"/>
        </w:rPr>
        <w:t xml:space="preserve">[값]</w:t>
      </w:r>
      <w:r>
        <w:rPr>
          <w:rFonts w:ascii="Cambria Math" w:cs="Cambria Math" w:eastAsia="Cambria Math" w:hAnsi="Cambria Math"/>
          <w:i/>
          <w:iCs/>
        </w:rPr>
        <w:t xml:space="preserve">&lt;1</w:t>
      </w:r>
      <w:r>
        <w:rPr>
          <w:rFonts w:ascii="맑은 고딕" w:cs="맑은 고딕" w:eastAsia="맑은 고딕" w:hAnsi="맑은 고딕"/>
        </w:rPr>
        <w:t xml:space="preserve">로 나타나, 평행추세 가정이 근소하게만 위반되어도 결론이 뒤집힐 수 있어 보조적 참고자료로만 제시한다."</w:t>
      </w:r>
    </w:p>
    <w:p>
      <w:pPr>
        <w:pStyle w:val="ListParagraph"/>
        <w:numPr>
          <w:ilvl w:val="0"/>
          <w:numId w:val="1"/>
        </w:numPr>
        <w:spacing w:after="100"/>
      </w:pPr>
      <w:r>
        <w:rPr>
          <w:rFonts w:ascii="맑은 고딕" w:cs="맑은 고딕" w:eastAsia="맑은 고딕" w:hAnsi="맑은 고딕"/>
        </w:rPr>
        <w:t xml:space="preserve">*절대 쓰지 않을 문장*: "도제학교가 취업률을 [X]%p 높였다"(단정형 인과 서술), "선정이 빠른 학교일수록 도제교육의 효과가 크다"(자기선택 미통제 상태에서의 인과 서술).</w:t>
      </w:r>
    </w:p>
    <w:p>
      <w:pPr>
        <w:spacing w:after="200"/>
      </w:pPr>
      <w:r>
        <w:rPr>
          <w:rFonts w:ascii="맑은 고딕" w:cs="맑은 고딕" w:eastAsia="맑은 고딕" w:hAnsi="맑은 고딕"/>
          <w:b/>
          <w:bCs/>
        </w:rPr>
        <w:t xml:space="preserve">(6) 이 분석의 최종 위치.</w:t>
      </w:r>
      <w:r>
        <w:rPr>
          <w:rFonts w:ascii="맑은 고딕" w:cs="맑은 고딕" w:eastAsia="맑은 고딕" w:hAnsi="맑은 고딕"/>
        </w:rPr>
        <w:t xml:space="preserve"> 도제학교 DiD는 축3의 유일한 정식 인과분석이지만, 보고서 전체에서는 축1(고용이행경로, 표5 "본 연구의 주축")이 메인이고 이 분석은 </w:t>
      </w:r>
      <w:r>
        <w:rPr>
          <w:rFonts w:ascii="맑은 고딕" w:cs="맑은 고딕" w:eastAsia="맑은 고딕" w:hAnsi="맑은 고딕"/>
          <w:b/>
          <w:bCs/>
        </w:rPr>
        <w:t xml:space="preserve">보조·확장 분석</w:t>
      </w:r>
      <w:r>
        <w:rPr>
          <w:rFonts w:ascii="맑은 고딕" w:cs="맑은 고딕" w:eastAsia="맑은 고딕" w:hAnsi="맑은 고딕"/>
        </w:rPr>
        <w:t xml:space="preserve">으로 위치시킨다. 발표에서는 점추정치보다 (2)의 그룹×시점 이질성 해석과 (3)의 </w:t>
      </w:r>
      <w:r>
        <w:rPr>
          <w:rFonts w:ascii="Cambria Math" w:cs="Cambria Math" w:eastAsia="Cambria Math" w:hAnsi="Cambria Math"/>
          <w:i/>
          <w:iCs/>
        </w:rPr>
        <w:t xml:space="preserve">\bar M</w:t>
      </w:r>
      <w:r>
        <w:rPr>
          <w:rFonts w:ascii="맑은 고딕" w:cs="맑은 고딕" w:eastAsia="맑은 고딕" w:hAnsi="맑은 고딕"/>
        </w:rPr>
        <w:t xml:space="preserve">을 헤드라인 지표로 제시하며, 2.3단계(기술적 전후비교)에서 진행 기준을 충족하지 못하면 4단계 결과 자체를 본문에 신지 않고 "식별조건 미충족으로 원자료 기술비교까지만 제시한다"로 대체한다.</w:t>
      </w:r>
    </w:p>
    <w:p>
      <w:pPr>
        <w:pStyle w:val="Heading3"/>
        <w:spacing w:after="160" w:before="300"/>
      </w:pPr>
      <w:r>
        <w:rPr>
          <w:rFonts w:ascii="맑은 고딕" w:cs="맑은 고딕" w:eastAsia="맑은 고딕" w:hAnsi="맑은 고딕"/>
        </w:rPr>
        <w:t xml:space="preserve">3. 제외한 확장 과제 — 마이스터고 효과, 진학효과의 향후 강화 경로</w:t>
      </w:r>
    </w:p>
    <w:p>
      <w:pPr>
        <w:spacing w:after="200"/>
      </w:pPr>
      <w:r>
        <w:rPr>
          <w:rFonts w:ascii="맑은 고딕" w:cs="맑은 고딕" w:eastAsia="맑은 고딕" w:hAnsi="맑은 고딕"/>
        </w:rPr>
        <w:t xml:space="preserve">초판의 "하위분석 A(진학효과 PSM)"·"하위분석 C(마이스터고 PSM)"는 이번 보고서에서 제외했다. 사유와 향후 경로는 다음과 같다.</w:t>
      </w:r>
    </w:p>
    <w:p>
      <w:pPr>
        <w:spacing w:after="200"/>
      </w:pPr>
      <w:r>
        <w:rPr>
          <w:rFonts w:ascii="맑은 고딕" w:cs="맑은 고딕" w:eastAsia="맑은 고딕" w:hAnsi="맑은 고딕"/>
          <w:b/>
          <w:bCs/>
        </w:rPr>
        <w:t xml:space="preserve">진학효과(제외).</w:t>
      </w:r>
      <w:r>
        <w:rPr>
          <w:rFonts w:ascii="맑은 고딕" w:cs="맑은 고딕" w:eastAsia="맑은 고딕" w:hAnsi="맑은 고딕"/>
        </w:rPr>
        <w:t xml:space="preserve"> Ⅴ.6절로 이동해 조정된 기술비교로 재정의했다(사유: 매칭에 필요한 성적·가정배경 대리변수가 확정 자료요청 항목에 없음). 향후 KEDI·NEIS에 학업성취·가구소득 관련 항목을 추가 요청해 확보하면, Ⅴ.6절의 </w:t>
      </w:r>
      <w:r>
        <w:rPr>
          <w:rFonts w:ascii="Consolas" w:cs="Consolas" w:eastAsia="Consolas" w:hAnsi="Consolas"/>
          <w:sz w:val="19"/>
          <w:szCs w:val="19"/>
        </w:rPr>
        <w:t xml:space="preserve">lm(income ~ enroll + ...)</w:t>
      </w:r>
      <w:r>
        <w:rPr>
          <w:rFonts w:ascii="맑은 고딕" w:cs="맑은 고딕" w:eastAsia="맑은 고딕" w:hAnsi="맑은 고딕"/>
        </w:rPr>
        <w:t xml:space="preserve"> 조정회귀를 PSM ATT로 재상향할 수 있다 — 이는 Ⅷ장의 확장과제로 남긴다.</w:t>
      </w:r>
    </w:p>
    <w:p>
      <w:pPr>
        <w:spacing w:after="200"/>
      </w:pPr>
      <w:r>
        <w:rPr>
          <w:rFonts w:ascii="맑은 고딕" w:cs="맑은 고딕" w:eastAsia="맑은 고딕" w:hAnsi="맑은 고딕"/>
          <w:b/>
          <w:bCs/>
        </w:rPr>
        <w:t xml:space="preserve">마이스터고효과(제외).</w:t>
      </w:r>
      <w:r>
        <w:rPr>
          <w:rFonts w:ascii="맑은 고딕" w:cs="맑은 고딕" w:eastAsia="맑은 고딕" w:hAnsi="맑은 고딕"/>
        </w:rPr>
        <w:t xml:space="preserve"> 같은 이유(성적·가정배경 대리변수 부재)로 PSM을 이번 보고서의 정식 분석에서 제외한다. 마이스터고-특성화고 비교는 진학보다도 더 강한 자기선택(입학전형 자체가 성적 기반 선발)이 걸려 있어, 확정 공변량(학교유형·전공·지역·성별)만으로 매칭하는 것은 KRIVET(2022)이 겪은 잔여불균형 문제를 그대로 재현할 위험이 크다. 대신 </w:t>
      </w:r>
      <w:r>
        <w:rPr>
          <w:rFonts w:ascii="맑은 고딕" w:cs="맑은 고딕" w:eastAsia="맑은 고딕" w:hAnsi="맑은 고딕"/>
          <w:b/>
          <w:bCs/>
        </w:rPr>
        <w:t xml:space="preserve">입학전형 커트라인 점수가 확보되면 회귀불연속설계(RD)로 전환</w:t>
      </w:r>
      <w:r>
        <w:rPr>
          <w:rFonts w:ascii="맑은 고딕" w:cs="맑은 고딕" w:eastAsia="맑은 고딕" w:hAnsi="맑은 고딕"/>
        </w:rPr>
        <w:t xml:space="preserve">하는 것을 확장과제로 제안한다 — RD는 불연속점 근방의 국소적 연속성만 가정하므로 PSM처럼 광범위한 능력·배경 통제가 필요하지 않아 이 비판에서 상대적으로 자유롭다.</w:t>
      </w:r>
    </w:p>
    <w:p>
      <w:pPr>
        <w:pBdr>
          <w:top w:val="single" w:color="CCCCCC" w:sz="4"/>
          <w:bottom w:val="single" w:color="CCCCCC" w:sz="4"/>
          <w:left w:val="single" w:color="CCCCCC" w:sz="4"/>
          <w:right w:val="single" w:color="CCCCCC" w:sz="4"/>
        </w:pBdr>
        <w:shd w:fill="F0F0F0" w:color="auto" w:val="clear"/>
        <w:spacing w:after="80" w:before="80"/>
      </w:pPr>
      <w:r>
        <w:rPr>
          <w:rFonts w:ascii="Consolas" w:cs="Consolas" w:eastAsia="Consolas" w:hAnsi="Consolas"/>
          <w:color w:val="666666"/>
          <w:sz w:val="16"/>
          <w:szCs w:val="16"/>
        </w:rPr>
        <w:t xml:space="preserve">[r]</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RD 설계(입학전형 커트라인 점수 확보 시 — 확장과제, 이번 보고서 범위 밖)</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library(rdrobust)</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rdrobust(y = outcome_df$income_year_3, x = outcome_df$admission_score_centered,</w:t>
      </w:r>
    </w:p>
    <w:p>
      <w:pPr>
        <w:pBdr>
          <w:left w:val="single" w:color="CCCCCC" w:sz="4"/>
          <w:right w:val="single" w:color="CCCCCC" w:sz="4"/>
        </w:pBdr>
        <w:shd w:fill="F0F0F0" w:color="auto" w:val="clear"/>
        <w:spacing w:after="0"/>
      </w:pPr>
      <w:r>
        <w:rPr>
          <w:rFonts w:ascii="Consolas" w:cs="Consolas" w:eastAsia="Consolas" w:hAnsi="Consolas"/>
          <w:sz w:val="18"/>
          <w:szCs w:val="18"/>
        </w:rPr>
        <w:t xml:space="preserve">         c = 0, p = 1, kernel = "triangular")</w:t>
      </w:r>
    </w:p>
    <w:p>
      <w:pPr>
        <w:pBdr>
          <w:bottom w:val="single" w:color="CCCCCC" w:sz="4"/>
          <w:left w:val="single" w:color="CCCCCC" w:sz="4"/>
          <w:right w:val="single" w:color="CCCCCC" w:sz="4"/>
        </w:pBdr>
        <w:shd w:fill="F0F0F0" w:color="auto" w:val="clear"/>
        <w:spacing w:after="200"/>
      </w:pPr>
      <w:r>
        <w:rPr>
          <w:rFonts w:ascii="Consolas" w:cs="Consolas" w:eastAsia="Consolas" w:hAnsi="Consolas"/>
          <w:sz w:val="4"/>
          <w:szCs w:val="4"/>
        </w:rPr>
        <w:t xml:space="preserve"> </w:t>
      </w:r>
    </w:p>
    <w:p>
      <w:pPr>
        <w:pStyle w:val="Heading3"/>
        <w:spacing w:after="160" w:before="300"/>
      </w:pPr>
      <w:r>
        <w:rPr>
          <w:rFonts w:ascii="맑은 고딕" w:cs="맑은 고딕" w:eastAsia="맑은 고딕" w:hAnsi="맑은 고딕"/>
        </w:rPr>
        <w:t xml:space="preserve">4. 시각화 계획</w:t>
      </w:r>
    </w:p>
    <w:p>
      <w:pPr>
        <w:pStyle w:val="ListParagraph"/>
        <w:numPr>
          <w:ilvl w:val="0"/>
          <w:numId w:val="1"/>
        </w:numPr>
        <w:spacing w:after="100"/>
      </w:pPr>
      <w:r>
        <w:rPr>
          <w:rFonts w:ascii="맑은 고딕" w:cs="맑은 고딕" w:eastAsia="맑은 고딕" w:hAnsi="맑은 고딕"/>
        </w:rPr>
        <w:t xml:space="preserve">그림7. 도제/비도제 학교 2015→2020→2023 평균 </w:t>
      </w:r>
      <w:r>
        <w:rPr>
          <w:rFonts w:ascii="Cambria Math" w:cs="Cambria Math" w:eastAsia="Cambria Math" w:hAnsi="Cambria Math"/>
          <w:i/>
          <w:iCs/>
        </w:rPr>
        <w:t xml:space="preserve">Y</w:t>
      </w:r>
      <w:r>
        <w:rPr>
          <w:rFonts w:ascii="맑은 고딕" w:cs="맑은 고딕" w:eastAsia="맑은 고딕" w:hAnsi="맑은 고딕"/>
        </w:rPr>
        <w:t xml:space="preserve"> 추이 막대·선그림(2.3단계 기술적 전후비교, </w:t>
      </w:r>
      <w:r>
        <w:rPr>
          <w:rFonts w:ascii="맑은 고딕" w:cs="맑은 고딕" w:eastAsia="맑은 고딕" w:hAnsi="맑은 고딕"/>
          <w:b/>
          <w:bCs/>
        </w:rPr>
        <w:t xml:space="preserve">본 장의 1차 결과 그림</w:t>
      </w:r>
      <w:r>
        <w:rPr>
          <w:rFonts w:ascii="맑은 고딕" w:cs="맑은 고딕" w:eastAsia="맑은 고딕" w:hAnsi="맑은 고딕"/>
        </w:rPr>
        <w:t xml:space="preserve">)</w:t>
      </w:r>
    </w:p>
    <w:p>
      <w:pPr>
        <w:pStyle w:val="ListParagraph"/>
        <w:numPr>
          <w:ilvl w:val="0"/>
          <w:numId w:val="1"/>
        </w:numPr>
        <w:spacing w:after="100"/>
      </w:pPr>
      <w:r>
        <w:rPr>
          <w:rFonts w:ascii="맑은 고딕" w:cs="맑은 고딕" w:eastAsia="맑은 고딕" w:hAnsi="맑은 고딕"/>
        </w:rPr>
        <w:t xml:space="preserve">그림8. Love plot(2.4단계 조건부 DiD 매칭 균형진단, 4단계 도달 시)</w:t>
      </w:r>
    </w:p>
    <w:p>
      <w:pPr>
        <w:pStyle w:val="ListParagraph"/>
        <w:numPr>
          <w:ilvl w:val="0"/>
          <w:numId w:val="1"/>
        </w:numPr>
        <w:spacing w:after="100"/>
      </w:pPr>
      <w:r>
        <w:rPr>
          <w:rFonts w:ascii="맑은 고딕" w:cs="맑은 고딕" w:eastAsia="맑은 고딕" w:hAnsi="맑은 고딕"/>
        </w:rPr>
        <w:t xml:space="preserve">그림9. Callaway–Sant'Anna event-study plot(4단계 도달 시)</w:t>
      </w:r>
    </w:p>
    <w:p>
      <w:pPr>
        <w:pStyle w:val="ListParagraph"/>
        <w:numPr>
          <w:ilvl w:val="0"/>
          <w:numId w:val="1"/>
        </w:numPr>
        <w:spacing w:after="100"/>
      </w:pPr>
      <w:r>
        <w:rPr>
          <w:rFonts w:ascii="맑은 고딕" w:cs="맑은 고딕" w:eastAsia="맑은 고딕" w:hAnsi="맑은 고딕"/>
        </w:rPr>
        <w:t xml:space="preserve">그림10. honestDiD 민감도 경계(4단계 도달 시)</w:t>
      </w:r>
    </w:p>
    <w:p>
      <w:pPr>
        <w:pStyle w:val="ListParagraph"/>
        <w:numPr>
          <w:ilvl w:val="0"/>
          <w:numId w:val="1"/>
        </w:numPr>
        <w:spacing w:after="100"/>
      </w:pPr>
      <w:r>
        <w:rPr>
          <w:rFonts w:ascii="맑은 고딕" w:cs="맑은 고딕" w:eastAsia="맑은 고딕" w:hAnsi="맑은 고딕"/>
        </w:rPr>
        <w:t xml:space="preserve">표3(결과표 양식). 도제/비도제 학교 시점별 평균 </w:t>
      </w:r>
      <w:r>
        <w:rPr>
          <w:rFonts w:ascii="Cambria Math" w:cs="Cambria Math" w:eastAsia="Cambria Math" w:hAnsi="Cambria Math"/>
          <w:i/>
          <w:iCs/>
        </w:rPr>
        <w:t xml:space="preserve">Y</w:t>
      </w:r>
      <w:r>
        <w:rPr>
          <w:rFonts w:ascii="맑은 고딕" w:cs="맑은 고딕" w:eastAsia="맑은 고딕" w:hAnsi="맑은 고딕"/>
        </w:rPr>
        <w:t xml:space="preserve">·격차, (4단계 도달 시) ATT(g,t)·95%CI·</w:t>
      </w:r>
      <w:r>
        <w:rPr>
          <w:rFonts w:ascii="Cambria Math" w:cs="Cambria Math" w:eastAsia="Cambria Math" w:hAnsi="Cambria Math"/>
          <w:i/>
          <w:iCs/>
        </w:rPr>
        <w:t xml:space="preserve">\bar M</w:t>
      </w:r>
      <w:r>
        <w:rPr>
          <w:rFonts w:ascii="맑은 고딕" w:cs="맑은 고딕" w:eastAsia="맑은 고딕" w:hAnsi="맑은 고딕"/>
        </w:rPr>
        <w:t xml:space="preserve"> — [반출 후 숫자만 채움]</w:t>
      </w:r>
    </w:p>
    <w:p>
      <w:pPr>
        <w:pBdr>
          <w:left w:val="single" w:color="888888" w:sz="12"/>
        </w:pBdr>
        <w:shd w:fill="F7F7F7" w:color="auto" w:val="clear"/>
        <w:spacing w:after="200" w:before="120"/>
        <w:ind w:left="400"/>
      </w:pPr>
      <w:r>
        <w:rPr>
          <w:rFonts w:ascii="맑은 고딕" w:cs="맑은 고딕" w:eastAsia="맑은 고딕" w:hAnsi="맑은 고딕"/>
          <w:b/>
          <w:bCs/>
          <w:i/>
          <w:iCs/>
        </w:rPr>
        <w:t xml:space="preserve">시각화 원칙.</w:t>
      </w:r>
      <w:r>
        <w:rPr>
          <w:rFonts w:ascii="맑은 고딕" w:cs="맑은 고딕" w:eastAsia="맑은 고딕" w:hAnsi="맑은 고딕"/>
          <w:i/>
          <w:iCs/>
        </w:rPr>
        <w:t xml:space="preserve"> 이 장에서는 Sankey를 사용하지 않는다. 인과효과 추정치는 "차이"이므로 막대·선그림·러브플롯·event-study가 표준이다.</w:t>
      </w:r>
    </w:p>
    <w:p>
      <w:pPr>
        <w:pBdr>
          <w:bottom w:val="single" w:color="999999" w:sz="6"/>
        </w:pBdr>
        <w:spacing w:after="300" w:before="100"/>
      </w:pPr>
      <w:r>
        <w:t xml:space="preserve"/>
      </w:r>
    </w:p>
    <w:p>
      <w:pPr>
        <w:pStyle w:val="Heading2"/>
        <w:spacing w:after="160" w:before="300"/>
      </w:pPr>
      <w:r>
        <w:rPr>
          <w:rFonts w:ascii="맑은 고딕" w:cs="맑은 고딕" w:eastAsia="맑은 고딕" w:hAnsi="맑은 고딕"/>
        </w:rPr>
        <w:t xml:space="preserve">VII. 분석 결과의 검증과 통합 제시</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tblHeader/>
        </w:trPr>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단계</w:t>
            </w:r>
          </w:p>
        </w:tc>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검증 내용</w:t>
            </w:r>
          </w:p>
        </w:tc>
        <w:tc>
          <w:tcPr>
            <w:tcW w:type="dxa" w:w="3166"/>
            <w:shd w:fill="2F3B52" w:color="auto" w:val="clear"/>
            <w:tcMar>
              <w:top w:type="dxa" w:w="60"/>
              <w:left w:type="dxa" w:w="100"/>
              <w:bottom w:type="dxa" w:w="60"/>
              <w:right w:type="dxa" w:w="100"/>
            </w:tcMar>
          </w:tcPr>
          <w:p>
            <w:pPr>
              <w:spacing w:after="0"/>
            </w:pPr>
            <w:r>
              <w:rPr>
                <w:rFonts w:ascii="맑은 고딕" w:cs="맑은 고딕" w:eastAsia="맑은 고딕" w:hAnsi="맑은 고딕"/>
                <w:b/>
                <w:bCs/>
                <w:color w:val="FFFFFF"/>
                <w:sz w:val="18"/>
                <w:szCs w:val="18"/>
              </w:rPr>
              <w:t xml:space="preserve">보고·해석 기준</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관찰범위·대상</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원천 제공기간·적용대상, 기가입·미관찰 구분</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명부 및 원천별 이력 보유 인원 명시</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상태·사건(축1)</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날짜 역전·중첩, 월말 상태와 일별 구간 일치</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짧은 공백·진행중 구간 보존</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대표경로(축1)</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ASW·ARI(반복표본), 가입량 이외 구분 여부</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k별 평가·구성비 변동 보고</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사건사(축1)</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학교내 상관·모형수렴·비례위험·시작연도별 추적</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학교수·인원·사건수·강건신뢰구간</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교육분야·직종(축2)</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엔트로피 산출의 유효 표본·판정자 일치(κ, 보조지표)</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주지표(엔트로피)와 보조지표(관련성)를 표에서 구분 표시</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진학 기술비교(축2)</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조정회귀의 R², 공변량 결측 비율</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"ATT/효과" 표현 금지, "조정된 격차"로만 표기</w:t>
            </w:r>
          </w:p>
        </w:tc>
      </w:tr>
      <w:tr>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도제학교 DiD(축3)</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2.3단계 진행기준 충족 여부, 균형진단, honestDiD</w:t>
            </w:r>
          </w:p>
        </w:tc>
        <w:tc>
          <w:tcPr>
            <w:tcW w:type="dxa" w:w="3166"/>
            <w:tcMar>
              <w:top w:type="dxa" w:w="60"/>
              <w:left w:type="dxa" w:w="100"/>
              <w:bottom w:type="dxa" w:w="60"/>
              <w:right w:type="dxa" w:w="100"/>
            </w:tcMar>
          </w:tcPr>
          <w:p>
            <w:pPr>
              <w:spacing w:after="0"/>
            </w:pPr>
            <w:r>
              <w:rPr>
                <w:rFonts w:ascii="맑은 고딕" w:cs="맑은 고딕" w:eastAsia="맑은 고딕" w:hAnsi="맑은 고딕"/>
                <w:sz w:val="18"/>
                <w:szCs w:val="18"/>
              </w:rPr>
              <w:t xml:space="preserve">4단계 도달 실패 시 2.3단계 기술비교까지만 보고</w:t>
            </w:r>
          </w:p>
        </w:tc>
      </w:tr>
    </w:tbl>
    <w:p>
      <w:pPr>
        <w:spacing w:after="160"/>
      </w:pPr>
    </w:p>
    <w:p>
      <w:pPr>
        <w:pStyle w:val="Heading3"/>
        <w:spacing w:after="160" w:before="300"/>
      </w:pPr>
      <w:r>
        <w:rPr>
          <w:rFonts w:ascii="맑은 고딕" w:cs="맑은 고딕" w:eastAsia="맑은 고딕" w:hAnsi="맑은 고딕"/>
        </w:rPr>
        <w:t xml:space="preserve">결과 장 구성(안)</w:t>
      </w:r>
    </w:p>
    <w:p>
      <w:pPr>
        <w:pStyle w:val="ListParagraph"/>
        <w:numPr>
          <w:ilvl w:val="0"/>
          <w:numId w:val="2"/>
        </w:numPr>
        <w:spacing w:after="100"/>
      </w:pPr>
      <w:r>
        <w:rPr>
          <w:rFonts w:ascii="맑은 고딕" w:cs="맑은 고딕" w:eastAsia="맑은 고딕" w:hAnsi="맑은 고딕"/>
        </w:rPr>
        <w:t xml:space="preserve">분석대상과 관찰범위</w:t>
      </w:r>
    </w:p>
    <w:p>
      <w:pPr>
        <w:pStyle w:val="ListParagraph"/>
        <w:numPr>
          <w:ilvl w:val="0"/>
          <w:numId w:val="2"/>
        </w:numPr>
        <w:spacing w:after="100"/>
      </w:pPr>
      <w:r>
        <w:rPr>
          <w:rFonts w:ascii="맑은 고딕" w:cs="맑은 고딕" w:eastAsia="맑은 고딕" w:hAnsi="맑은 고딕"/>
        </w:rPr>
        <w:t xml:space="preserve">고용이행경로(축1, 본 연구의 주축)</w:t>
      </w:r>
    </w:p>
    <w:p>
      <w:pPr>
        <w:pStyle w:val="ListParagraph"/>
        <w:numPr>
          <w:ilvl w:val="0"/>
          <w:numId w:val="2"/>
        </w:numPr>
        <w:spacing w:after="100"/>
      </w:pPr>
      <w:r>
        <w:rPr>
          <w:rFonts w:ascii="맑은 고딕" w:cs="맑은 고딕" w:eastAsia="맑은 고딕" w:hAnsi="맑은 고딕"/>
        </w:rPr>
        <w:t xml:space="preserve">교육분야-직종-진학 연결(축2)</w:t>
      </w:r>
    </w:p>
    <w:p>
      <w:pPr>
        <w:pStyle w:val="ListParagraph"/>
        <w:numPr>
          <w:ilvl w:val="0"/>
          <w:numId w:val="2"/>
        </w:numPr>
        <w:spacing w:after="100"/>
      </w:pPr>
      <w:r>
        <w:rPr>
          <w:rFonts w:ascii="맑은 고딕" w:cs="맑은 고딕" w:eastAsia="맑은 고딕" w:hAnsi="맑은 고딕"/>
        </w:rPr>
        <w:t xml:space="preserve">정책학교(도제학교) 비교(축3) — 4단계 중 도달한 단계까지만 보고</w:t>
      </w:r>
    </w:p>
    <w:p>
      <w:pPr>
        <w:pStyle w:val="ListParagraph"/>
        <w:numPr>
          <w:ilvl w:val="0"/>
          <w:numId w:val="2"/>
        </w:numPr>
        <w:spacing w:after="100"/>
      </w:pPr>
      <w:r>
        <w:rPr>
          <w:rFonts w:ascii="맑은 고딕" w:cs="맑은 고딕" w:eastAsia="맑은 고딕" w:hAnsi="맑은 고딕"/>
        </w:rPr>
        <w:t xml:space="preserve">결론 및 정책제언 — 서술적 결과(축1·2)와 준실험 결과(축3)를 혼동하지 않도록 절을 분리</w:t>
      </w:r>
    </w:p>
    <w:p>
      <w:pPr>
        <w:pBdr>
          <w:bottom w:val="single" w:color="999999" w:sz="6"/>
        </w:pBdr>
        <w:spacing w:after="300" w:before="100"/>
      </w:pPr>
      <w:r>
        <w:t xml:space="preserve"/>
      </w:r>
    </w:p>
    <w:p>
      <w:pPr>
        <w:pStyle w:val="Heading2"/>
        <w:spacing w:after="160" w:before="300"/>
      </w:pPr>
      <w:r>
        <w:rPr>
          <w:rFonts w:ascii="맑은 고딕" w:cs="맑은 고딕" w:eastAsia="맑은 고딕" w:hAnsi="맑은 고딕"/>
        </w:rPr>
        <w:t xml:space="preserve">VIII. 남은 확인·수집 항목 (2026.9 기준)</w:t>
      </w:r>
    </w:p>
    <w:p>
      <w:pPr>
        <w:pStyle w:val="ListParagraph"/>
        <w:numPr>
          <w:ilvl w:val="0"/>
          <w:numId w:val="1"/>
        </w:numPr>
        <w:spacing w:after="100"/>
      </w:pPr>
      <w:r>
        <w:rPr>
          <w:rFonts w:ascii="맑은 고딕" w:cs="맑은 고딕" w:eastAsia="맑은 고딕" w:hAnsi="맑은 고딕"/>
        </w:rPr>
        <w:t xml:space="preserve">[반출 확인 필요] 2015 코호트 진학여부 판정 항목</w:t>
      </w:r>
    </w:p>
    <w:p>
      <w:pPr>
        <w:pStyle w:val="ListParagraph"/>
        <w:numPr>
          <w:ilvl w:val="0"/>
          <w:numId w:val="1"/>
        </w:numPr>
        <w:spacing w:after="100"/>
      </w:pPr>
      <w:r>
        <w:rPr>
          <w:rFonts w:ascii="맑은 고딕" w:cs="맑은 고딕" w:eastAsia="맑은 고딕" w:hAnsi="맑은 고딕"/>
        </w:rPr>
        <w:t xml:space="preserve">[반출 확인 필요] 재학 중 고용보험 이력(NEIS 학급코드 대안 포함) — 확보 시 도제학교 분석을 개인단위 삼중비교로 격상 가능</w:t>
      </w:r>
    </w:p>
    <w:p>
      <w:pPr>
        <w:pStyle w:val="ListParagraph"/>
        <w:numPr>
          <w:ilvl w:val="0"/>
          <w:numId w:val="1"/>
        </w:numPr>
        <w:spacing w:after="100"/>
      </w:pPr>
      <w:r>
        <w:rPr>
          <w:rFonts w:ascii="맑은 고딕" w:cs="맑은 고딕" w:eastAsia="맑은 고딕" w:hAnsi="맑은 고딕"/>
        </w:rPr>
        <w:t xml:space="preserve">[확장과제] 학업성취(중3 내신 등)·가구소득 대리변수 추가 확보 — 확보 시 Ⅴ.6절 진학 기술비교를 PSM ATT로, Ⅵ.3절 마이스터고 비교를 정식 분석으로 재상향</w:t>
      </w:r>
    </w:p>
    <w:p>
      <w:pPr>
        <w:pStyle w:val="ListParagraph"/>
        <w:numPr>
          <w:ilvl w:val="0"/>
          <w:numId w:val="1"/>
        </w:numPr>
        <w:spacing w:after="100"/>
      </w:pPr>
      <w:r>
        <w:rPr>
          <w:rFonts w:ascii="맑은 고딕" w:cs="맑은 고딕" w:eastAsia="맑은 고딕" w:hAnsi="맑은 고딕"/>
        </w:rPr>
        <w:t xml:space="preserve">[확장과제] 마이스터고 입학전형 커트라인 점수 확보 가능성 — 확보 시 마이스터고 비교를 PSM 대신 RD로 설계(성적·배경 전반의 통제가 불필요해 식별이 더 강함)</w:t>
      </w:r>
    </w:p>
    <w:p>
      <w:pPr>
        <w:pStyle w:val="ListParagraph"/>
        <w:numPr>
          <w:ilvl w:val="0"/>
          <w:numId w:val="1"/>
        </w:numPr>
        <w:spacing w:after="100"/>
      </w:pPr>
      <w:r>
        <w:rPr>
          <w:rFonts w:ascii="맑은 고딕" w:cs="맑은 고딕" w:eastAsia="맑은 고딕" w:hAnsi="맑은 고딕"/>
        </w:rPr>
        <w:t xml:space="preserve">[수집 예정] 중소기업 특성화고 인력양성사업·2016 학생비중확대사업 선정교 명단 — 도제학교 DiD 견고성 분석 및 비교집단 오염 통제용</w:t>
      </w:r>
    </w:p>
    <w:p>
      <w:pPr>
        <w:pStyle w:val="ListParagraph"/>
        <w:numPr>
          <w:ilvl w:val="0"/>
          <w:numId w:val="1"/>
        </w:numPr>
        <w:spacing w:after="100"/>
      </w:pPr>
      <w:r>
        <w:rPr>
          <w:rFonts w:ascii="맑은 고딕" w:cs="맑은 고딕" w:eastAsia="맑은 고딕" w:hAnsi="맑은 고딕"/>
        </w:rPr>
        <w:t xml:space="preserve">[수집 예정] KESS 학교기본정보(학교코드 포함), 학교별 시계열 취업률(2014–2023)</w:t>
      </w:r>
    </w:p>
    <w:p>
      <w:pPr>
        <w:pStyle w:val="ListParagraph"/>
        <w:numPr>
          <w:ilvl w:val="0"/>
          <w:numId w:val="1"/>
        </w:numPr>
        <w:spacing w:after="100"/>
      </w:pPr>
      <w:r>
        <w:rPr>
          <w:rFonts w:ascii="맑은 고딕" w:cs="맑은 고딕" w:eastAsia="맑은 고딕" w:hAnsi="맑은 고딕"/>
        </w:rPr>
        <w:t xml:space="preserve">[후속연구] GBTM 교차검증, 다중상태모형, RF+SHAP — Ⅳ.7·Ⅴ.7절에 코드 보관, 본 보고서 범위 밖</w:t>
      </w:r>
    </w:p>
    <w:p>
      <w:pPr>
        <w:pBdr>
          <w:bottom w:val="single" w:color="999999" w:sz="6"/>
        </w:pBdr>
        <w:spacing w:after="300" w:before="100"/>
      </w:pPr>
      <w:r>
        <w:t xml:space="preserve"/>
      </w:r>
    </w:p>
    <w:p>
      <w:pPr>
        <w:pStyle w:val="Heading2"/>
        <w:spacing w:after="160" w:before="300"/>
      </w:pPr>
      <w:r>
        <w:rPr>
          <w:rFonts w:ascii="맑은 고딕" w:cs="맑은 고딕" w:eastAsia="맑은 고딕" w:hAnsi="맑은 고딕"/>
        </w:rPr>
        <w:t xml:space="preserve">참고문헌</w:t>
      </w:r>
    </w:p>
    <w:p>
      <w:pPr>
        <w:spacing w:after="200"/>
      </w:pPr>
      <w:r>
        <w:rPr>
          <w:rFonts w:ascii="맑은 고딕" w:cs="맑은 고딕" w:eastAsia="맑은 고딕" w:hAnsi="맑은 고딕"/>
        </w:rPr>
        <w:t xml:space="preserve">Abadie, A. (2005). Semiparametric difference-in-differences estimators. *Review of Economic Studies*, 72(1), 1–19.</w:t>
      </w:r>
    </w:p>
    <w:p>
      <w:pPr>
        <w:spacing w:after="200"/>
      </w:pPr>
      <w:r>
        <w:rPr>
          <w:rFonts w:ascii="맑은 고딕" w:cs="맑은 고딕" w:eastAsia="맑은 고딕" w:hAnsi="맑은 고딕"/>
        </w:rPr>
        <w:t xml:space="preserve">Bachbauer, N., Wolf, C., &amp; Fuß, D. (2022). Education and employment trajectories in NEPS-ADIAB. *European Sociological Review*, 38(4), 663–676.</w:t>
      </w:r>
    </w:p>
    <w:p>
      <w:pPr>
        <w:spacing w:after="200"/>
      </w:pPr>
      <w:r>
        <w:rPr>
          <w:rFonts w:ascii="맑은 고딕" w:cs="맑은 고딕" w:eastAsia="맑은 고딕" w:hAnsi="맑은 고딕"/>
        </w:rPr>
        <w:t xml:space="preserve">Callaway, B., &amp; Sant'Anna, P. H. C. (2021). Difference-in-differences with multiple time periods. *Journal of Econometrics*, 225(2), 200–230.</w:t>
      </w:r>
    </w:p>
    <w:p>
      <w:pPr>
        <w:spacing w:after="200"/>
      </w:pPr>
      <w:r>
        <w:rPr>
          <w:rFonts w:ascii="맑은 고딕" w:cs="맑은 고딕" w:eastAsia="맑은 고딕" w:hAnsi="맑은 고딕"/>
        </w:rPr>
        <w:t xml:space="preserve">Cox, D. R. (1972). Regression models and life-tables. *Journal of the Royal Statistical Society: Series B*, 34(2), 187–202.</w:t>
      </w:r>
    </w:p>
    <w:p>
      <w:pPr>
        <w:spacing w:after="200"/>
      </w:pPr>
      <w:r>
        <w:rPr>
          <w:rFonts w:ascii="맑은 고딕" w:cs="맑은 고딕" w:eastAsia="맑은 고딕" w:hAnsi="맑은 고딕"/>
        </w:rPr>
        <w:t xml:space="preserve">Eisner, N. L., Murray, A. L., Eisner, M., &amp; Ribeaud, D. (2019). A practical guide to the analysis of non-response and attrition. *International Journal of Behavioral Development*, 43(6), 553–562.</w:t>
      </w:r>
    </w:p>
    <w:p>
      <w:pPr>
        <w:spacing w:after="200"/>
      </w:pPr>
      <w:r>
        <w:rPr>
          <w:rFonts w:ascii="맑은 고딕" w:cs="맑은 고딕" w:eastAsia="맑은 고딕" w:hAnsi="맑은 고딕"/>
        </w:rPr>
        <w:t xml:space="preserve">Gabadinho, A., Ritschard, G., Müller, N. S., &amp; Studer, M. (2011). Analyzing and visualizing state sequences in R with TraMineR. *Journal of Statistical Software*, 40(4), 1–37.</w:t>
      </w:r>
    </w:p>
    <w:p>
      <w:pPr>
        <w:spacing w:after="200"/>
      </w:pPr>
      <w:r>
        <w:rPr>
          <w:rFonts w:ascii="맑은 고딕" w:cs="맑은 고딕" w:eastAsia="맑은 고딕" w:hAnsi="맑은 고딕"/>
        </w:rPr>
        <w:t xml:space="preserve">Kaplan, E. L., &amp; Meier, P. (1958). Nonparametric estimation from incomplete observations. *JASA*, 53(282), 457–481.</w:t>
      </w:r>
    </w:p>
    <w:p>
      <w:pPr>
        <w:spacing w:after="200"/>
      </w:pPr>
      <w:r>
        <w:rPr>
          <w:rFonts w:ascii="맑은 고딕" w:cs="맑은 고딕" w:eastAsia="맑은 고딕" w:hAnsi="맑은 고딕"/>
        </w:rPr>
        <w:t xml:space="preserve">Kapteyn, A., &amp; Ypma, J. Y. (2007). Measurement error and misclassification. *Journal of Labor Economics*, 25(3), 513–551.</w:t>
      </w:r>
    </w:p>
    <w:p>
      <w:pPr>
        <w:spacing w:after="200"/>
      </w:pPr>
      <w:r>
        <w:rPr>
          <w:rFonts w:ascii="맑은 고딕" w:cs="맑은 고딕" w:eastAsia="맑은 고딕" w:hAnsi="맑은 고딕"/>
        </w:rPr>
        <w:t xml:space="preserve">Lundberg, S. M., &amp; Lee, S.-I. (2017). A unified approach to interpreting model predictions. *NeurIPS 30*.</w:t>
      </w:r>
    </w:p>
    <w:p>
      <w:pPr>
        <w:spacing w:after="200"/>
      </w:pPr>
      <w:r>
        <w:rPr>
          <w:rFonts w:ascii="맑은 고딕" w:cs="맑은 고딕" w:eastAsia="맑은 고딕" w:hAnsi="맑은 고딕"/>
        </w:rPr>
        <w:t xml:space="preserve">Montt, G. (2015). The causes and consequences of field-of-study mismatch. *OECD Social, Employment and Migration Working Papers*, 167.</w:t>
      </w:r>
    </w:p>
    <w:p>
      <w:pPr>
        <w:spacing w:after="200"/>
      </w:pPr>
      <w:r>
        <w:rPr>
          <w:rFonts w:ascii="맑은 고딕" w:cs="맑은 고딕" w:eastAsia="맑은 고딕" w:hAnsi="맑은 고딕"/>
        </w:rPr>
        <w:t xml:space="preserve">Rambachan, A., &amp; Roth, J. (2022). A more credible approach to parallel trends. *Review of Economic Studies*, 90(5), 2555–2591.</w:t>
      </w:r>
    </w:p>
    <w:p>
      <w:pPr>
        <w:spacing w:after="200"/>
      </w:pPr>
      <w:r>
        <w:rPr>
          <w:rFonts w:ascii="맑은 고딕" w:cs="맑은 고딕" w:eastAsia="맑은 고딕" w:hAnsi="맑은 고딕"/>
        </w:rPr>
        <w:t xml:space="preserve">Rosenbaum, P. R. (2002). *Observational Studies* (2nd ed.). Springer.</w:t>
      </w:r>
    </w:p>
    <w:p>
      <w:pPr>
        <w:spacing w:after="200"/>
      </w:pPr>
      <w:r>
        <w:rPr>
          <w:rFonts w:ascii="맑은 고딕" w:cs="맑은 고딕" w:eastAsia="맑은 고딕" w:hAnsi="맑은 고딕"/>
        </w:rPr>
        <w:t xml:space="preserve">Rousseeuw, P. J. (1987). Silhouettes. *Journal of Computational and Applied Mathematics*, 20, 53–65.</w:t>
      </w:r>
    </w:p>
    <w:p>
      <w:pPr>
        <w:spacing w:after="200"/>
      </w:pPr>
      <w:r>
        <w:rPr>
          <w:rFonts w:ascii="맑은 고딕" w:cs="맑은 고딕" w:eastAsia="맑은 고딕" w:hAnsi="맑은 고딕"/>
        </w:rPr>
        <w:t xml:space="preserve">Ryan, P. (2001). The school-to-work transition. *Journal of Economic Literature*, 39(1), 34–92.</w:t>
      </w:r>
    </w:p>
    <w:p>
      <w:pPr>
        <w:spacing w:after="200"/>
      </w:pPr>
      <w:r>
        <w:rPr>
          <w:rFonts w:ascii="맑은 고딕" w:cs="맑은 고딕" w:eastAsia="맑은 고딕" w:hAnsi="맑은 고딕"/>
        </w:rPr>
        <w:t xml:space="preserve">Sant'Anna, P. H. C., &amp; Zhao, J. (2020). Doubly robust difference-in-differences estimators. *Journal of Econometrics*, 219(1), 101–122.</w:t>
      </w:r>
    </w:p>
    <w:p>
      <w:pPr>
        <w:spacing w:after="200"/>
      </w:pPr>
      <w:r>
        <w:rPr>
          <w:rFonts w:ascii="맑은 고딕" w:cs="맑은 고딕" w:eastAsia="맑은 고딕" w:hAnsi="맑은 고딕"/>
        </w:rPr>
        <w:t xml:space="preserve">Studer, M., Sadeghi, R., &amp; Tochon, L. (2024). Sequence analysis for large databases. *LIVES Working Papers*, 104.</w:t>
      </w:r>
    </w:p>
    <w:p>
      <w:pPr>
        <w:spacing w:after="200"/>
      </w:pPr>
      <w:r>
        <w:rPr>
          <w:rFonts w:ascii="맑은 고딕" w:cs="맑은 고딕" w:eastAsia="맑은 고딕" w:hAnsi="맑은 고딕"/>
        </w:rPr>
        <w:t xml:space="preserve">강순희(2016); 김성남(2013); 김진모 외(2018, 2026); 류지은 외(2022, 2023); 류지은·서예린(2023); 백승희·이정민(2021); 백예은·정혜원(2025); 안재영·김세훈(2022); 유진영·윤종혁(2022); 전지연 외(2025a); 최수정(2018); 최수현 외(2023); 천영민 외(2009); 금종예 외(2025) — 세부 서지사항은 기존 연구설계 초안(doc1)·PSM/DiD 검토보고(doc2)의 참고문헌 목록을 승계함.</w:t>
      </w:r>
    </w:p>
    <w:p>
      <w:pPr>
        <w:pStyle w:val="Heading3"/>
        <w:spacing w:after="160" w:before="300"/>
      </w:pPr>
      <w:r>
        <w:rPr>
          <w:rFonts w:ascii="맑은 고딕" w:cs="맑은 고딕" w:eastAsia="맑은 고딕" w:hAnsi="맑은 고딕"/>
        </w:rPr>
        <w:t xml:space="preserve">방법론 문헌 (Ⅱ.3–Ⅱ.10 신규 인용)</w:t>
      </w:r>
    </w:p>
    <w:p>
      <w:pPr>
        <w:spacing w:after="200"/>
      </w:pPr>
      <w:r>
        <w:rPr>
          <w:rFonts w:ascii="맑은 고딕" w:cs="맑은 고딕" w:eastAsia="맑은 고딕" w:hAnsi="맑은 고딕"/>
        </w:rPr>
        <w:t xml:space="preserve">Aalen, O. O., &amp; Johansen, S. (1978). An empirical transition matrix for non-homogeneous Markov chains based on censored observations. *Scandinavian Journal of Statistics*, 5(3), 141–150.</w:t>
      </w:r>
    </w:p>
    <w:p>
      <w:pPr>
        <w:spacing w:after="200"/>
      </w:pPr>
      <w:r>
        <w:rPr>
          <w:rFonts w:ascii="맑은 고딕" w:cs="맑은 고딕" w:eastAsia="맑은 고딕" w:hAnsi="맑은 고딕"/>
        </w:rPr>
        <w:t xml:space="preserve">Abbott, A. (1995). Sequence analysis: New methods for old ideas. *Annual Review of Sociology*, 21, 93–113.</w:t>
      </w:r>
    </w:p>
    <w:p>
      <w:pPr>
        <w:spacing w:after="200"/>
      </w:pPr>
      <w:r>
        <w:rPr>
          <w:rFonts w:ascii="맑은 고딕" w:cs="맑은 고딕" w:eastAsia="맑은 고딕" w:hAnsi="맑은 고딕"/>
        </w:rPr>
        <w:t xml:space="preserve">Abbott, A., &amp; Forrest, J. (1986). Optimal matching methods for historical sequences. *Journal of Interdisciplinary History*, 16(3), 471–494.</w:t>
      </w:r>
    </w:p>
    <w:p>
      <w:pPr>
        <w:spacing w:after="200"/>
      </w:pPr>
      <w:r>
        <w:rPr>
          <w:rFonts w:ascii="맑은 고딕" w:cs="맑은 고딕" w:eastAsia="맑은 고딕" w:hAnsi="맑은 고딕"/>
        </w:rPr>
        <w:t xml:space="preserve">Abbott, A., &amp; Tsay, A. (2000). Sequence analysis and optimal matching methods in sociology: Review and prospect. *Sociological Methods &amp; Research*, 29(1), 3–33.</w:t>
      </w:r>
    </w:p>
    <w:p>
      <w:pPr>
        <w:spacing w:after="200"/>
      </w:pPr>
      <w:r>
        <w:rPr>
          <w:rFonts w:ascii="맑은 고딕" w:cs="맑은 고딕" w:eastAsia="맑은 고딕" w:hAnsi="맑은 고딕"/>
        </w:rPr>
        <w:t xml:space="preserve">Aisenbrey, S., &amp; Fasang, A. E. (2010). New life for old ideas: The "second wave" of sequence analysis. *Sociological Methods &amp; Research*, 38(3), 420–462.</w:t>
      </w:r>
    </w:p>
    <w:p>
      <w:pPr>
        <w:spacing w:after="200"/>
      </w:pPr>
      <w:r>
        <w:rPr>
          <w:rFonts w:ascii="맑은 고딕" w:cs="맑은 고딕" w:eastAsia="맑은 고딕" w:hAnsi="맑은 고딕"/>
        </w:rPr>
        <w:t xml:space="preserve">Allison, P. D. (1982). Discrete-time methods for the analysis of event histories. *Sociological Methodology*, 13, 61–98.</w:t>
      </w:r>
    </w:p>
    <w:p>
      <w:pPr>
        <w:spacing w:after="200"/>
      </w:pPr>
      <w:r>
        <w:rPr>
          <w:rFonts w:ascii="맑은 고딕" w:cs="맑은 고딕" w:eastAsia="맑은 고딕" w:hAnsi="맑은 고딕"/>
        </w:rPr>
        <w:t xml:space="preserve">Andersen, P. K., &amp; Gill, R. D. (1982). Cox's regression model for counting processes: A large sample study. *Annals of Statistics*, 10(4), 1100–1120.</w:t>
      </w:r>
    </w:p>
    <w:p>
      <w:pPr>
        <w:spacing w:after="200"/>
      </w:pPr>
      <w:r>
        <w:rPr>
          <w:rFonts w:ascii="맑은 고딕" w:cs="맑은 고딕" w:eastAsia="맑은 고딕" w:hAnsi="맑은 고딕"/>
        </w:rPr>
        <w:t xml:space="preserve">Andersen, P. K., Borgan, Ø., Gill, R. D., &amp; Keiding, N. (1993). *Statistical Models Based on Counting Processes*. Springer.</w:t>
      </w:r>
    </w:p>
    <w:p>
      <w:pPr>
        <w:spacing w:after="200"/>
      </w:pPr>
      <w:r>
        <w:rPr>
          <w:rFonts w:ascii="맑은 고딕" w:cs="맑은 고딕" w:eastAsia="맑은 고딕" w:hAnsi="맑은 고딕"/>
        </w:rPr>
        <w:t xml:space="preserve">Austin, P. C. (2009). Balance diagnostics for comparing the distribution of baseline covariates between treatment groups in propensity-score matched samples. *Statistics in Medicine*, 28(25), 3083–3107.</w:t>
      </w:r>
    </w:p>
    <w:p>
      <w:pPr>
        <w:spacing w:after="200"/>
      </w:pPr>
      <w:r>
        <w:rPr>
          <w:rFonts w:ascii="맑은 고딕" w:cs="맑은 고딕" w:eastAsia="맑은 고딕" w:hAnsi="맑은 고딕"/>
        </w:rPr>
        <w:t xml:space="preserve">Austin, P. C. (2011). Optimal caliper widths for propensity-score matching. *Pharmaceutical Statistics*, 10(2), 150–161.</w:t>
      </w:r>
    </w:p>
    <w:p>
      <w:pPr>
        <w:spacing w:after="200"/>
      </w:pPr>
      <w:r>
        <w:rPr>
          <w:rFonts w:ascii="맑은 고딕" w:cs="맑은 고딕" w:eastAsia="맑은 고딕" w:hAnsi="맑은 고딕"/>
        </w:rPr>
        <w:t xml:space="preserve">Barban, N., &amp; Billari, F. C. (2012). Classifying life course trajectories: A comparison of latent class and sequence analysis. *Journal of the Royal Statistical Society: Series C*, 61(5), 765–784.</w:t>
      </w:r>
    </w:p>
    <w:p>
      <w:pPr>
        <w:spacing w:after="200"/>
      </w:pPr>
      <w:r>
        <w:rPr>
          <w:rFonts w:ascii="맑은 고딕" w:cs="맑은 고딕" w:eastAsia="맑은 고딕" w:hAnsi="맑은 고딕"/>
        </w:rPr>
        <w:t xml:space="preserve">Bloom, H. S. (1984). Accounting for no-shows in experimental evaluation designs. *Evaluation Review*, 8(2), 225–246.</w:t>
      </w:r>
    </w:p>
    <w:p>
      <w:pPr>
        <w:spacing w:after="200"/>
      </w:pPr>
      <w:r>
        <w:rPr>
          <w:rFonts w:ascii="맑은 고딕" w:cs="맑은 고딕" w:eastAsia="맑은 고딕" w:hAnsi="맑은 고딕"/>
        </w:rPr>
        <w:t xml:space="preserve">Card, D., &amp; Krueger, A. B. (1994). Minimum wages and employment. *American Economic Review*, 84(4), 772–793.</w:t>
      </w:r>
    </w:p>
    <w:p>
      <w:pPr>
        <w:spacing w:after="200"/>
      </w:pPr>
      <w:r>
        <w:rPr>
          <w:rFonts w:ascii="맑은 고딕" w:cs="맑은 고딕" w:eastAsia="맑은 고딕" w:hAnsi="맑은 고딕"/>
        </w:rPr>
        <w:t xml:space="preserve">de Chaisemartin, C., &amp; D'Haultfœuille, X. (2020). Two-way fixed effects estimators with heterogeneous treatment effects. *American Economic Review*, 110(9), 2964–2996.</w:t>
      </w:r>
    </w:p>
    <w:p>
      <w:pPr>
        <w:spacing w:after="200"/>
      </w:pPr>
      <w:r>
        <w:rPr>
          <w:rFonts w:ascii="맑은 고딕" w:cs="맑은 고딕" w:eastAsia="맑은 고딕" w:hAnsi="맑은 고딕"/>
        </w:rPr>
        <w:t xml:space="preserve">Efron, B. (1977). The efficiency of Cox's likelihood function for censored data. *Journal of the American Statistical Association*, 72(359), 557–565.</w:t>
      </w:r>
    </w:p>
    <w:p>
      <w:pPr>
        <w:spacing w:after="200"/>
      </w:pPr>
      <w:r>
        <w:rPr>
          <w:rFonts w:ascii="맑은 고딕" w:cs="맑은 고딕" w:eastAsia="맑은 고딕" w:hAnsi="맑은 고딕"/>
        </w:rPr>
        <w:t xml:space="preserve">Elzinga, C. H. (2003). Sequence similarity: A nonaligning technique. *Sociological Methods &amp; Research*, 32(1), 3–29.</w:t>
      </w:r>
    </w:p>
    <w:p>
      <w:pPr>
        <w:spacing w:after="200"/>
      </w:pPr>
      <w:r>
        <w:rPr>
          <w:rFonts w:ascii="맑은 고딕" w:cs="맑은 고딕" w:eastAsia="맑은 고딕" w:hAnsi="맑은 고딕"/>
        </w:rPr>
        <w:t xml:space="preserve">Goodman-Bacon, A. (2021). Difference-in-differences with variation in treatment timing. *Journal of Econometrics*, 225(2), 254–277.</w:t>
      </w:r>
    </w:p>
    <w:p>
      <w:pPr>
        <w:spacing w:after="200"/>
      </w:pPr>
      <w:r>
        <w:rPr>
          <w:rFonts w:ascii="맑은 고딕" w:cs="맑은 고딕" w:eastAsia="맑은 고딕" w:hAnsi="맑은 고딕"/>
        </w:rPr>
        <w:t xml:space="preserve">Hollister, M. (2009). Is optimal matching suboptimal? *Sociological Methods &amp; Research*, 38(2), 235–264.</w:t>
      </w:r>
    </w:p>
    <w:p>
      <w:pPr>
        <w:spacing w:after="200"/>
      </w:pPr>
      <w:r>
        <w:rPr>
          <w:rFonts w:ascii="맑은 고딕" w:cs="맑은 고딕" w:eastAsia="맑은 고딕" w:hAnsi="맑은 고딕"/>
        </w:rPr>
        <w:t xml:space="preserve">Jacquemin, A. P., &amp; Berry, C. H. (1979). Entropy measure of diversification and corporate growth. *Journal of Industrial Economics*, 27(4), 359–369.</w:t>
      </w:r>
    </w:p>
    <w:p>
      <w:pPr>
        <w:spacing w:after="200"/>
      </w:pPr>
      <w:r>
        <w:rPr>
          <w:rFonts w:ascii="맑은 고딕" w:cs="맑은 고딕" w:eastAsia="맑은 고딕" w:hAnsi="맑은 고딕"/>
        </w:rPr>
        <w:t xml:space="preserve">Jones, B. L., Nagin, D. S., &amp; Roeder, K. (2001). A SAS procedure based on mixture models for estimating developmental trajectories. *Sociological Methods &amp; Research*, 29(3), 374–393.</w:t>
      </w:r>
    </w:p>
    <w:p>
      <w:pPr>
        <w:spacing w:after="200"/>
      </w:pPr>
      <w:r>
        <w:rPr>
          <w:rFonts w:ascii="맑은 고딕" w:cs="맑은 고딕" w:eastAsia="맑은 고딕" w:hAnsi="맑은 고딕"/>
        </w:rPr>
        <w:t xml:space="preserve">King, G., &amp; Nielsen, R. (2019). Why propensity scores should not be used for matching. *Political Analysis*, 27(4), 435–454.</w:t>
      </w:r>
    </w:p>
    <w:p>
      <w:pPr>
        <w:spacing w:after="200"/>
      </w:pPr>
      <w:r>
        <w:rPr>
          <w:rFonts w:ascii="맑은 고딕" w:cs="맑은 고딕" w:eastAsia="맑은 고딕" w:hAnsi="맑은 고딕"/>
        </w:rPr>
        <w:t xml:space="preserve">Kumar, I. E., Venkatasubramanian, S., Scheidegger, C., &amp; Friedler, S. (2020). Problems with Shapley-value-based explanations as feature importance measures. *Proceedings of the 37th ICML*.</w:t>
      </w:r>
    </w:p>
    <w:p>
      <w:pPr>
        <w:spacing w:after="200"/>
      </w:pPr>
      <w:r>
        <w:rPr>
          <w:rFonts w:ascii="맑은 고딕" w:cs="맑은 고딕" w:eastAsia="맑은 고딕" w:hAnsi="맑은 고딕"/>
        </w:rPr>
        <w:t xml:space="preserve">Levenshtein, V. I. (1966). Binary codes capable of correcting deletions, insertions, and reversals. *Soviet Physics Doklady*, 10(8), 707–710.</w:t>
      </w:r>
    </w:p>
    <w:p>
      <w:pPr>
        <w:spacing w:after="200"/>
      </w:pPr>
      <w:r>
        <w:rPr>
          <w:rFonts w:ascii="맑은 고딕" w:cs="맑은 고딕" w:eastAsia="맑은 고딕" w:hAnsi="맑은 고딕"/>
        </w:rPr>
        <w:t xml:space="preserve">Lundberg, S. M., Erion, G., Chen, H., et al. (2020). From local explanations to global understanding with explainable AI for trees. *Nature Machine Intelligence*, 2(1), 56–67.</w:t>
      </w:r>
    </w:p>
    <w:p>
      <w:pPr>
        <w:spacing w:after="200"/>
      </w:pPr>
      <w:r>
        <w:rPr>
          <w:rFonts w:ascii="맑은 고딕" w:cs="맑은 고딕" w:eastAsia="맑은 고딕" w:hAnsi="맑은 고딕"/>
        </w:rPr>
        <w:t xml:space="preserve">Molnar, C. (2022). *Interpretable Machine Learning* (2nd ed.).</w:t>
      </w:r>
    </w:p>
    <w:p>
      <w:pPr>
        <w:spacing w:after="200"/>
      </w:pPr>
      <w:r>
        <w:rPr>
          <w:rFonts w:ascii="맑은 고딕" w:cs="맑은 고딕" w:eastAsia="맑은 고딕" w:hAnsi="맑은 고딕"/>
        </w:rPr>
        <w:t xml:space="preserve">Muthén, B., &amp; Muthén, L. K. (2000). Integrating person-centered and variable-centered analyses: Growth mixture modeling with latent trajectory classes. *Alcoholism: Clinical and Experimental Research*, 24(6), 882–891.</w:t>
      </w:r>
    </w:p>
    <w:p>
      <w:pPr>
        <w:spacing w:after="200"/>
      </w:pPr>
      <w:r>
        <w:rPr>
          <w:rFonts w:ascii="맑은 고딕" w:cs="맑은 고딕" w:eastAsia="맑은 고딕" w:hAnsi="맑은 고딕"/>
        </w:rPr>
        <w:t xml:space="preserve">Nagin, D. S. (1999). Analyzing developmental trajectories: A semiparametric, group-based approach. *Psychological Methods*, 4(2), 139–157.</w:t>
      </w:r>
    </w:p>
    <w:p>
      <w:pPr>
        <w:spacing w:after="200"/>
      </w:pPr>
      <w:r>
        <w:rPr>
          <w:rFonts w:ascii="맑은 고딕" w:cs="맑은 고딕" w:eastAsia="맑은 고딕" w:hAnsi="맑은 고딕"/>
        </w:rPr>
        <w:t xml:space="preserve">Nagin, D. S. (2005). *Group-Based Modeling of Development*. Harvard University Press.</w:t>
      </w:r>
    </w:p>
    <w:p>
      <w:pPr>
        <w:spacing w:after="200"/>
      </w:pPr>
      <w:r>
        <w:rPr>
          <w:rFonts w:ascii="맑은 고딕" w:cs="맑은 고딕" w:eastAsia="맑은 고딕" w:hAnsi="맑은 고딕"/>
        </w:rPr>
        <w:t xml:space="preserve">Nagin, D. S., &amp; Odgers, C. L. (2010). Group-based trajectory modeling in clinical research. *Annual Review of Clinical Psychology*, 6, 109–138.</w:t>
      </w:r>
    </w:p>
    <w:p>
      <w:pPr>
        <w:spacing w:after="200"/>
      </w:pPr>
      <w:r>
        <w:rPr>
          <w:rFonts w:ascii="맑은 고딕" w:cs="맑은 고딕" w:eastAsia="맑은 고딕" w:hAnsi="맑은 고딕"/>
        </w:rPr>
        <w:t xml:space="preserve">Needleman, S. B., &amp; Wunsch, C. D. (1970). A general method applicable to the search for similarities in the amino acid sequence of two proteins. *Journal of Molecular Biology*, 48(3), 443–453.</w:t>
      </w:r>
    </w:p>
    <w:p>
      <w:pPr>
        <w:spacing w:after="200"/>
      </w:pPr>
      <w:r>
        <w:rPr>
          <w:rFonts w:ascii="맑은 고딕" w:cs="맑은 고딕" w:eastAsia="맑은 고딕" w:hAnsi="맑은 고딕"/>
        </w:rPr>
        <w:t xml:space="preserve">Proust-Lima, C., Philipps, V., &amp; Liquet, B. (2017). Estimation of extended mixed models using latent classes and latent processes: The R package lcmm. *Journal of Statistical Software*, 78(2), 1–56.</w:t>
      </w:r>
    </w:p>
    <w:p>
      <w:pPr>
        <w:spacing w:after="200"/>
      </w:pPr>
      <w:r>
        <w:rPr>
          <w:rFonts w:ascii="맑은 고딕" w:cs="맑은 고딕" w:eastAsia="맑은 고딕" w:hAnsi="맑은 고딕"/>
        </w:rPr>
        <w:t xml:space="preserve">Putter, H., Fiocco, M., &amp; Geskus, R. B. (2007). Tutorial in biostatistics: Competing risks and multi-state models. *Statistics in Medicine*, 26(11), 2389–2430.</w:t>
      </w:r>
    </w:p>
    <w:p>
      <w:pPr>
        <w:spacing w:after="200"/>
      </w:pPr>
      <w:r>
        <w:rPr>
          <w:rFonts w:ascii="맑은 고딕" w:cs="맑은 고딕" w:eastAsia="맑은 고딕" w:hAnsi="맑은 고딕"/>
        </w:rPr>
        <w:t xml:space="preserve">Rosenbaum, P. R., &amp; Rubin, D. B. (1983). The central role of the propensity score in observational studies for causal effects. *Biometrika*, 70(1), 41–55.</w:t>
      </w:r>
    </w:p>
    <w:p>
      <w:pPr>
        <w:spacing w:after="200"/>
      </w:pPr>
      <w:r>
        <w:rPr>
          <w:rFonts w:ascii="맑은 고딕" w:cs="맑은 고딕" w:eastAsia="맑은 고딕" w:hAnsi="맑은 고딕"/>
        </w:rPr>
        <w:t xml:space="preserve">Rosenbaum, P. R., &amp; Rubin, D. B. (1985). Constructing a control group using multivariate matched sampling methods that incorporate the propensity score. *The American Statistician*, 39(1), 33–38.</w:t>
      </w:r>
    </w:p>
    <w:p>
      <w:pPr>
        <w:spacing w:after="200"/>
      </w:pPr>
      <w:r>
        <w:rPr>
          <w:rFonts w:ascii="맑은 고딕" w:cs="맑은 고딕" w:eastAsia="맑은 고딕" w:hAnsi="맑은 고딕"/>
        </w:rPr>
        <w:t xml:space="preserve">Roth, J. (2022). Pretest with caution: Event-study estimates after testing for parallel trends. *American Economic Review: Insights*, 4(3), 305–322.</w:t>
      </w:r>
    </w:p>
    <w:p>
      <w:pPr>
        <w:spacing w:after="200"/>
      </w:pPr>
      <w:r>
        <w:rPr>
          <w:rFonts w:ascii="맑은 고딕" w:cs="맑은 고딕" w:eastAsia="맑은 고딕" w:hAnsi="맑은 고딕"/>
        </w:rPr>
        <w:t xml:space="preserve">Roth, J., Sant'Anna, P. H. C., Bilinski, A., &amp; Poe, J. (2023). What's trending in difference-in-differences? *Journal of Econometrics*, 235(2), 2218–2244.</w:t>
      </w:r>
    </w:p>
    <w:p>
      <w:pPr>
        <w:spacing w:after="200"/>
      </w:pPr>
      <w:r>
        <w:rPr>
          <w:rFonts w:ascii="맑은 고딕" w:cs="맑은 고딕" w:eastAsia="맑은 고딕" w:hAnsi="맑은 고딕"/>
        </w:rPr>
        <w:t xml:space="preserve">Rubin, D. B. (1974). Estimating causal effects of treatments in randomized and nonrandomized studies. *Journal of Educational Psychology*, 66(5), 688–701.</w:t>
      </w:r>
    </w:p>
    <w:p>
      <w:pPr>
        <w:spacing w:after="200"/>
      </w:pPr>
      <w:r>
        <w:rPr>
          <w:rFonts w:ascii="맑은 고딕" w:cs="맑은 고딕" w:eastAsia="맑은 고딕" w:hAnsi="맑은 고딕"/>
        </w:rPr>
        <w:t xml:space="preserve">Shannon, C. E. (1948). A mathematical theory of communication. *Bell System Technical Journal*, 27(3), 379–423.</w:t>
      </w:r>
    </w:p>
    <w:p>
      <w:pPr>
        <w:spacing w:after="200"/>
      </w:pPr>
      <w:r>
        <w:rPr>
          <w:rFonts w:ascii="맑은 고딕" w:cs="맑은 고딕" w:eastAsia="맑은 고딕" w:hAnsi="맑은 고딕"/>
        </w:rPr>
        <w:t xml:space="preserve">Shapley, L. S. (1953). A value for n-person games. In *Contributions to the Theory of Games II*. Princeton University Press.</w:t>
      </w:r>
    </w:p>
    <w:p>
      <w:pPr>
        <w:spacing w:after="200"/>
      </w:pPr>
      <w:r>
        <w:rPr>
          <w:rFonts w:ascii="맑은 고딕" w:cs="맑은 고딕" w:eastAsia="맑은 고딕" w:hAnsi="맑은 고딕"/>
        </w:rPr>
        <w:t xml:space="preserve">Singer, J. D., &amp; Willett, J. B. (2003). *Applied Longitudinal Data Analysis*. Oxford University Press.</w:t>
      </w:r>
    </w:p>
    <w:p>
      <w:pPr>
        <w:spacing w:after="200"/>
      </w:pPr>
      <w:r>
        <w:rPr>
          <w:rFonts w:ascii="맑은 고딕" w:cs="맑은 고딕" w:eastAsia="맑은 고딕" w:hAnsi="맑은 고딕"/>
        </w:rPr>
        <w:t xml:space="preserve">Sun, L., &amp; Abraham, S. (2021). Estimating dynamic treatment effects in event studies with heterogeneous treatment effects. *Journal of Econometrics*, 225(2), 175–199.</w:t>
      </w:r>
    </w:p>
    <w:p>
      <w:pPr>
        <w:spacing w:after="200"/>
      </w:pPr>
      <w:r>
        <w:rPr>
          <w:rFonts w:ascii="맑은 고딕" w:cs="맑은 고딕" w:eastAsia="맑은 고딕" w:hAnsi="맑은 고딕"/>
        </w:rPr>
        <w:t xml:space="preserve">Van den Berg, G. J. (2001). Duration models: Specification, identification, and multiple durations. In *Handbook of Econometrics*, Vol. 5, Ch. 55.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4"/>
        <w:szCs w:val="14"/>
      </w:rPr>
      <w:t xml:space="preserve">직업계고 학생의 졸업 후 경로 연구 — 연구설계 및 분석계획서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8"/>
      </w:pBdr>
      <w:spacing w:after="200" w:before="400"/>
    </w:pPr>
    <w:rPr>
      <w:rFonts w:ascii="맑은 고딕" w:cs="맑은 고딕" w:eastAsia="맑은 고딕" w:hAnsi="맑은 고딕"/>
      <w:b/>
      <w:bCs/>
      <w:color w:val="1F3864"/>
      <w:sz w:val="32"/>
      <w:szCs w:val="32"/>
    </w:rPr>
  </w:style>
  <w:style w:type="paragraph" w:styleId="Heading2">
    <w:name w:val="Heading 2"/>
    <w:basedOn w:val="Normal"/>
    <w:next w:val="Normal"/>
    <w:pPr>
      <w:spacing w:after="160" w:before="320"/>
    </w:pPr>
    <w:rPr>
      <w:rFonts w:ascii="맑은 고딕" w:cs="맑은 고딕" w:eastAsia="맑은 고딕" w:hAnsi="맑은 고딕"/>
      <w:b/>
      <w:bCs/>
      <w:color w:val="2F5496"/>
      <w:sz w:val="27"/>
      <w:szCs w:val="27"/>
    </w:rPr>
  </w:style>
  <w:style w:type="paragraph" w:styleId="Heading3">
    <w:name w:val="Heading 3"/>
    <w:basedOn w:val="Normal"/>
    <w:next w:val="Normal"/>
    <w:pPr>
      <w:spacing w:after="120" w:before="240"/>
    </w:pPr>
    <w:rPr>
      <w:rFonts w:ascii="맑은 고딕" w:cs="맑은 고딕" w:eastAsia="맑은 고딕" w:hAnsi="맑은 고딕"/>
      <w:b/>
      <w:bCs/>
      <w:color w:val="1F3864"/>
      <w:sz w:val="23"/>
      <w:szCs w:val="23"/>
    </w:rPr>
  </w:style>
  <w:style w:type="paragraph" w:styleId="Heading4">
    <w:name w:val="Heading 4"/>
    <w:basedOn w:val="Normal"/>
    <w:next w:val="Normal"/>
    <w:pPr>
      <w:spacing w:after="100" w:before="200"/>
    </w:pPr>
    <w:rPr>
      <w:rFonts w:ascii="맑은 고딕" w:cs="맑은 고딕" w:eastAsia="맑은 고딕" w:hAnsi="맑은 고딕"/>
      <w:b/>
      <w:bCs/>
      <w:i/>
      <w:i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2026-09-18T08:22:08.228Z</dcterms:created>
  <dcterms:modified xsi:type="dcterms:W3CDTF">2026-09-18T08:22:08.228Z</dcterms:modified>
</cp:coreProperties>
</file>

<file path=docProps/custom.xml><?xml version="1.0" encoding="utf-8"?>
<Properties xmlns="http://schemas.openxmlformats.org/officeDocument/2006/custom-properties" xmlns:vt="http://schemas.openxmlformats.org/officeDocument/2006/docPropsVTypes"/>
</file>