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jc w:val="center"/>
      </w:pPr>
      <w:r>
        <w:rPr>
          <w:b/>
          <w:bCs/>
          <w:sz w:val="48"/>
          <w:szCs w:val="48"/>
        </w:rPr>
        <w:t xml:space="preserve">Système d’Optimisation de Portefeuille par Machine Learning</w:t>
      </w:r>
    </w:p>
    <w:p>
      <w:pPr>
        <w:spacing w:before="300"/>
        <w:jc w:val="center"/>
      </w:pPr>
      <w:r>
        <w:rPr>
          <w:b/>
          <w:bCs/>
          <w:color w:val="1F3864"/>
          <w:sz w:val="34"/>
          <w:szCs w:val="34"/>
        </w:rPr>
        <w:t xml:space="preserve">Livrable de la Phase 3 — Ingénierie des Caractéristiques ML (Feature Engineering)</w:t>
      </w:r>
    </w:p>
    <w:p>
      <w:pPr>
        <w:spacing w:before="200"/>
        <w:jc w:val="center"/>
      </w:pPr>
      <w:r>
        <w:rPr>
          <w:i/>
          <w:iCs/>
          <w:sz w:val="24"/>
          <w:szCs w:val="24"/>
        </w:rPr>
        <w:t xml:space="preserve">Caractéristiques causales de régime, sans biais de lookahead, prêtes pour les modèles de la Phase 4</w:t>
      </w:r>
    </w:p>
    <w:p>
      <w:pPr>
        <w:spacing w:before="1400"/>
      </w:pPr>
    </w:p>
    <w:p>
      <w:pPr>
        <w:jc w:val="center"/>
      </w:pPr>
      <w:r>
        <w:rPr>
          <w:sz w:val="24"/>
          <w:szCs w:val="24"/>
        </w:rPr>
        <w:t xml:space="preserve">Projet de Fin d’Année (PFA) — INPT</w:t>
      </w:r>
    </w:p>
    <w:p>
      <w:pPr>
        <w:jc w:val="center"/>
      </w:pPr>
      <w:r>
        <w:rPr>
          <w:sz w:val="24"/>
          <w:szCs w:val="24"/>
        </w:rPr>
        <w:t xml:space="preserve">Client : EURAFRIC Information, Bouskoura</w:t>
      </w:r>
    </w:p>
    <w:p>
      <w:pPr>
        <w:spacing w:before="300"/>
        <w:jc w:val="center"/>
      </w:pPr>
      <w:r>
        <w:rPr>
          <w:sz w:val="22"/>
          <w:szCs w:val="22"/>
        </w:rPr>
        <w:t xml:space="preserve">Développement : Yasmine BOUAJINE — Revue &amp; durcissement : Souhail BOURHIM</w:t>
      </w:r>
    </w:p>
    <w:p>
      <w:pPr>
        <w:jc w:val="center"/>
      </w:pPr>
      <w:r>
        <w:rPr>
          <w:sz w:val="22"/>
          <w:szCs w:val="22"/>
        </w:rPr>
        <w:t xml:space="preserve">Équipe : Souhail BOURHIM · Zakarya EL WALI · Yasmine BOUAJINE — Encadrant : M. Abdelmouttalib</w:t>
      </w:r>
    </w:p>
    <w:p>
      <w:pPr>
        <w:spacing w:before="600"/>
        <w:jc w:val="center"/>
      </w:pPr>
      <w:r>
        <w:rPr>
          <w:color w:val="666666"/>
          <w:sz w:val="22"/>
          <w:szCs w:val="22"/>
        </w:rPr>
        <w:t xml:space="preserve">Version 1.0 — 20 juillet 2026</w:t>
      </w:r>
    </w:p>
    <w:p>
      <w:r>
        <w:br w:type="page"/>
      </w:r>
    </w:p>
    <w:p>
      <w:pPr>
        <w:pStyle w:val="Heading1"/>
      </w:pPr>
      <w:r>
        <w:t xml:space="preserve">Table des matières</w:t>
      </w:r>
    </w:p>
    <w:sdt>
      <w:sdtPr>
        <w:alias w:val="Table des matière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Résumé exécutif</w:t>
      </w:r>
    </w:p>
    <w:p>
      <w:pPr>
        <w:spacing w:after="120"/>
      </w:pPr>
      <w:r>
        <w:t xml:space="preserve">La Phase 3 transforme la couche Gold (rendements + macro) en un </w:t>
      </w:r>
      <w:r>
        <w:rPr>
          <w:b/>
          <w:bCs/>
        </w:rPr>
        <w:t xml:space="preserve">jeu de caractéristiques causales, prêtes pour le Machine Learning</w:t>
      </w:r>
      <w:r>
        <w:t xml:space="preserve"> : des variables qui décrivent l’état du marché — volatilité, corrélation, dispersion, drawdown, signaux macro — sans jamais utiliser d’information future. Elle produit deux matrices denses (13 colonnes, </w:t>
      </w:r>
      <w:r>
        <w:rPr>
          <w:b/>
          <w:bCs/>
        </w:rPr>
        <w:t xml:space="preserve">zéro valeur manquante</w:t>
      </w:r>
      <w:r>
        <w:t xml:space="preserve">) : </w:t>
      </w:r>
      <w:r>
        <w:rPr>
          <w:b/>
          <w:bCs/>
        </w:rPr>
        <w:t xml:space="preserve">2 422 lignes</w:t>
      </w:r>
      <w:r>
        <w:t xml:space="preserve"> pour l’univers ETF (2017→) et </w:t>
      </w:r>
      <w:r>
        <w:rPr>
          <w:b/>
          <w:bCs/>
        </w:rPr>
        <w:t xml:space="preserve">1 250 lignes</w:t>
      </w:r>
      <w:r>
        <w:t xml:space="preserve"> pour l’univers 9 actifs (2021→), accompagnées d’un manifeste de reproductibilité.</w:t>
      </w:r>
    </w:p>
    <w:p>
      <w:pPr>
        <w:spacing w:after="120"/>
      </w:pPr>
      <w:r>
        <w:t xml:space="preserve">Le principe directeur reste celui de tout le projet : </w:t>
      </w:r>
      <w:r>
        <w:rPr>
          <w:b/>
          <w:bCs/>
        </w:rPr>
        <w:t xml:space="preserve">aucun biais de lookahead</w:t>
      </w:r>
      <w:r>
        <w:t xml:space="preserve"> (P4). Deux conventions de causalité, délibérément asymétriques, y veillent — les features de rendement à la date t utilisent les observations jusqu’à t (connues à la clôture) et ne sont donc pas décalées ; les signaux macro sont différenciés puis décalés d’au moins un jour, car une publication datée de t peut n’être connue qu’après. Surtout, </w:t>
      </w:r>
      <w:r>
        <w:rPr>
          <w:b/>
          <w:bCs/>
        </w:rPr>
        <w:t xml:space="preserve">aucune standardisation globale n’est appliquée</w:t>
      </w:r>
      <w:r>
        <w:t xml:space="preserve"> : chaque modèle de la Phase 4 ajustera son échelle uniquement sur sa fenêtre d’entraînement walk-forward — décision inscrite dans le manifeste (global_standardization: false).</w:t>
      </w:r>
    </w:p>
    <w:p>
      <w:pPr>
        <w:spacing w:after="120"/>
      </w:pPr>
      <w:r>
        <w:t xml:space="preserve">Ces caractéristiques ne sont pas consommées ici : elles alimenteront les modèles de régime de la Phase 4 (HMM, covariance dynamique) </w:t>
      </w:r>
      <w:r>
        <w:rPr>
          <w:b/>
          <w:bCs/>
        </w:rPr>
        <w:t xml:space="preserve">via le canal extras du moteur de backtesting de la Phase 2</w:t>
      </w:r>
      <w:r>
        <w:t xml:space="preserve">, qui découpe chaque trame à :τ avant chaque rééquilibrage. La même garantie anti-lookahead qui protège les rendements protège donc les features — propriété </w:t>
      </w:r>
      <w:r>
        <w:rPr>
          <w:b/>
          <w:bCs/>
        </w:rPr>
        <w:t xml:space="preserve">prouvée de bout en bout</w:t>
      </w:r>
      <w:r>
        <w:t xml:space="preserve"> par un test d’intégration (corrompre le futur d’une trame de features ne change aucun poids passé).</w:t>
      </w:r>
    </w:p>
    <w:p>
      <w:pPr>
        <w:spacing w:after="120"/>
      </w:pPr>
      <w:r>
        <w:t xml:space="preserve">Le travail a été développé par Yasmine BOUAJINE (PR #4) puis revu et durci (PR #5) : ajout du test d’intégration inter-modules, correction d’une source de NaN macro dispersés, et report du warm-up dans le manifeste. La suite de tests passe de 109 à </w:t>
      </w:r>
      <w:r>
        <w:rPr>
          <w:b/>
          <w:bCs/>
        </w:rPr>
        <w:t xml:space="preserve">126 tests</w:t>
      </w:r>
      <w:r>
        <w:t xml:space="preserve"> (17 pour la Phase 3), tous hors-ligne.</w:t>
      </w:r>
    </w:p>
    <w:p>
      <w:pPr>
        <w:pStyle w:val="Heading1"/>
      </w:pPr>
      <w:r>
        <w:t xml:space="preserve">2. Le rôle de la Phase 3 dans le projet</w:t>
      </w:r>
    </w:p>
    <w:p>
      <w:pPr>
        <w:spacing w:after="120"/>
      </w:pPr>
      <w:r>
        <w:t xml:space="preserve">Les modèles de la Phase 4 ne consomment pas des prix : ils consomment des </w:t>
      </w:r>
      <w:r>
        <w:rPr>
          <w:i/>
          <w:iCs/>
        </w:rPr>
        <w:t xml:space="preserve">descripteurs d’état de marché</w:t>
      </w:r>
      <w:r>
        <w:t xml:space="preserve">. Un modèle de régime (HMM) a besoin de savoir si la volatilité grimpe, si les corrélations se resserrent, si le marché est en drawdown — ce sont ces signaux, et non les rendements bruts, qui distinguent un régime calme d’un régime de crise. La Phase 3 fabrique ces descripteurs.</w:t>
      </w:r>
    </w:p>
    <w:p>
      <w:pPr>
        <w:spacing w:after="120"/>
      </w:pPr>
      <w:r>
        <w:t xml:space="preserve">Deux exigences se rattachent directement aux problèmes du projet. </w:t>
      </w:r>
      <w:r>
        <w:rPr>
          <w:b/>
          <w:bCs/>
        </w:rPr>
        <w:t xml:space="preserve">P2 (non-stationnarité)</w:t>
      </w:r>
      <w:r>
        <w:t xml:space="preserve"> : volatilité glissante, drawdown et variations macro décrivent des conditions de marché qui changent dans le temps — précisément ce qu’un modèle de régime doit percevoir. </w:t>
      </w:r>
      <w:r>
        <w:rPr>
          <w:b/>
          <w:bCs/>
        </w:rPr>
        <w:t xml:space="preserve">P3 (rupture de diversification)</w:t>
      </w:r>
      <w:r>
        <w:t xml:space="preserve"> : la corrélation moyenne glissante et la dispersion transversale mesurent quand des actifs normalement distincts se mettent à bouger ensemble — la signature de la crise. La Phase 3 rend ces phénomènes </w:t>
      </w:r>
      <w:r>
        <w:rPr>
          <w:i/>
          <w:iCs/>
        </w:rPr>
        <w:t xml:space="preserve">mesurables et exploitables</w:t>
      </w:r>
      <w:r>
        <w:t xml:space="preserve">, sans encore prétendre les </w:t>
      </w:r>
      <w:r>
        <w:rPr>
          <w:i/>
          <w:iCs/>
        </w:rPr>
        <w:t xml:space="preserve">prédire</w:t>
      </w:r>
      <w:r>
        <w:t xml:space="preserve"> (c’est la question de la Phase 4).</w:t>
      </w:r>
    </w:p>
    <w:p>
      <w:r>
        <w:br w:type="page"/>
      </w:r>
    </w:p>
    <w:p>
      <w:pPr>
        <w:pStyle w:val="Heading1"/>
      </w:pPr>
      <w:r>
        <w:t xml:space="preserve">3. Livrables et architecture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src/ml_features.py</w:t>
      </w:r>
      <w:r>
        <w:t xml:space="preserve"> (~430 lignes) : construction des features de rendement causales, des signaux macro différenciés/décalés, et assemblage par univers 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Deux matrices Gold</w:t>
      </w:r>
      <w:r>
        <w:t xml:space="preserve"> : ml_features_etf.parquet (2 422×13) et ml_features_full.parquet (1 250×13), 100 % denses 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Un manifeste de reproductibilité</w:t>
      </w:r>
      <w:r>
        <w:t xml:space="preserve"> (ml_features_manifest.json) : politique de standardisation, définitions des features, warm-up par univers, comptes de lignes 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Un notebook de validation</w:t>
      </w:r>
      <w:r>
        <w:t xml:space="preserve"> (notebooks/phase3_features.ipynb), exécuté : couverture temporelle, statistiques, features en crise, contrôles qualité, et la couture vers la Phase 4 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17 tests</w:t>
      </w:r>
      <w:r>
        <w:t xml:space="preserve"> (13 unitaires + 4 d’intégration inter-modules), hors-ligne.</w:t>
      </w:r>
    </w:p>
    <w:p>
      <w:pPr>
        <w:spacing w:after="60" w:before="160"/>
        <w:jc w:val="center"/>
      </w:pPr>
      <w:r>
        <w:drawing>
          <wp:inline distT="0" distB="0" distL="0" distR="0">
            <wp:extent cx="3238500" cy="4876800"/>
            <wp:effectExtent t="0" r="0" b="0" l="0"/>
            <wp:docPr id="1" name="phase3" descr="Gold + macro vers features vers seam Phase 4" title="Pipeline Phas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487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sz w:val="18"/>
          <w:szCs w:val="18"/>
        </w:rPr>
        <w:t xml:space="preserve">Figure 1 — De la couche Gold aux modèles de la Phase 4, via le canal extras du moteur de la Phase 2.</w:t>
      </w:r>
    </w:p>
    <w:p>
      <w:pPr>
        <w:pStyle w:val="Heading1"/>
      </w:pPr>
      <w:r>
        <w:t xml:space="preserve">4. Les caractéristiques produites</w:t>
      </w:r>
    </w:p>
    <w:p>
      <w:pPr>
        <w:spacing w:after="120"/>
      </w:pPr>
      <w:r>
        <w:t xml:space="preserve">Treize colonnes par univers : six features de rendement (le cœur) et sept signaux macro.</w:t>
      </w:r>
    </w:p>
    <w:p>
      <w:pPr>
        <w:pStyle w:val="Heading2"/>
      </w:pPr>
      <w:r>
        <w:t xml:space="preserve">4.1 Les six features de rendement (cœur causal)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212"/>
      </w:tblGrid>
      <w:tr>
        <w:trPr>
          <w:tblHeader/>
        </w:trP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6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Ce qu’elle mesure / problème visé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MARKET_RETURN</w:t>
            </w:r>
          </w:p>
        </w:tc>
        <w:tc>
          <w:tcPr>
            <w:tcW w:type="dxa" w:w="6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Rendement log moyen équipondéré des actifs — le facteur « marché » du jour.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MARKET_VOL_SHORT</w:t>
            </w:r>
          </w:p>
        </w:tc>
        <w:tc>
          <w:tcPr>
            <w:tcW w:type="dxa" w:w="6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Volatilité réalisée glissante courte (21 j), annualisée — régime de volatilité récent (P2).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MARKET_VOL_LONG</w:t>
            </w:r>
          </w:p>
        </w:tc>
        <w:tc>
          <w:tcPr>
            <w:tcW w:type="dxa" w:w="6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Volatilité réalisée glissante longue (63 j) — tendance de fond de la volatilité (P2).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AVG_PAIRWISE_CORR</w:t>
            </w:r>
          </w:p>
        </w:tc>
        <w:tc>
          <w:tcPr>
            <w:tcW w:type="dxa" w:w="6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Corrélation moyenne hors-diagonale glissante (63 j) — resserrement des corrélations, cœur de P3.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CROSS_SECTIONAL_DISPERSION</w:t>
            </w:r>
          </w:p>
        </w:tc>
        <w:tc>
          <w:tcPr>
            <w:tcW w:type="dxa" w:w="6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Écart-type transversal des rendements du jour — dispersion des actifs (P3).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MARKET_DRAWDOWN</w:t>
            </w:r>
          </w:p>
        </w:tc>
        <w:tc>
          <w:tcPr>
            <w:tcW w:type="dxa" w:w="6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Drawdown de la richesse cumulée équipondérée — la crise en termes de pertes (P3).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t xml:space="preserve">Les sept signaux macro sont les variations différenciées et décalées d’un jour des indicateurs de la Phase 1 : </w:t>
      </w:r>
      <w:r>
        <w:rPr>
          <w:i/>
          <w:iCs/>
        </w:rPr>
        <w:t xml:space="preserve">VIX, US10Y, DXY, CREDIT_SPREAD, EURMAD, USDMAD, TAUX_DIR</w:t>
      </w:r>
      <w:r>
        <w:t xml:space="preserve"> (suffixe _DIFF_L1). Ils fournissent le contexte macro externe qui aide un modèle de régime à anticiper une transition avant qu’elle n’apparaisse dans les corrélations.</w:t>
      </w:r>
    </w:p>
    <w:p>
      <w:pPr>
        <w:pStyle w:val="Heading2"/>
      </w:pPr>
      <w:r>
        <w:t xml:space="preserve">4.2 Ce que les features montrent en crise (P3)</w:t>
      </w:r>
    </w:p>
    <w:p>
      <w:pPr>
        <w:spacing w:after="120"/>
      </w:pPr>
      <w:r>
        <w:t xml:space="preserve">Sur l’univers ETF, la corrélation moyenne glissante illustre exactement la rupture de diversification :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2806"/>
        <w:gridCol w:w="2806"/>
      </w:tblGrid>
      <w:tr>
        <w:trPr>
          <w:tblHeader/>
        </w:trPr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Période</w:t>
            </w:r>
          </w:p>
        </w:tc>
        <w:tc>
          <w:tcPr>
            <w:tcW w:type="dxa" w:w="28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Corrélation moyenne</w:t>
            </w:r>
          </w:p>
        </w:tc>
        <w:tc>
          <w:tcPr>
            <w:tcW w:type="dxa" w:w="28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Volatilité courte (pic)</w:t>
            </w:r>
          </w:p>
        </w:tc>
      </w:tr>
      <w:tr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2019 (marché calme)</w:t>
            </w:r>
          </w:p>
        </w:tc>
        <w:tc>
          <w:tcPr>
            <w:tcW w:type="dxa" w:w="28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≈ 0,11 (moyenne)</w:t>
            </w:r>
          </w:p>
        </w:tc>
        <w:tc>
          <w:tcPr>
            <w:tcW w:type="dxa" w:w="28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≈ 0,08 (8 %)</w:t>
            </w:r>
          </w:p>
        </w:tc>
      </w:tr>
      <w:tr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COVID 2020 (pic)</w:t>
            </w:r>
          </w:p>
        </w:tc>
        <w:tc>
          <w:tcPr>
            <w:tcW w:type="dxa" w:w="28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0,22</w:t>
            </w:r>
          </w:p>
        </w:tc>
        <w:tc>
          <w:tcPr>
            <w:tcW w:type="dxa" w:w="28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0,55 (55 %)</w:t>
            </w:r>
          </w:p>
        </w:tc>
      </w:tr>
      <w:tr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Choc de taux 2022 (pic)</w:t>
            </w:r>
          </w:p>
        </w:tc>
        <w:tc>
          <w:tcPr>
            <w:tcW w:type="dxa" w:w="28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0,56</w:t>
            </w:r>
          </w:p>
        </w:tc>
        <w:tc>
          <w:tcPr>
            <w:tcW w:type="dxa" w:w="28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0,23 (23 %)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t xml:space="preserve">La corrélation moyenne passe de ~0,11 en régime calme à </w:t>
      </w:r>
      <w:r>
        <w:rPr>
          <w:b/>
          <w:bCs/>
        </w:rPr>
        <w:t xml:space="preserve">0,56 au pic de 2022</w:t>
      </w:r>
      <w:r>
        <w:t xml:space="preserve"> — un quintuplement : les actifs se sont mis à bouger ensemble au pire moment, et le drawdown de marché a atteint −27 % sur l’année. C’est P3 rendu visible et quantifié — la matière première des modèles de la Phase 4.</w:t>
      </w:r>
    </w:p>
    <w:p>
      <w:r>
        <w:br w:type="page"/>
      </w:r>
    </w:p>
    <w:p>
      <w:pPr>
        <w:pStyle w:val="Heading1"/>
      </w:pPr>
      <w:r>
        <w:t xml:space="preserve">5. Choix de conception — et leurs justifications</w:t>
      </w:r>
    </w:p>
    <w:p>
      <w:pPr>
        <w:pStyle w:val="Heading2"/>
      </w:pPr>
      <w:r>
        <w:t xml:space="preserve">5.1 Deux conventions de causalité, asymétriques et voulues</w:t>
      </w:r>
    </w:p>
    <w:p>
      <w:pPr>
        <w:spacing w:after="120"/>
      </w:pPr>
      <w:r>
        <w:t xml:space="preserve">Les features de rendement à la date t utilisent les observations jusqu’à t inclus — toutes connues à la clôture (les rendements sont réalisés en fin de journée) — et ne sont </w:t>
      </w:r>
      <w:r>
        <w:rPr>
          <w:b/>
          <w:bCs/>
        </w:rPr>
        <w:t xml:space="preserve">pas décalées</w:t>
      </w:r>
      <w:r>
        <w:t xml:space="preserve">. Elles sont causales parce que le moteur de la Phase 2 ajuste à la clôture de τ et ne gagne des rendements qu’à partir de τ+1 : une feature de τ pilote une décision qui agit à τ+1. Les décaler en plus reviendrait à jeter un jour d’information légitime. Les signaux macro, eux, </w:t>
      </w:r>
      <w:r>
        <w:rPr>
          <w:b/>
          <w:bCs/>
        </w:rPr>
        <w:t xml:space="preserve">sont décalés</w:t>
      </w:r>
      <w:r>
        <w:t xml:space="preserve"> d’au moins un jour, car une publication datée de t peut n’être connue qu’après. Cette asymétrie est documentée pour éviter une « correction » erronée qui décalerait aussi les features de rendement.</w:t>
      </w:r>
    </w:p>
    <w:p>
      <w:pPr>
        <w:pStyle w:val="Heading2"/>
      </w:pPr>
      <w:r>
        <w:t xml:space="preserve">5.2 Aucune standardisation globale — la décision la plus importante</w:t>
      </w:r>
    </w:p>
    <w:p>
      <w:pPr>
        <w:spacing w:after="120"/>
      </w:pPr>
      <w:r>
        <w:t xml:space="preserve">Standardiser (z-score) une feature sur tout l’historique utiliserait la moyenne et l’écart-type </w:t>
      </w:r>
      <w:r>
        <w:rPr>
          <w:i/>
          <w:iCs/>
        </w:rPr>
        <w:t xml:space="preserve">futurs</w:t>
      </w:r>
      <w:r>
        <w:t xml:space="preserve"> pour normaliser le </w:t>
      </w:r>
      <w:r>
        <w:rPr>
          <w:i/>
          <w:iCs/>
        </w:rPr>
        <w:t xml:space="preserve">passé</w:t>
      </w:r>
      <w:r>
        <w:t xml:space="preserve"> : une fuite subtile mais réelle. La Phase 3 s’en abstient délibérément et laisse chaque modèle de la Phase 4 ajuster son échelle </w:t>
      </w:r>
      <w:r>
        <w:rPr>
          <w:b/>
          <w:bCs/>
        </w:rPr>
        <w:t xml:space="preserve">uniquement sur sa fenêtre d’entraînement walk-forward</w:t>
      </w:r>
      <w:r>
        <w:t xml:space="preserve">. La décision est inscrite, lisible par machine, dans le manifeste (global_standardization: false) avec la politique associée — un contrat, pas une convention orale.</w:t>
      </w:r>
    </w:p>
    <w:p>
      <w:pPr>
        <w:pStyle w:val="Heading2"/>
      </w:pPr>
      <w:r>
        <w:t xml:space="preserve">5.3 Remplissage macro multi-calendrier (correction apportée en revue)</w:t>
      </w:r>
    </w:p>
    <w:p>
      <w:pPr>
        <w:spacing w:after="120"/>
      </w:pPr>
      <w:r>
        <w:t xml:space="preserve">Les séries FRED et Bank Al-Maghrib publient sur des calendriers différents ; leur union laisse des trous internes aux dates où une seule source a publié. La construction initiale (reindex avec méthode ffill) ne comblait pas ces trous internes, dispersant des NaN dans les signaux macro différenciés (~100 à 200 par colonne). La correction — reindex simple puis forward-fill — reporte le dernier niveau connu (causal, jamais vers l’arrière), cohérente avec la convention de la Phase 1. </w:t>
      </w:r>
      <w:r>
        <w:rPr>
          <w:b/>
          <w:bCs/>
        </w:rPr>
        <w:t xml:space="preserve">Résultat : les deux matrices sont désormais 100 % denses</w:t>
      </w:r>
      <w:r>
        <w:t xml:space="preserve"> (0 NaN) — plus aucun NaN à une date arbitraire que la Phase 4 devrait gérer.</w:t>
      </w:r>
    </w:p>
    <w:p>
      <w:pPr>
        <w:pStyle w:val="Heading2"/>
      </w:pPr>
      <w:r>
        <w:t xml:space="preserve">5.4 Le warm-up est reporté, pas caché</w:t>
      </w:r>
    </w:p>
    <w:p>
      <w:pPr>
        <w:spacing w:after="120"/>
      </w:pPr>
      <w:r>
        <w:t xml:space="preserve">Les features glissantes nécessitent un historique initial (warm-up). Les lignes de tête où les features cœur ne sont pas encore disponibles sont retirées ; le manifeste reporte, par univers, max_leading_nan — la plus longue amorce de NaN restante (0 aujourd’hui). Le contrat pour la Phase 4 : min_train_days doit dépasser cette valeur, sinon la stratégie doit tolérer explicitement les NaN. Avec les paramètres actuels (min_train_days = 252), le warm-up est largement absorbé avant le premier rééquilibrage.</w:t>
      </w:r>
    </w:p>
    <w:p>
      <w:pPr>
        <w:pStyle w:val="Heading2"/>
      </w:pPr>
      <w:r>
        <w:t xml:space="preserve">5.5 Sans modifier les artefacts approuvés</w:t>
      </w:r>
    </w:p>
    <w:p>
      <w:pPr>
        <w:spacing w:after="120"/>
      </w:pPr>
      <w:r>
        <w:t xml:space="preserve">La Phase 3 lit la couche Gold et écrit de </w:t>
      </w:r>
      <w:r>
        <w:rPr>
          <w:i/>
          <w:iCs/>
        </w:rPr>
        <w:t xml:space="preserve">nouveaux</w:t>
      </w:r>
      <w:r>
        <w:t xml:space="preserve"> fichiers (ml_features_*). Elle ne touche ni aux rendements de la Phase 1, ni aux sorties de la Phase 2 — l’immuabilité en amont est préservée.</w:t>
      </w:r>
    </w:p>
    <w:p>
      <w:pPr>
        <w:pStyle w:val="Heading1"/>
      </w:pPr>
      <w:r>
        <w:t xml:space="preserve">6. La couture vers la Phase 4 — prouvée, pas promise</w:t>
      </w:r>
    </w:p>
    <w:p>
      <w:pPr>
        <w:spacing w:after="120"/>
      </w:pPr>
      <w:r>
        <w:t xml:space="preserve">Les features sont remises telles quelles à une stratégie de la Phase 4 via le moteur de la Phase 2 :</w:t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from backtest import run_backtest</w:t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features = pd.read_parquet('data/gold/ml_features_etf.parquet')</w:t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run_backtest(returns, MyRegimeStrategy(),</w:t>
      </w:r>
    </w:p>
    <w:p>
      <w:pPr>
        <w:shd w:fill="F2F2F2" w:val="clear"/>
        <w:spacing w:after="12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     extras={'features': features}, min_train_days=252)</w:t>
      </w:r>
    </w:p>
    <w:p>
      <w:pPr>
        <w:spacing w:after="120"/>
      </w:pPr>
      <w:r>
        <w:t xml:space="preserve">Le moteur passe à chaque stratégie extras['features'].loc[:τ] à chaque rééquilibrage τ : le modèle lit les derniers signaux de régime, jamais une ligne future. Cette couture, chacune des deux phases la revendiquait sans que rien ne les relie. Le test d’intégration tests/test_phase3_integration.py ferme la boucle : une stratégie-sonde </w:t>
      </w:r>
      <w:r>
        <w:rPr>
          <w:i/>
          <w:iCs/>
        </w:rPr>
        <w:t xml:space="preserve">réellement pilotée par les features</w:t>
      </w:r>
      <w:r>
        <w:t xml:space="preserve"> (elle incline ses poids selon MARKET_VOL_SHORT) produit des poids passés </w:t>
      </w:r>
      <w:r>
        <w:rPr>
          <w:b/>
          <w:bCs/>
        </w:rPr>
        <w:t xml:space="preserve">identiques</w:t>
      </w:r>
      <w:r>
        <w:t xml:space="preserve"> que le futur de la trame de features soit corrompu ou non — tout en voyant ses poids </w:t>
      </w:r>
      <w:r>
        <w:rPr>
          <w:i/>
          <w:iCs/>
        </w:rPr>
        <w:t xml:space="preserve">futurs</w:t>
      </w:r>
      <w:r>
        <w:t xml:space="preserve"> changer. Cela prouve à la fois que les features sont consommées et qu’aucune ligne future ne peut influencer une décision passée.</w:t>
      </w:r>
    </w:p>
    <w:p>
      <w:r>
        <w:br w:type="page"/>
      </w:r>
    </w:p>
    <w:p>
      <w:pPr>
        <w:pStyle w:val="Heading1"/>
      </w:pPr>
      <w:r>
        <w:t xml:space="preserve">7. Stratégie de test</w:t>
      </w:r>
    </w:p>
    <w:p>
      <w:pPr>
        <w:spacing w:after="120"/>
      </w:pPr>
      <w:r>
        <w:t xml:space="preserve">17 tests Phase 3 (13 unitaires, 4 d’intégration), hors-ligne et synthétiques, nommés d’après la règle qu’ils verrouillent.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100"/>
        <w:gridCol w:w="5312"/>
      </w:tblGrid>
      <w:tr>
        <w:trPr>
          <w:tblHeader/>
        </w:trPr>
        <w:tc>
          <w:tcPr>
            <w:tcW w:type="dxa" w:w="4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Test (extrait)</w:t>
            </w:r>
          </w:p>
        </w:tc>
        <w:tc>
          <w:tcPr>
            <w:tcW w:type="dxa" w:w="53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Règle verrouillée</w:t>
            </w:r>
          </w:p>
        </w:tc>
      </w:tr>
      <w:tr>
        <w:tc>
          <w:tcPr>
            <w:tcW w:type="dxa" w:w="4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test_future_observations_do_not_change_past_features</w:t>
            </w:r>
          </w:p>
        </w:tc>
        <w:tc>
          <w:tcPr>
            <w:tcW w:type="dxa" w:w="53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Corrompre le futur des rendements ne change aucune feature passée — la garantie causale des features de rendement.</w:t>
            </w:r>
          </w:p>
        </w:tc>
      </w:tr>
      <w:tr>
        <w:tc>
          <w:tcPr>
            <w:tcW w:type="dxa" w:w="4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test_future_macro_does_not_change_past_signals</w:t>
            </w:r>
          </w:p>
        </w:tc>
        <w:tc>
          <w:tcPr>
            <w:tcW w:type="dxa" w:w="53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Même garantie pour les signaux macro.</w:t>
            </w:r>
          </w:p>
        </w:tc>
      </w:tr>
      <w:tr>
        <w:tc>
          <w:tcPr>
            <w:tcW w:type="dxa" w:w="4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test_interior_nan_from_multi_source_calendars_is_forward_filled</w:t>
            </w:r>
          </w:p>
        </w:tc>
        <w:tc>
          <w:tcPr>
            <w:tcW w:type="dxa" w:w="53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Les trous internes multi-sources sont comblés (correction 5.3), pas dispersés.</w:t>
            </w:r>
          </w:p>
        </w:tc>
      </w:tr>
      <w:tr>
        <w:tc>
          <w:tcPr>
            <w:tcW w:type="dxa" w:w="4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test_short_volatility_matches_manual_calculation</w:t>
            </w:r>
          </w:p>
        </w:tc>
        <w:tc>
          <w:tcPr>
            <w:tcW w:type="dxa" w:w="53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Volatilité glissante vérifiée à la main.</w:t>
            </w:r>
          </w:p>
        </w:tc>
      </w:tr>
      <w:tr>
        <w:tc>
          <w:tcPr>
            <w:tcW w:type="dxa" w:w="4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test_average_pairwise_correlation_matches_manual_calculation</w:t>
            </w:r>
          </w:p>
        </w:tc>
        <w:tc>
          <w:tcPr>
            <w:tcW w:type="dxa" w:w="53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Corrélation moyenne hors-diagonale vérifiée à la main.</w:t>
            </w:r>
          </w:p>
        </w:tc>
      </w:tr>
      <w:tr>
        <w:tc>
          <w:tcPr>
            <w:tcW w:type="dxa" w:w="4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test_rejects_zero_lag</w:t>
            </w:r>
          </w:p>
        </w:tc>
        <w:tc>
          <w:tcPr>
            <w:tcW w:type="dxa" w:w="53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Un décalage macro nul lève une exception (« lookahead »).</w:t>
            </w:r>
          </w:p>
        </w:tc>
      </w:tr>
      <w:tr>
        <w:tc>
          <w:tcPr>
            <w:tcW w:type="dxa" w:w="4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test_manifest_records_feature_warmup</w:t>
            </w:r>
          </w:p>
        </w:tc>
        <w:tc>
          <w:tcPr>
            <w:tcW w:type="dxa" w:w="53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Le warm-up (max_leading_nan) est reporté et strictement positif pour une série macro tardive.</w:t>
            </w:r>
          </w:p>
        </w:tc>
      </w:tr>
      <w:tr>
        <w:tc>
          <w:tcPr>
            <w:tcW w:type="dxa" w:w="4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test_engine_slices_features_to_train_window</w:t>
            </w:r>
          </w:p>
        </w:tc>
        <w:tc>
          <w:tcPr>
            <w:tcW w:type="dxa" w:w="53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Intégration : le moteur ne montre jamais une feature datée après τ.</w:t>
            </w:r>
          </w:p>
        </w:tc>
      </w:tr>
      <w:tr>
        <w:tc>
          <w:tcPr>
            <w:tcW w:type="dxa" w:w="4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test_future_feature_values_cannot_change_past_weights</w:t>
            </w:r>
          </w:p>
        </w:tc>
        <w:tc>
          <w:tcPr>
            <w:tcW w:type="dxa" w:w="53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Intégration : corrompre le futur des features ne bouge aucun poids passé ; les poids futurs, si (preuve de consommation réelle).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t xml:space="preserve">L’intégration continue (GitHub Actions) exécute la suite complète (126 tests) sur machine vierge à chaque push et pull request. La revue automatisée (Sourcery) sur la PR #5 a par ailleurs relevé — à juste titre — que le test d’intégration initial était vide de sens tant que la stratégie-sonde ignorait les features ; il a été renforcé pour piloter réellement les poids par une feature, ce qui a été corrigé et vérifié.</w:t>
      </w:r>
    </w:p>
    <w:p>
      <w:pPr>
        <w:pStyle w:val="Heading1"/>
      </w:pPr>
      <w:r>
        <w:t xml:space="preserve">8. Limitations connues et réserves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Aucune prédiction, seulement une description.</w:t>
      </w:r>
      <w:r>
        <w:t xml:space="preserve"> Les features caractérisent l’état du marché ; aucune capacité de prédiction de crise n’est revendiquée à ce stade. C’est la question de la Phase 4.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L’univers complet ne contient pas le COVID.</w:t>
      </w:r>
      <w:r>
        <w:t xml:space="preserve"> Hérité de la Phase 1 (fenêtre glissante BVC) ; l’univers ETF (2017→) porte l’évidence COVID + 2022, l’univers 9 actifs porte 2022 seul.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Fenêtres glissantes fixes.</w:t>
      </w:r>
      <w:r>
        <w:t xml:space="preserve"> 21 / 63 jours par choix ; leur sensibilité (et celle de la fréquence de rééquilibrage) sera étudiée en Phase 5.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Corrélation en boucle Python.</w:t>
      </w:r>
      <w:r>
        <w:t xml:space="preserve"> Le calcul de la corrélation moyenne glissante est une boucle explicite — acceptable aux tailles actuelles (&lt; 1 s/univers), à vectoriser seulement si l’univers grandit.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Points reportés volontairement (hors de cette phase).</w:t>
      </w:r>
      <w:r>
        <w:t xml:space="preserve"> Consolidation de l’univers de tickers dans params.yaml (branche dédiée, touche la Phase 1) ; image Docker :phase3 (étape post-fusion).</w:t>
      </w:r>
    </w:p>
    <w:p>
      <w:pPr>
        <w:pStyle w:val="Heading1"/>
      </w:pPr>
      <w:r>
        <w:t xml:space="preserve">9. Traçabilité P1–P4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4100"/>
        <w:gridCol w:w="4212"/>
      </w:tblGrid>
      <w:tr>
        <w:trPr>
          <w:tblHeader/>
        </w:trP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Pb.</w:t>
            </w:r>
          </w:p>
        </w:tc>
        <w:tc>
          <w:tcPr>
            <w:tcW w:type="dxa" w:w="4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Composants Phase 3</w:t>
            </w:r>
          </w:p>
        </w:tc>
        <w:tc>
          <w:tcPr>
            <w:tcW w:type="dxa" w:w="4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Mécanisme</w:t>
            </w:r>
          </w:p>
        </w:tc>
      </w:tr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P2</w:t>
            </w:r>
          </w:p>
        </w:tc>
        <w:tc>
          <w:tcPr>
            <w:tcW w:type="dxa" w:w="4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MARKET_VOL_SHORT/LONG, MARKET_DRAWDOWN, signaux macro _DIFF_L1</w:t>
            </w:r>
          </w:p>
        </w:tc>
        <w:tc>
          <w:tcPr>
            <w:tcW w:type="dxa" w:w="4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Décrivent des conditions de marché non stationnaires (régimes de volatilité, pertes, chocs macro) — l’entrée des modèles de régime.</w:t>
            </w:r>
          </w:p>
        </w:tc>
      </w:tr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P3</w:t>
            </w:r>
          </w:p>
        </w:tc>
        <w:tc>
          <w:tcPr>
            <w:tcW w:type="dxa" w:w="4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AVG_PAIRWISE_CORR, CROSS_SECTIONAL_DISPERSION</w:t>
            </w:r>
          </w:p>
        </w:tc>
        <w:tc>
          <w:tcPr>
            <w:tcW w:type="dxa" w:w="4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Mesurent le resserrement des corrélations et la dispersion — la rupture de diversification, quantifiée (corr. ×5 en 2022).</w:t>
            </w:r>
          </w:p>
        </w:tc>
      </w:tr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P4</w:t>
            </w:r>
          </w:p>
        </w:tc>
        <w:tc>
          <w:tcPr>
            <w:tcW w:type="dxa" w:w="4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Conventions de causalité (features non décalées / macro décalées), pas de standardisation globale, la couture extras + test d’intégration, forward-fill causal</w:t>
            </w:r>
          </w:p>
        </w:tc>
        <w:tc>
          <w:tcPr>
            <w:tcW w:type="dxa" w:w="4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Aucune information future n’atteint une feature ni, via le moteur, une décision passée ; l’absence de fuite est prouvée de bout en bout.</w:t>
            </w:r>
          </w:p>
        </w:tc>
      </w:tr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P1</w:t>
            </w:r>
          </w:p>
        </w:tc>
        <w:tc>
          <w:tcPr>
            <w:tcW w:type="dxa" w:w="4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(indirect) dispersion &amp; corrélation comme entrées de la covariance dynamique (Phase 4)</w:t>
            </w:r>
          </w:p>
        </w:tc>
        <w:tc>
          <w:tcPr>
            <w:tcW w:type="dxa" w:w="4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Les features de structure alimenteront l’estimation de covariance conditionnée au régime — le remède P1 de la Phase 4.</w:t>
            </w:r>
          </w:p>
        </w:tc>
      </w:tr>
    </w:tbl>
    <w:p>
      <w:pPr>
        <w:pStyle w:val="Heading1"/>
      </w:pPr>
      <w:r>
        <w:t xml:space="preserve">10. Transition vers la Phase 4</w:t>
      </w:r>
    </w:p>
    <w:p>
      <w:pPr>
        <w:spacing w:after="120"/>
      </w:pPr>
      <w:r>
        <w:t xml:space="preserve">Le contrat est complet et prouvé : les modèles de la Phase 4 (HMM pour la détection de régime, covariance dynamique) reçoivent ces features via extras, ajustent leur échelle uniquement sur leur fenêtre d’entraînement, et sont jugés par le moteur de la Phase 2 contre la haie déjà chiffrée (Sharpe net 0,955 ETF / 1,041 sur 9 actifs). La question devient : conditionner l’allocation sur ces descripteurs de régime bat-il, net de coûts et hors échantillon, les baselines de la Phase 2 ? La première tâche de la Phase 4 amont sera la consolidation de configuration identifiée dès la Phase 1.</w:t>
      </w:r>
    </w:p>
    <w:p>
      <w:pPr>
        <w:pStyle w:val="Heading1"/>
      </w:pPr>
      <w:r>
        <w:t xml:space="preserve">Annexe — Commandes de référence</w:t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python src/ml_features.py     # génère les features des 2 univers + manifeste</w:t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pytest tests/test_ml_features.py tests/test_phase3_integration.py -q</w:t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jupyter notebook notebooks/phase3_features.ipynb</w:t>
      </w:r>
    </w:p>
    <w:p>
      <w:pPr>
        <w:shd w:fill="F2F2F2" w:val="clear"/>
        <w:spacing w:after="12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dvc repro ml_features         # régénère l'étape si une dépendance change</w:t>
      </w:r>
    </w:p>
    <w:p>
      <w:pPr>
        <w:pStyle w:val="Heading1"/>
      </w:pPr>
      <w:r>
        <w:t xml:space="preserve">Références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Ledoit, O. &amp; Wolf, M. (2004). A Well-Conditioned Estimator for Large-Dimensional Covariance Matrices.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López de Prado, M. (2018). Advances in Financial Machine Learning. Wiley — chap. 17–18 (features, importance).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Tsay, R. S. (2010). Analysis of Financial Time Series. Wiley — volatilité et corrélations conditionnelles.</w:t>
      </w:r>
    </w:p>
    <w:sectPr>
      <w:headerReference w:type="default" r:id="rId7"/>
      <w:footerReference w:type="default" r:id="rId8"/>
      <w:pgSz w:w="11906" w:h="16838" w:orient="portrait"/>
      <w:pgMar w:top="1247" w:right="1247" w:bottom="1247" w:left="124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6"/>
        <w:szCs w:val="16"/>
      </w:rPr>
      <w:t xml:space="preserve">Page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666666"/>
        <w:sz w:val="16"/>
        <w:szCs w:val="16"/>
      </w:rPr>
      <w:t xml:space="preserve"> · EURAFRIC Information – INPT · juillet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3864" w:sz="4" w:space="1"/>
      </w:pBdr>
      <w:jc w:val="right"/>
    </w:pPr>
    <w:r>
      <w:rPr>
        <w:color w:val="666666"/>
        <w:sz w:val="16"/>
        <w:szCs w:val="16"/>
      </w:rPr>
      <w:t xml:space="preserve">PFA · Optimisation de Portefeuille par ML · Livrable Phase 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2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40" w:before="240"/>
      <w:outlineLvl w:val="1"/>
    </w:pPr>
    <w:rPr>
      <w:rFonts w:ascii="Arial" w:cs="Arial" w:eastAsia="Arial" w:hAnsi="Arial"/>
      <w:b/>
      <w:bCs/>
      <w:color w:val="2E539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17ddd9ce66b11eb17ca20ec973e65d42c40be046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2026-07-20T16:10:17.410Z</dcterms:created>
  <dcterms:modified xsi:type="dcterms:W3CDTF">2026-07-20T16:10:17.411Z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