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E5A5A" w14:textId="77777777" w:rsidR="00AB3F6E" w:rsidRDefault="00AB3F6E">
      <w:pPr>
        <w:spacing w:before="2400"/>
      </w:pPr>
    </w:p>
    <w:p w14:paraId="464CF98C" w14:textId="77777777" w:rsidR="00AB3F6E" w:rsidRDefault="00000000">
      <w:pPr>
        <w:jc w:val="center"/>
      </w:pPr>
      <w:r>
        <w:rPr>
          <w:b/>
          <w:bCs/>
          <w:sz w:val="48"/>
          <w:szCs w:val="48"/>
        </w:rPr>
        <w:t>Système d’Optimisation de Portefeuille par Machine Learning</w:t>
      </w:r>
    </w:p>
    <w:p w14:paraId="120E5B4F" w14:textId="77777777" w:rsidR="00AB3F6E" w:rsidRDefault="00000000">
      <w:pPr>
        <w:spacing w:before="300"/>
        <w:jc w:val="center"/>
      </w:pPr>
      <w:r>
        <w:rPr>
          <w:b/>
          <w:bCs/>
          <w:color w:val="1F3864"/>
          <w:sz w:val="34"/>
          <w:szCs w:val="34"/>
        </w:rPr>
        <w:t>Livrable de la Phase 1 — Infrastructure de Données</w:t>
      </w:r>
    </w:p>
    <w:p w14:paraId="4BD1AB4F" w14:textId="77777777" w:rsidR="00AB3F6E" w:rsidRDefault="00000000">
      <w:pPr>
        <w:spacing w:before="200"/>
        <w:jc w:val="center"/>
      </w:pPr>
      <w:r>
        <w:rPr>
          <w:i/>
          <w:iCs/>
          <w:sz w:val="24"/>
          <w:szCs w:val="24"/>
        </w:rPr>
        <w:t>Architecture, choix de conception, code, validation et tests</w:t>
      </w:r>
    </w:p>
    <w:p w14:paraId="45A5C5B9" w14:textId="77777777" w:rsidR="00AB3F6E" w:rsidRDefault="00AB3F6E">
      <w:pPr>
        <w:spacing w:before="1400"/>
      </w:pPr>
    </w:p>
    <w:p w14:paraId="039F23C0" w14:textId="77777777" w:rsidR="00AB3F6E" w:rsidRDefault="00000000">
      <w:pPr>
        <w:jc w:val="center"/>
      </w:pPr>
      <w:r>
        <w:rPr>
          <w:sz w:val="24"/>
          <w:szCs w:val="24"/>
        </w:rPr>
        <w:t>Projet de Fin d’Année (PFA) — INPT</w:t>
      </w:r>
    </w:p>
    <w:p w14:paraId="0B2B328D" w14:textId="77777777" w:rsidR="00AB3F6E" w:rsidRDefault="00000000">
      <w:pPr>
        <w:jc w:val="center"/>
      </w:pPr>
      <w:r>
        <w:rPr>
          <w:sz w:val="24"/>
          <w:szCs w:val="24"/>
        </w:rPr>
        <w:t>Client : EURAFRIC Information, Bouskoura</w:t>
      </w:r>
    </w:p>
    <w:p w14:paraId="133F0EBC" w14:textId="77777777" w:rsidR="00AB3F6E" w:rsidRDefault="00000000">
      <w:pPr>
        <w:spacing w:before="300"/>
        <w:jc w:val="center"/>
      </w:pPr>
      <w:r>
        <w:rPr>
          <w:sz w:val="24"/>
          <w:szCs w:val="24"/>
        </w:rPr>
        <w:t>Équipe : Souhail BOURHIM · Zakarya EL WALI · Yasmine BOUAJINE</w:t>
      </w:r>
    </w:p>
    <w:p w14:paraId="75250F05" w14:textId="77777777" w:rsidR="00AB3F6E" w:rsidRDefault="00000000">
      <w:pPr>
        <w:jc w:val="center"/>
      </w:pPr>
      <w:r>
        <w:rPr>
          <w:sz w:val="24"/>
          <w:szCs w:val="24"/>
        </w:rPr>
        <w:t>Encadrant : M. Abdelmouttalib</w:t>
      </w:r>
    </w:p>
    <w:p w14:paraId="29BE3305" w14:textId="77777777" w:rsidR="00AB3F6E" w:rsidRDefault="00000000">
      <w:pPr>
        <w:spacing w:before="600"/>
        <w:jc w:val="center"/>
      </w:pPr>
      <w:r>
        <w:rPr>
          <w:color w:val="666666"/>
          <w:sz w:val="22"/>
          <w:szCs w:val="22"/>
        </w:rPr>
        <w:t>Version 1.0 — 5 juillet 2026</w:t>
      </w:r>
    </w:p>
    <w:p w14:paraId="00B81891" w14:textId="77777777" w:rsidR="00AB3F6E" w:rsidRDefault="00000000">
      <w:r>
        <w:br w:type="page"/>
      </w:r>
    </w:p>
    <w:sdt>
      <w:sdtPr>
        <w:alias w:val="Table des matières"/>
        <w:id w:val="767825080"/>
      </w:sdtPr>
      <w:sdtContent>
        <w:sdt>
          <w:sdtPr>
            <w:alias w:val="Table des matières"/>
            <w:id w:val="-1636712531"/>
          </w:sdtPr>
          <w:sdtContent>
            <w:p w14:paraId="57A4110D" w14:textId="77777777" w:rsidR="002442F6" w:rsidRDefault="002442F6" w:rsidP="002442F6">
              <w:pPr>
                <w:pStyle w:val="TOC1"/>
                <w:tabs>
                  <w:tab w:val="right" w:leader="dot" w:pos="9402"/>
                </w:tabs>
                <w:rPr>
                  <w:noProof/>
                </w:rPr>
              </w:pPr>
              <w:r>
                <w:fldChar w:fldCharType="begin"/>
              </w:r>
              <w:r>
                <w:instrText>TOC \h \o "1-2"</w:instrText>
              </w:r>
              <w:r>
                <w:fldChar w:fldCharType="separate"/>
              </w:r>
              <w:hyperlink w:anchor="_Toc234182194" w:history="1">
                <w:r w:rsidRPr="00885399">
                  <w:rPr>
                    <w:rStyle w:val="Hyperlink"/>
                    <w:b/>
                    <w:bCs/>
                    <w:noProof/>
                    <w:sz w:val="32"/>
                    <w:szCs w:val="32"/>
                  </w:rPr>
                  <w:t>Table des matières</w:t>
                </w:r>
                <w:r>
                  <w:rPr>
                    <w:noProof/>
                  </w:rPr>
                  <w:tab/>
                </w:r>
                <w:r>
                  <w:rPr>
                    <w:noProof/>
                  </w:rPr>
                  <w:fldChar w:fldCharType="begin"/>
                </w:r>
                <w:r>
                  <w:rPr>
                    <w:noProof/>
                  </w:rPr>
                  <w:instrText xml:space="preserve"> PAGEREF _Toc234182194 \h </w:instrText>
                </w:r>
                <w:r>
                  <w:rPr>
                    <w:noProof/>
                  </w:rPr>
                </w:r>
                <w:r>
                  <w:rPr>
                    <w:noProof/>
                  </w:rPr>
                  <w:fldChar w:fldCharType="separate"/>
                </w:r>
                <w:r>
                  <w:rPr>
                    <w:noProof/>
                  </w:rPr>
                  <w:t>2</w:t>
                </w:r>
                <w:r>
                  <w:rPr>
                    <w:noProof/>
                  </w:rPr>
                  <w:fldChar w:fldCharType="end"/>
                </w:r>
              </w:hyperlink>
            </w:p>
            <w:p w14:paraId="4C2EFEA8" w14:textId="77777777" w:rsidR="002442F6" w:rsidRDefault="002442F6" w:rsidP="002442F6">
              <w:pPr>
                <w:pStyle w:val="TOC1"/>
                <w:tabs>
                  <w:tab w:val="right" w:leader="dot" w:pos="9402"/>
                </w:tabs>
                <w:rPr>
                  <w:noProof/>
                </w:rPr>
              </w:pPr>
              <w:hyperlink w:anchor="_Toc234182195" w:history="1">
                <w:r w:rsidRPr="00222CA1">
                  <w:rPr>
                    <w:rStyle w:val="Hyperlink"/>
                    <w:noProof/>
                  </w:rPr>
                  <w:t>1. Résumé exécutif</w:t>
                </w:r>
                <w:r>
                  <w:rPr>
                    <w:noProof/>
                  </w:rPr>
                  <w:tab/>
                </w:r>
                <w:r>
                  <w:rPr>
                    <w:noProof/>
                  </w:rPr>
                  <w:fldChar w:fldCharType="begin"/>
                </w:r>
                <w:r>
                  <w:rPr>
                    <w:noProof/>
                  </w:rPr>
                  <w:instrText xml:space="preserve"> PAGEREF _Toc234182195 \h </w:instrText>
                </w:r>
                <w:r>
                  <w:rPr>
                    <w:noProof/>
                  </w:rPr>
                </w:r>
                <w:r>
                  <w:rPr>
                    <w:noProof/>
                  </w:rPr>
                  <w:fldChar w:fldCharType="separate"/>
                </w:r>
                <w:r>
                  <w:rPr>
                    <w:noProof/>
                  </w:rPr>
                  <w:t>4</w:t>
                </w:r>
                <w:r>
                  <w:rPr>
                    <w:noProof/>
                  </w:rPr>
                  <w:fldChar w:fldCharType="end"/>
                </w:r>
              </w:hyperlink>
            </w:p>
            <w:p w14:paraId="41EC5231" w14:textId="77777777" w:rsidR="002442F6" w:rsidRDefault="002442F6" w:rsidP="002442F6">
              <w:pPr>
                <w:pStyle w:val="TOC1"/>
                <w:tabs>
                  <w:tab w:val="right" w:leader="dot" w:pos="9402"/>
                </w:tabs>
                <w:rPr>
                  <w:noProof/>
                </w:rPr>
              </w:pPr>
              <w:hyperlink w:anchor="_Toc234182196" w:history="1">
                <w:r w:rsidRPr="00222CA1">
                  <w:rPr>
                    <w:rStyle w:val="Hyperlink"/>
                    <w:noProof/>
                  </w:rPr>
                  <w:t>2. Contexte et problématique</w:t>
                </w:r>
                <w:r>
                  <w:rPr>
                    <w:noProof/>
                  </w:rPr>
                  <w:tab/>
                </w:r>
                <w:r>
                  <w:rPr>
                    <w:noProof/>
                  </w:rPr>
                  <w:fldChar w:fldCharType="begin"/>
                </w:r>
                <w:r>
                  <w:rPr>
                    <w:noProof/>
                  </w:rPr>
                  <w:instrText xml:space="preserve"> PAGEREF _Toc234182196 \h </w:instrText>
                </w:r>
                <w:r>
                  <w:rPr>
                    <w:noProof/>
                  </w:rPr>
                </w:r>
                <w:r>
                  <w:rPr>
                    <w:noProof/>
                  </w:rPr>
                  <w:fldChar w:fldCharType="separate"/>
                </w:r>
                <w:r>
                  <w:rPr>
                    <w:noProof/>
                  </w:rPr>
                  <w:t>4</w:t>
                </w:r>
                <w:r>
                  <w:rPr>
                    <w:noProof/>
                  </w:rPr>
                  <w:fldChar w:fldCharType="end"/>
                </w:r>
              </w:hyperlink>
            </w:p>
            <w:p w14:paraId="2219EF81" w14:textId="77777777" w:rsidR="002442F6" w:rsidRDefault="002442F6" w:rsidP="002442F6">
              <w:pPr>
                <w:pStyle w:val="TOC1"/>
                <w:tabs>
                  <w:tab w:val="right" w:leader="dot" w:pos="9402"/>
                </w:tabs>
                <w:rPr>
                  <w:noProof/>
                </w:rPr>
              </w:pPr>
              <w:hyperlink w:anchor="_Toc234182197" w:history="1">
                <w:r w:rsidRPr="00222CA1">
                  <w:rPr>
                    <w:rStyle w:val="Hyperlink"/>
                    <w:noProof/>
                  </w:rPr>
                  <w:t>3. Périmètre et livrables de la P</w:t>
                </w:r>
                <w:r w:rsidRPr="00222CA1">
                  <w:rPr>
                    <w:rStyle w:val="Hyperlink"/>
                    <w:noProof/>
                  </w:rPr>
                  <w:t>h</w:t>
                </w:r>
                <w:r w:rsidRPr="00222CA1">
                  <w:rPr>
                    <w:rStyle w:val="Hyperlink"/>
                    <w:noProof/>
                  </w:rPr>
                  <w:t>ase 1</w:t>
                </w:r>
                <w:r>
                  <w:rPr>
                    <w:noProof/>
                  </w:rPr>
                  <w:tab/>
                </w:r>
                <w:r>
                  <w:rPr>
                    <w:noProof/>
                  </w:rPr>
                  <w:fldChar w:fldCharType="begin"/>
                </w:r>
                <w:r>
                  <w:rPr>
                    <w:noProof/>
                  </w:rPr>
                  <w:instrText xml:space="preserve"> PAGEREF _Toc234182197 \h </w:instrText>
                </w:r>
                <w:r>
                  <w:rPr>
                    <w:noProof/>
                  </w:rPr>
                </w:r>
                <w:r>
                  <w:rPr>
                    <w:noProof/>
                  </w:rPr>
                  <w:fldChar w:fldCharType="separate"/>
                </w:r>
                <w:r>
                  <w:rPr>
                    <w:noProof/>
                  </w:rPr>
                  <w:t>4</w:t>
                </w:r>
                <w:r>
                  <w:rPr>
                    <w:noProof/>
                  </w:rPr>
                  <w:fldChar w:fldCharType="end"/>
                </w:r>
              </w:hyperlink>
            </w:p>
            <w:p w14:paraId="5805E933" w14:textId="77777777" w:rsidR="002442F6" w:rsidRDefault="002442F6" w:rsidP="002442F6">
              <w:pPr>
                <w:pStyle w:val="TOC1"/>
                <w:tabs>
                  <w:tab w:val="right" w:leader="dot" w:pos="9402"/>
                </w:tabs>
                <w:rPr>
                  <w:noProof/>
                </w:rPr>
              </w:pPr>
              <w:hyperlink w:anchor="_Toc234182198" w:history="1">
                <w:r w:rsidRPr="00222CA1">
                  <w:rPr>
                    <w:rStyle w:val="Hyperlink"/>
                    <w:noProof/>
                  </w:rPr>
                  <w:t>4. Architecture Médaillon (Bronze / Silver / Gold)</w:t>
                </w:r>
                <w:r>
                  <w:rPr>
                    <w:noProof/>
                  </w:rPr>
                  <w:tab/>
                </w:r>
                <w:r>
                  <w:rPr>
                    <w:noProof/>
                  </w:rPr>
                  <w:fldChar w:fldCharType="begin"/>
                </w:r>
                <w:r>
                  <w:rPr>
                    <w:noProof/>
                  </w:rPr>
                  <w:instrText xml:space="preserve"> PAGEREF _Toc234182198 \h </w:instrText>
                </w:r>
                <w:r>
                  <w:rPr>
                    <w:noProof/>
                  </w:rPr>
                </w:r>
                <w:r>
                  <w:rPr>
                    <w:noProof/>
                  </w:rPr>
                  <w:fldChar w:fldCharType="separate"/>
                </w:r>
                <w:r>
                  <w:rPr>
                    <w:noProof/>
                  </w:rPr>
                  <w:t>5</w:t>
                </w:r>
                <w:r>
                  <w:rPr>
                    <w:noProof/>
                  </w:rPr>
                  <w:fldChar w:fldCharType="end"/>
                </w:r>
              </w:hyperlink>
            </w:p>
            <w:p w14:paraId="75D03259" w14:textId="77777777" w:rsidR="002442F6" w:rsidRDefault="002442F6" w:rsidP="002442F6">
              <w:pPr>
                <w:pStyle w:val="TOC2"/>
                <w:tabs>
                  <w:tab w:val="right" w:leader="dot" w:pos="9402"/>
                </w:tabs>
                <w:rPr>
                  <w:noProof/>
                </w:rPr>
              </w:pPr>
              <w:hyperlink w:anchor="_Toc234182199" w:history="1">
                <w:r w:rsidRPr="00222CA1">
                  <w:rPr>
                    <w:rStyle w:val="Hyperlink"/>
                    <w:noProof/>
                  </w:rPr>
                  <w:t>4.1 Pourquoi trois couches plutôt qu’un script « télécharger-et-utiliser » ?</w:t>
                </w:r>
                <w:r>
                  <w:rPr>
                    <w:noProof/>
                  </w:rPr>
                  <w:tab/>
                </w:r>
                <w:r>
                  <w:rPr>
                    <w:noProof/>
                  </w:rPr>
                  <w:fldChar w:fldCharType="begin"/>
                </w:r>
                <w:r>
                  <w:rPr>
                    <w:noProof/>
                  </w:rPr>
                  <w:instrText xml:space="preserve"> PAGEREF _Toc234182199 \h </w:instrText>
                </w:r>
                <w:r>
                  <w:rPr>
                    <w:noProof/>
                  </w:rPr>
                </w:r>
                <w:r>
                  <w:rPr>
                    <w:noProof/>
                  </w:rPr>
                  <w:fldChar w:fldCharType="separate"/>
                </w:r>
                <w:r>
                  <w:rPr>
                    <w:noProof/>
                  </w:rPr>
                  <w:t>5</w:t>
                </w:r>
                <w:r>
                  <w:rPr>
                    <w:noProof/>
                  </w:rPr>
                  <w:fldChar w:fldCharType="end"/>
                </w:r>
              </w:hyperlink>
            </w:p>
            <w:p w14:paraId="4F2884F4" w14:textId="77777777" w:rsidR="002442F6" w:rsidRDefault="002442F6" w:rsidP="002442F6">
              <w:pPr>
                <w:pStyle w:val="TOC1"/>
                <w:tabs>
                  <w:tab w:val="right" w:leader="dot" w:pos="9402"/>
                </w:tabs>
                <w:rPr>
                  <w:noProof/>
                </w:rPr>
              </w:pPr>
              <w:hyperlink w:anchor="_Toc234182200" w:history="1">
                <w:r w:rsidRPr="00222CA1">
                  <w:rPr>
                    <w:rStyle w:val="Hyperlink"/>
                    <w:noProof/>
                  </w:rPr>
                  <w:t>5. Sources de données et univers d’actifs</w:t>
                </w:r>
                <w:r>
                  <w:rPr>
                    <w:noProof/>
                  </w:rPr>
                  <w:tab/>
                </w:r>
                <w:r>
                  <w:rPr>
                    <w:noProof/>
                  </w:rPr>
                  <w:fldChar w:fldCharType="begin"/>
                </w:r>
                <w:r>
                  <w:rPr>
                    <w:noProof/>
                  </w:rPr>
                  <w:instrText xml:space="preserve"> PAGEREF _Toc234182200 \h </w:instrText>
                </w:r>
                <w:r>
                  <w:rPr>
                    <w:noProof/>
                  </w:rPr>
                </w:r>
                <w:r>
                  <w:rPr>
                    <w:noProof/>
                  </w:rPr>
                  <w:fldChar w:fldCharType="separate"/>
                </w:r>
                <w:r>
                  <w:rPr>
                    <w:noProof/>
                  </w:rPr>
                  <w:t>6</w:t>
                </w:r>
                <w:r>
                  <w:rPr>
                    <w:noProof/>
                  </w:rPr>
                  <w:fldChar w:fldCharType="end"/>
                </w:r>
              </w:hyperlink>
            </w:p>
            <w:p w14:paraId="608171CF" w14:textId="77777777" w:rsidR="002442F6" w:rsidRDefault="002442F6" w:rsidP="002442F6">
              <w:pPr>
                <w:pStyle w:val="TOC1"/>
                <w:tabs>
                  <w:tab w:val="right" w:leader="dot" w:pos="9402"/>
                </w:tabs>
                <w:rPr>
                  <w:noProof/>
                </w:rPr>
              </w:pPr>
              <w:hyperlink w:anchor="_Toc234182201" w:history="1">
                <w:r w:rsidRPr="00222CA1">
                  <w:rPr>
                    <w:rStyle w:val="Hyperlink"/>
                    <w:noProof/>
                  </w:rPr>
                  <w:t>6. Choix de conception — et leurs justifications</w:t>
                </w:r>
                <w:r>
                  <w:rPr>
                    <w:noProof/>
                  </w:rPr>
                  <w:tab/>
                </w:r>
                <w:r>
                  <w:rPr>
                    <w:noProof/>
                  </w:rPr>
                  <w:fldChar w:fldCharType="begin"/>
                </w:r>
                <w:r>
                  <w:rPr>
                    <w:noProof/>
                  </w:rPr>
                  <w:instrText xml:space="preserve"> PAGEREF _Toc234182201 \h </w:instrText>
                </w:r>
                <w:r>
                  <w:rPr>
                    <w:noProof/>
                  </w:rPr>
                </w:r>
                <w:r>
                  <w:rPr>
                    <w:noProof/>
                  </w:rPr>
                  <w:fldChar w:fldCharType="separate"/>
                </w:r>
                <w:r>
                  <w:rPr>
                    <w:noProof/>
                  </w:rPr>
                  <w:t>7</w:t>
                </w:r>
                <w:r>
                  <w:rPr>
                    <w:noProof/>
                  </w:rPr>
                  <w:fldChar w:fldCharType="end"/>
                </w:r>
              </w:hyperlink>
            </w:p>
            <w:p w14:paraId="60F804FD" w14:textId="77777777" w:rsidR="002442F6" w:rsidRDefault="002442F6" w:rsidP="002442F6">
              <w:pPr>
                <w:pStyle w:val="TOC2"/>
                <w:tabs>
                  <w:tab w:val="right" w:leader="dot" w:pos="9402"/>
                </w:tabs>
                <w:rPr>
                  <w:noProof/>
                </w:rPr>
              </w:pPr>
              <w:hyperlink w:anchor="_Toc234182202" w:history="1">
                <w:r w:rsidRPr="00222CA1">
                  <w:rPr>
                    <w:rStyle w:val="Hyperlink"/>
                    <w:noProof/>
                  </w:rPr>
                  <w:t>6.1 Log-rendements plutôt que rendements simples</w:t>
                </w:r>
                <w:r>
                  <w:rPr>
                    <w:noProof/>
                  </w:rPr>
                  <w:tab/>
                </w:r>
                <w:r>
                  <w:rPr>
                    <w:noProof/>
                  </w:rPr>
                  <w:fldChar w:fldCharType="begin"/>
                </w:r>
                <w:r>
                  <w:rPr>
                    <w:noProof/>
                  </w:rPr>
                  <w:instrText xml:space="preserve"> PAGEREF _Toc234182202 \h </w:instrText>
                </w:r>
                <w:r>
                  <w:rPr>
                    <w:noProof/>
                  </w:rPr>
                </w:r>
                <w:r>
                  <w:rPr>
                    <w:noProof/>
                  </w:rPr>
                  <w:fldChar w:fldCharType="separate"/>
                </w:r>
                <w:r>
                  <w:rPr>
                    <w:noProof/>
                  </w:rPr>
                  <w:t>7</w:t>
                </w:r>
                <w:r>
                  <w:rPr>
                    <w:noProof/>
                  </w:rPr>
                  <w:fldChar w:fldCharType="end"/>
                </w:r>
              </w:hyperlink>
            </w:p>
            <w:p w14:paraId="25E4423E" w14:textId="77777777" w:rsidR="002442F6" w:rsidRDefault="002442F6" w:rsidP="002442F6">
              <w:pPr>
                <w:pStyle w:val="TOC2"/>
                <w:tabs>
                  <w:tab w:val="right" w:leader="dot" w:pos="9402"/>
                </w:tabs>
                <w:rPr>
                  <w:noProof/>
                </w:rPr>
              </w:pPr>
              <w:hyperlink w:anchor="_Toc234182203" w:history="1">
                <w:r w:rsidRPr="00222CA1">
                  <w:rPr>
                    <w:rStyle w:val="Hyperlink"/>
                    <w:noProof/>
                  </w:rPr>
                  <w:t>6.2 Remplissage vers l’avant uniquement (jamais d’interpolation ni de backfill)</w:t>
                </w:r>
                <w:r>
                  <w:rPr>
                    <w:noProof/>
                  </w:rPr>
                  <w:tab/>
                </w:r>
                <w:r>
                  <w:rPr>
                    <w:noProof/>
                  </w:rPr>
                  <w:fldChar w:fldCharType="begin"/>
                </w:r>
                <w:r>
                  <w:rPr>
                    <w:noProof/>
                  </w:rPr>
                  <w:instrText xml:space="preserve"> PAGEREF _Toc234182203 \h </w:instrText>
                </w:r>
                <w:r>
                  <w:rPr>
                    <w:noProof/>
                  </w:rPr>
                </w:r>
                <w:r>
                  <w:rPr>
                    <w:noProof/>
                  </w:rPr>
                  <w:fldChar w:fldCharType="separate"/>
                </w:r>
                <w:r>
                  <w:rPr>
                    <w:noProof/>
                  </w:rPr>
                  <w:t>7</w:t>
                </w:r>
                <w:r>
                  <w:rPr>
                    <w:noProof/>
                  </w:rPr>
                  <w:fldChar w:fldCharType="end"/>
                </w:r>
              </w:hyperlink>
            </w:p>
            <w:p w14:paraId="40CE0051" w14:textId="77777777" w:rsidR="002442F6" w:rsidRDefault="002442F6" w:rsidP="002442F6">
              <w:pPr>
                <w:pStyle w:val="TOC2"/>
                <w:tabs>
                  <w:tab w:val="right" w:leader="dot" w:pos="9402"/>
                </w:tabs>
                <w:rPr>
                  <w:noProof/>
                </w:rPr>
              </w:pPr>
              <w:hyperlink w:anchor="_Toc234182204" w:history="1">
                <w:r w:rsidRPr="00222CA1">
                  <w:rPr>
                    <w:rStyle w:val="Hyperlink"/>
                    <w:noProof/>
                  </w:rPr>
                  <w:t>6.3 ADF et KPSS ensemble, jamais l’un sans l’autre</w:t>
                </w:r>
                <w:r>
                  <w:rPr>
                    <w:noProof/>
                  </w:rPr>
                  <w:tab/>
                </w:r>
                <w:r>
                  <w:rPr>
                    <w:noProof/>
                  </w:rPr>
                  <w:fldChar w:fldCharType="begin"/>
                </w:r>
                <w:r>
                  <w:rPr>
                    <w:noProof/>
                  </w:rPr>
                  <w:instrText xml:space="preserve"> PAGEREF _Toc234182204 \h </w:instrText>
                </w:r>
                <w:r>
                  <w:rPr>
                    <w:noProof/>
                  </w:rPr>
                </w:r>
                <w:r>
                  <w:rPr>
                    <w:noProof/>
                  </w:rPr>
                  <w:fldChar w:fldCharType="separate"/>
                </w:r>
                <w:r>
                  <w:rPr>
                    <w:noProof/>
                  </w:rPr>
                  <w:t>7</w:t>
                </w:r>
                <w:r>
                  <w:rPr>
                    <w:noProof/>
                  </w:rPr>
                  <w:fldChar w:fldCharType="end"/>
                </w:r>
              </w:hyperlink>
            </w:p>
            <w:p w14:paraId="39EEFB51" w14:textId="77777777" w:rsidR="002442F6" w:rsidRDefault="002442F6" w:rsidP="002442F6">
              <w:pPr>
                <w:pStyle w:val="TOC2"/>
                <w:tabs>
                  <w:tab w:val="right" w:leader="dot" w:pos="9402"/>
                </w:tabs>
                <w:rPr>
                  <w:noProof/>
                </w:rPr>
              </w:pPr>
              <w:hyperlink w:anchor="_Toc234182205" w:history="1">
                <w:r w:rsidRPr="00222CA1">
                  <w:rPr>
                    <w:rStyle w:val="Hyperlink"/>
                    <w:noProof/>
                  </w:rPr>
                  <w:t>6.4 auto_adjust=True sur chaque appel Yahoo Finance</w:t>
                </w:r>
                <w:r>
                  <w:rPr>
                    <w:noProof/>
                  </w:rPr>
                  <w:tab/>
                </w:r>
                <w:r>
                  <w:rPr>
                    <w:noProof/>
                  </w:rPr>
                  <w:fldChar w:fldCharType="begin"/>
                </w:r>
                <w:r>
                  <w:rPr>
                    <w:noProof/>
                  </w:rPr>
                  <w:instrText xml:space="preserve"> PAGEREF _Toc234182205 \h </w:instrText>
                </w:r>
                <w:r>
                  <w:rPr>
                    <w:noProof/>
                  </w:rPr>
                </w:r>
                <w:r>
                  <w:rPr>
                    <w:noProof/>
                  </w:rPr>
                  <w:fldChar w:fldCharType="separate"/>
                </w:r>
                <w:r>
                  <w:rPr>
                    <w:noProof/>
                  </w:rPr>
                  <w:t>7</w:t>
                </w:r>
                <w:r>
                  <w:rPr>
                    <w:noProof/>
                  </w:rPr>
                  <w:fldChar w:fldCharType="end"/>
                </w:r>
              </w:hyperlink>
            </w:p>
            <w:p w14:paraId="202C2EBD" w14:textId="77777777" w:rsidR="002442F6" w:rsidRDefault="002442F6" w:rsidP="002442F6">
              <w:pPr>
                <w:pStyle w:val="TOC2"/>
                <w:tabs>
                  <w:tab w:val="right" w:leader="dot" w:pos="9402"/>
                </w:tabs>
                <w:rPr>
                  <w:noProof/>
                </w:rPr>
              </w:pPr>
              <w:hyperlink w:anchor="_Toc234182206" w:history="1">
                <w:r w:rsidRPr="00222CA1">
                  <w:rPr>
                    <w:rStyle w:val="Hyperlink"/>
                    <w:noProof/>
                  </w:rPr>
                  <w:t>6.5 Décalage obligatoire des variables macro — imposé par le code</w:t>
                </w:r>
                <w:r>
                  <w:rPr>
                    <w:noProof/>
                  </w:rPr>
                  <w:tab/>
                </w:r>
                <w:r>
                  <w:rPr>
                    <w:noProof/>
                  </w:rPr>
                  <w:fldChar w:fldCharType="begin"/>
                </w:r>
                <w:r>
                  <w:rPr>
                    <w:noProof/>
                  </w:rPr>
                  <w:instrText xml:space="preserve"> PAGEREF _Toc234182206 \h </w:instrText>
                </w:r>
                <w:r>
                  <w:rPr>
                    <w:noProof/>
                  </w:rPr>
                </w:r>
                <w:r>
                  <w:rPr>
                    <w:noProof/>
                  </w:rPr>
                  <w:fldChar w:fldCharType="separate"/>
                </w:r>
                <w:r>
                  <w:rPr>
                    <w:noProof/>
                  </w:rPr>
                  <w:t>7</w:t>
                </w:r>
                <w:r>
                  <w:rPr>
                    <w:noProof/>
                  </w:rPr>
                  <w:fldChar w:fldCharType="end"/>
                </w:r>
              </w:hyperlink>
            </w:p>
            <w:p w14:paraId="5A09DA1B" w14:textId="77777777" w:rsidR="002442F6" w:rsidRDefault="002442F6" w:rsidP="002442F6">
              <w:pPr>
                <w:pStyle w:val="TOC2"/>
                <w:tabs>
                  <w:tab w:val="right" w:leader="dot" w:pos="9402"/>
                </w:tabs>
                <w:rPr>
                  <w:noProof/>
                </w:rPr>
              </w:pPr>
              <w:hyperlink w:anchor="_Toc234182207" w:history="1">
                <w:r w:rsidRPr="00222CA1">
                  <w:rPr>
                    <w:rStyle w:val="Hyperlink"/>
                    <w:noProof/>
                  </w:rPr>
                  <w:t>6.6 Contrats de données exécutables (Pandera) plutôt que vérifications manuelles</w:t>
                </w:r>
                <w:r>
                  <w:rPr>
                    <w:noProof/>
                  </w:rPr>
                  <w:tab/>
                </w:r>
                <w:r>
                  <w:rPr>
                    <w:noProof/>
                  </w:rPr>
                  <w:fldChar w:fldCharType="begin"/>
                </w:r>
                <w:r>
                  <w:rPr>
                    <w:noProof/>
                  </w:rPr>
                  <w:instrText xml:space="preserve"> PAGEREF _Toc234182207 \h </w:instrText>
                </w:r>
                <w:r>
                  <w:rPr>
                    <w:noProof/>
                  </w:rPr>
                </w:r>
                <w:r>
                  <w:rPr>
                    <w:noProof/>
                  </w:rPr>
                  <w:fldChar w:fldCharType="separate"/>
                </w:r>
                <w:r>
                  <w:rPr>
                    <w:noProof/>
                  </w:rPr>
                  <w:t>7</w:t>
                </w:r>
                <w:r>
                  <w:rPr>
                    <w:noProof/>
                  </w:rPr>
                  <w:fldChar w:fldCharType="end"/>
                </w:r>
              </w:hyperlink>
            </w:p>
            <w:p w14:paraId="470128A8" w14:textId="77777777" w:rsidR="002442F6" w:rsidRDefault="002442F6" w:rsidP="002442F6">
              <w:pPr>
                <w:pStyle w:val="TOC2"/>
                <w:tabs>
                  <w:tab w:val="right" w:leader="dot" w:pos="9402"/>
                </w:tabs>
                <w:rPr>
                  <w:noProof/>
                </w:rPr>
              </w:pPr>
              <w:hyperlink w:anchor="_Toc234182208" w:history="1">
                <w:r w:rsidRPr="00222CA1">
                  <w:rPr>
                    <w:rStyle w:val="Hyperlink"/>
                    <w:noProof/>
                  </w:rPr>
                  <w:t>6.7 Détection d’illiquidité par séquences consécutives, pas par comptage brut</w:t>
                </w:r>
                <w:r>
                  <w:rPr>
                    <w:noProof/>
                  </w:rPr>
                  <w:tab/>
                </w:r>
                <w:r>
                  <w:rPr>
                    <w:noProof/>
                  </w:rPr>
                  <w:fldChar w:fldCharType="begin"/>
                </w:r>
                <w:r>
                  <w:rPr>
                    <w:noProof/>
                  </w:rPr>
                  <w:instrText xml:space="preserve"> PAGEREF _Toc234182208 \h </w:instrText>
                </w:r>
                <w:r>
                  <w:rPr>
                    <w:noProof/>
                  </w:rPr>
                </w:r>
                <w:r>
                  <w:rPr>
                    <w:noProof/>
                  </w:rPr>
                  <w:fldChar w:fldCharType="separate"/>
                </w:r>
                <w:r>
                  <w:rPr>
                    <w:noProof/>
                  </w:rPr>
                  <w:t>7</w:t>
                </w:r>
                <w:r>
                  <w:rPr>
                    <w:noProof/>
                  </w:rPr>
                  <w:fldChar w:fldCharType="end"/>
                </w:r>
              </w:hyperlink>
            </w:p>
            <w:p w14:paraId="12818F9F" w14:textId="77777777" w:rsidR="002442F6" w:rsidRDefault="002442F6" w:rsidP="002442F6">
              <w:pPr>
                <w:pStyle w:val="TOC2"/>
                <w:tabs>
                  <w:tab w:val="right" w:leader="dot" w:pos="9402"/>
                </w:tabs>
                <w:rPr>
                  <w:noProof/>
                </w:rPr>
              </w:pPr>
              <w:hyperlink w:anchor="_Toc234182209" w:history="1">
                <w:r w:rsidRPr="00222CA1">
                  <w:rPr>
                    <w:rStyle w:val="Hyperlink"/>
                    <w:noProof/>
                  </w:rPr>
                  <w:t>6.8 DuckDB pour les requêtes analytiques ; Dagster pour la planification ; MLflow pour les résultats</w:t>
                </w:r>
                <w:r>
                  <w:rPr>
                    <w:noProof/>
                  </w:rPr>
                  <w:tab/>
                </w:r>
                <w:r>
                  <w:rPr>
                    <w:noProof/>
                  </w:rPr>
                  <w:fldChar w:fldCharType="begin"/>
                </w:r>
                <w:r>
                  <w:rPr>
                    <w:noProof/>
                  </w:rPr>
                  <w:instrText xml:space="preserve"> PAGEREF _Toc234182209 \h </w:instrText>
                </w:r>
                <w:r>
                  <w:rPr>
                    <w:noProof/>
                  </w:rPr>
                </w:r>
                <w:r>
                  <w:rPr>
                    <w:noProof/>
                  </w:rPr>
                  <w:fldChar w:fldCharType="separate"/>
                </w:r>
                <w:r>
                  <w:rPr>
                    <w:noProof/>
                  </w:rPr>
                  <w:t>8</w:t>
                </w:r>
                <w:r>
                  <w:rPr>
                    <w:noProof/>
                  </w:rPr>
                  <w:fldChar w:fldCharType="end"/>
                </w:r>
              </w:hyperlink>
            </w:p>
            <w:p w14:paraId="0F6F9165" w14:textId="77777777" w:rsidR="002442F6" w:rsidRDefault="002442F6" w:rsidP="002442F6">
              <w:pPr>
                <w:pStyle w:val="TOC2"/>
                <w:tabs>
                  <w:tab w:val="right" w:leader="dot" w:pos="9402"/>
                </w:tabs>
                <w:rPr>
                  <w:noProof/>
                </w:rPr>
              </w:pPr>
              <w:hyperlink w:anchor="_Toc234182210" w:history="1">
                <w:r w:rsidRPr="00222CA1">
                  <w:rPr>
                    <w:rStyle w:val="Hyperlink"/>
                    <w:noProof/>
                  </w:rPr>
                  <w:t>6.9 Versionnage des données par DVC</w:t>
                </w:r>
                <w:r>
                  <w:rPr>
                    <w:noProof/>
                  </w:rPr>
                  <w:tab/>
                </w:r>
                <w:r>
                  <w:rPr>
                    <w:noProof/>
                  </w:rPr>
                  <w:fldChar w:fldCharType="begin"/>
                </w:r>
                <w:r>
                  <w:rPr>
                    <w:noProof/>
                  </w:rPr>
                  <w:instrText xml:space="preserve"> PAGEREF _Toc234182210 \h </w:instrText>
                </w:r>
                <w:r>
                  <w:rPr>
                    <w:noProof/>
                  </w:rPr>
                </w:r>
                <w:r>
                  <w:rPr>
                    <w:noProof/>
                  </w:rPr>
                  <w:fldChar w:fldCharType="separate"/>
                </w:r>
                <w:r>
                  <w:rPr>
                    <w:noProof/>
                  </w:rPr>
                  <w:t>8</w:t>
                </w:r>
                <w:r>
                  <w:rPr>
                    <w:noProof/>
                  </w:rPr>
                  <w:fldChar w:fldCharType="end"/>
                </w:r>
              </w:hyperlink>
            </w:p>
            <w:p w14:paraId="46297FDF" w14:textId="77777777" w:rsidR="002442F6" w:rsidRDefault="002442F6" w:rsidP="002442F6">
              <w:pPr>
                <w:pStyle w:val="TOC1"/>
                <w:tabs>
                  <w:tab w:val="right" w:leader="dot" w:pos="9402"/>
                </w:tabs>
                <w:rPr>
                  <w:noProof/>
                </w:rPr>
              </w:pPr>
              <w:hyperlink w:anchor="_Toc234182211" w:history="1">
                <w:r w:rsidRPr="00222CA1">
                  <w:rPr>
                    <w:rStyle w:val="Hyperlink"/>
                    <w:noProof/>
                  </w:rPr>
                  <w:t>7. Le code, module par module</w:t>
                </w:r>
                <w:r>
                  <w:rPr>
                    <w:noProof/>
                  </w:rPr>
                  <w:tab/>
                </w:r>
                <w:r>
                  <w:rPr>
                    <w:noProof/>
                  </w:rPr>
                  <w:fldChar w:fldCharType="begin"/>
                </w:r>
                <w:r>
                  <w:rPr>
                    <w:noProof/>
                  </w:rPr>
                  <w:instrText xml:space="preserve"> PAGEREF _Toc234182211 \h </w:instrText>
                </w:r>
                <w:r>
                  <w:rPr>
                    <w:noProof/>
                  </w:rPr>
                </w:r>
                <w:r>
                  <w:rPr>
                    <w:noProof/>
                  </w:rPr>
                  <w:fldChar w:fldCharType="separate"/>
                </w:r>
                <w:r>
                  <w:rPr>
                    <w:noProof/>
                  </w:rPr>
                  <w:t>9</w:t>
                </w:r>
                <w:r>
                  <w:rPr>
                    <w:noProof/>
                  </w:rPr>
                  <w:fldChar w:fldCharType="end"/>
                </w:r>
              </w:hyperlink>
            </w:p>
            <w:p w14:paraId="411B5FFC" w14:textId="77777777" w:rsidR="002442F6" w:rsidRDefault="002442F6" w:rsidP="002442F6">
              <w:pPr>
                <w:pStyle w:val="TOC2"/>
                <w:tabs>
                  <w:tab w:val="right" w:leader="dot" w:pos="9402"/>
                </w:tabs>
                <w:rPr>
                  <w:noProof/>
                </w:rPr>
              </w:pPr>
              <w:hyperlink w:anchor="_Toc234182212" w:history="1">
                <w:r w:rsidRPr="00222CA1">
                  <w:rPr>
                    <w:rStyle w:val="Hyperlink"/>
                    <w:noProof/>
                  </w:rPr>
                  <w:t>7.1 Trois extraits représentatifs</w:t>
                </w:r>
                <w:r>
                  <w:rPr>
                    <w:noProof/>
                  </w:rPr>
                  <w:tab/>
                </w:r>
                <w:r>
                  <w:rPr>
                    <w:noProof/>
                  </w:rPr>
                  <w:fldChar w:fldCharType="begin"/>
                </w:r>
                <w:r>
                  <w:rPr>
                    <w:noProof/>
                  </w:rPr>
                  <w:instrText xml:space="preserve"> PAGEREF _Toc234182212 \h </w:instrText>
                </w:r>
                <w:r>
                  <w:rPr>
                    <w:noProof/>
                  </w:rPr>
                </w:r>
                <w:r>
                  <w:rPr>
                    <w:noProof/>
                  </w:rPr>
                  <w:fldChar w:fldCharType="separate"/>
                </w:r>
                <w:r>
                  <w:rPr>
                    <w:noProof/>
                  </w:rPr>
                  <w:t>9</w:t>
                </w:r>
                <w:r>
                  <w:rPr>
                    <w:noProof/>
                  </w:rPr>
                  <w:fldChar w:fldCharType="end"/>
                </w:r>
              </w:hyperlink>
            </w:p>
            <w:p w14:paraId="523E1572" w14:textId="77777777" w:rsidR="002442F6" w:rsidRDefault="002442F6" w:rsidP="002442F6">
              <w:pPr>
                <w:pStyle w:val="TOC1"/>
                <w:tabs>
                  <w:tab w:val="right" w:leader="dot" w:pos="9402"/>
                </w:tabs>
                <w:rPr>
                  <w:noProof/>
                </w:rPr>
              </w:pPr>
              <w:hyperlink w:anchor="_Toc234182213" w:history="1">
                <w:r w:rsidRPr="00222CA1">
                  <w:rPr>
                    <w:rStyle w:val="Hyperlink"/>
                    <w:noProof/>
                  </w:rPr>
                  <w:t>8. Qualité des données : résultats de validation</w:t>
                </w:r>
                <w:r>
                  <w:rPr>
                    <w:noProof/>
                  </w:rPr>
                  <w:tab/>
                </w:r>
                <w:r>
                  <w:rPr>
                    <w:noProof/>
                  </w:rPr>
                  <w:fldChar w:fldCharType="begin"/>
                </w:r>
                <w:r>
                  <w:rPr>
                    <w:noProof/>
                  </w:rPr>
                  <w:instrText xml:space="preserve"> PAGEREF _Toc234182213 \h </w:instrText>
                </w:r>
                <w:r>
                  <w:rPr>
                    <w:noProof/>
                  </w:rPr>
                </w:r>
                <w:r>
                  <w:rPr>
                    <w:noProof/>
                  </w:rPr>
                  <w:fldChar w:fldCharType="separate"/>
                </w:r>
                <w:r>
                  <w:rPr>
                    <w:noProof/>
                  </w:rPr>
                  <w:t>10</w:t>
                </w:r>
                <w:r>
                  <w:rPr>
                    <w:noProof/>
                  </w:rPr>
                  <w:fldChar w:fldCharType="end"/>
                </w:r>
              </w:hyperlink>
            </w:p>
            <w:p w14:paraId="32C99A85" w14:textId="77777777" w:rsidR="002442F6" w:rsidRDefault="002442F6" w:rsidP="002442F6">
              <w:pPr>
                <w:pStyle w:val="TOC2"/>
                <w:tabs>
                  <w:tab w:val="right" w:leader="dot" w:pos="9402"/>
                </w:tabs>
                <w:rPr>
                  <w:noProof/>
                </w:rPr>
              </w:pPr>
              <w:hyperlink w:anchor="_Toc234182214" w:history="1">
                <w:r w:rsidRPr="00222CA1">
                  <w:rPr>
                    <w:rStyle w:val="Hyperlink"/>
                    <w:noProof/>
                  </w:rPr>
                  <w:t>8.1 État de la couche Gold (au 5 juillet 2026)</w:t>
                </w:r>
                <w:r>
                  <w:rPr>
                    <w:noProof/>
                  </w:rPr>
                  <w:tab/>
                </w:r>
                <w:r>
                  <w:rPr>
                    <w:noProof/>
                  </w:rPr>
                  <w:fldChar w:fldCharType="begin"/>
                </w:r>
                <w:r>
                  <w:rPr>
                    <w:noProof/>
                  </w:rPr>
                  <w:instrText xml:space="preserve"> PAGEREF _Toc234182214 \h </w:instrText>
                </w:r>
                <w:r>
                  <w:rPr>
                    <w:noProof/>
                  </w:rPr>
                </w:r>
                <w:r>
                  <w:rPr>
                    <w:noProof/>
                  </w:rPr>
                  <w:fldChar w:fldCharType="separate"/>
                </w:r>
                <w:r>
                  <w:rPr>
                    <w:noProof/>
                  </w:rPr>
                  <w:t>10</w:t>
                </w:r>
                <w:r>
                  <w:rPr>
                    <w:noProof/>
                  </w:rPr>
                  <w:fldChar w:fldCharType="end"/>
                </w:r>
              </w:hyperlink>
            </w:p>
            <w:p w14:paraId="7B39AD90" w14:textId="77777777" w:rsidR="002442F6" w:rsidRDefault="002442F6" w:rsidP="002442F6">
              <w:pPr>
                <w:pStyle w:val="TOC2"/>
                <w:tabs>
                  <w:tab w:val="right" w:leader="dot" w:pos="9402"/>
                </w:tabs>
                <w:rPr>
                  <w:noProof/>
                </w:rPr>
              </w:pPr>
              <w:hyperlink w:anchor="_Toc234182215" w:history="1">
                <w:r w:rsidRPr="00222CA1">
                  <w:rPr>
                    <w:rStyle w:val="Hyperlink"/>
                    <w:noProof/>
                  </w:rPr>
                  <w:t>8.2 Stationnarité (ADF + KPSS) — résultats réels</w:t>
                </w:r>
                <w:r>
                  <w:rPr>
                    <w:noProof/>
                  </w:rPr>
                  <w:tab/>
                </w:r>
                <w:r>
                  <w:rPr>
                    <w:noProof/>
                  </w:rPr>
                  <w:fldChar w:fldCharType="begin"/>
                </w:r>
                <w:r>
                  <w:rPr>
                    <w:noProof/>
                  </w:rPr>
                  <w:instrText xml:space="preserve"> PAGEREF _Toc234182215 \h </w:instrText>
                </w:r>
                <w:r>
                  <w:rPr>
                    <w:noProof/>
                  </w:rPr>
                </w:r>
                <w:r>
                  <w:rPr>
                    <w:noProof/>
                  </w:rPr>
                  <w:fldChar w:fldCharType="separate"/>
                </w:r>
                <w:r>
                  <w:rPr>
                    <w:noProof/>
                  </w:rPr>
                  <w:t>10</w:t>
                </w:r>
                <w:r>
                  <w:rPr>
                    <w:noProof/>
                  </w:rPr>
                  <w:fldChar w:fldCharType="end"/>
                </w:r>
              </w:hyperlink>
            </w:p>
            <w:p w14:paraId="6EC477ED" w14:textId="77777777" w:rsidR="002442F6" w:rsidRDefault="002442F6" w:rsidP="002442F6">
              <w:pPr>
                <w:pStyle w:val="TOC2"/>
                <w:tabs>
                  <w:tab w:val="right" w:leader="dot" w:pos="9402"/>
                </w:tabs>
                <w:rPr>
                  <w:noProof/>
                </w:rPr>
              </w:pPr>
              <w:hyperlink w:anchor="_Toc234182216" w:history="1">
                <w:r w:rsidRPr="00222CA1">
                  <w:rPr>
                    <w:rStyle w:val="Hyperlink"/>
                    <w:noProof/>
                  </w:rPr>
                  <w:t>8.3 Ce que le notebook d’EDA démontre</w:t>
                </w:r>
                <w:r>
                  <w:rPr>
                    <w:noProof/>
                  </w:rPr>
                  <w:tab/>
                </w:r>
                <w:r>
                  <w:rPr>
                    <w:noProof/>
                  </w:rPr>
                  <w:fldChar w:fldCharType="begin"/>
                </w:r>
                <w:r>
                  <w:rPr>
                    <w:noProof/>
                  </w:rPr>
                  <w:instrText xml:space="preserve"> PAGEREF _Toc234182216 \h </w:instrText>
                </w:r>
                <w:r>
                  <w:rPr>
                    <w:noProof/>
                  </w:rPr>
                </w:r>
                <w:r>
                  <w:rPr>
                    <w:noProof/>
                  </w:rPr>
                  <w:fldChar w:fldCharType="separate"/>
                </w:r>
                <w:r>
                  <w:rPr>
                    <w:noProof/>
                  </w:rPr>
                  <w:t>10</w:t>
                </w:r>
                <w:r>
                  <w:rPr>
                    <w:noProof/>
                  </w:rPr>
                  <w:fldChar w:fldCharType="end"/>
                </w:r>
              </w:hyperlink>
            </w:p>
            <w:p w14:paraId="0239C0A7" w14:textId="77777777" w:rsidR="002442F6" w:rsidRDefault="002442F6" w:rsidP="002442F6">
              <w:pPr>
                <w:pStyle w:val="TOC1"/>
                <w:tabs>
                  <w:tab w:val="right" w:leader="dot" w:pos="9402"/>
                </w:tabs>
                <w:rPr>
                  <w:noProof/>
                </w:rPr>
              </w:pPr>
              <w:hyperlink w:anchor="_Toc234182217" w:history="1">
                <w:r w:rsidRPr="00222CA1">
                  <w:rPr>
                    <w:rStyle w:val="Hyperlink"/>
                    <w:noProof/>
                  </w:rPr>
                  <w:t>9. Stratégie de test</w:t>
                </w:r>
                <w:r>
                  <w:rPr>
                    <w:noProof/>
                  </w:rPr>
                  <w:tab/>
                </w:r>
                <w:r>
                  <w:rPr>
                    <w:noProof/>
                  </w:rPr>
                  <w:fldChar w:fldCharType="begin"/>
                </w:r>
                <w:r>
                  <w:rPr>
                    <w:noProof/>
                  </w:rPr>
                  <w:instrText xml:space="preserve"> PAGEREF _Toc234182217 \h </w:instrText>
                </w:r>
                <w:r>
                  <w:rPr>
                    <w:noProof/>
                  </w:rPr>
                </w:r>
                <w:r>
                  <w:rPr>
                    <w:noProof/>
                  </w:rPr>
                  <w:fldChar w:fldCharType="separate"/>
                </w:r>
                <w:r>
                  <w:rPr>
                    <w:noProof/>
                  </w:rPr>
                  <w:t>11</w:t>
                </w:r>
                <w:r>
                  <w:rPr>
                    <w:noProof/>
                  </w:rPr>
                  <w:fldChar w:fldCharType="end"/>
                </w:r>
              </w:hyperlink>
            </w:p>
            <w:p w14:paraId="7CA07C63" w14:textId="77777777" w:rsidR="002442F6" w:rsidRDefault="002442F6" w:rsidP="002442F6">
              <w:pPr>
                <w:pStyle w:val="TOC1"/>
                <w:tabs>
                  <w:tab w:val="right" w:leader="dot" w:pos="9402"/>
                </w:tabs>
                <w:rPr>
                  <w:noProof/>
                </w:rPr>
              </w:pPr>
              <w:hyperlink w:anchor="_Toc234182218" w:history="1">
                <w:r w:rsidRPr="00222CA1">
                  <w:rPr>
                    <w:rStyle w:val="Hyperlink"/>
                    <w:noProof/>
                  </w:rPr>
                  <w:t>10. Orchestration et reproductibilité</w:t>
                </w:r>
                <w:r>
                  <w:rPr>
                    <w:noProof/>
                  </w:rPr>
                  <w:tab/>
                </w:r>
                <w:r>
                  <w:rPr>
                    <w:noProof/>
                  </w:rPr>
                  <w:fldChar w:fldCharType="begin"/>
                </w:r>
                <w:r>
                  <w:rPr>
                    <w:noProof/>
                  </w:rPr>
                  <w:instrText xml:space="preserve"> PAGEREF _Toc234182218 \h </w:instrText>
                </w:r>
                <w:r>
                  <w:rPr>
                    <w:noProof/>
                  </w:rPr>
                </w:r>
                <w:r>
                  <w:rPr>
                    <w:noProof/>
                  </w:rPr>
                  <w:fldChar w:fldCharType="separate"/>
                </w:r>
                <w:r>
                  <w:rPr>
                    <w:noProof/>
                  </w:rPr>
                  <w:t>11</w:t>
                </w:r>
                <w:r>
                  <w:rPr>
                    <w:noProof/>
                  </w:rPr>
                  <w:fldChar w:fldCharType="end"/>
                </w:r>
              </w:hyperlink>
            </w:p>
            <w:p w14:paraId="33D0EB3D" w14:textId="77777777" w:rsidR="002442F6" w:rsidRDefault="002442F6" w:rsidP="002442F6">
              <w:pPr>
                <w:pStyle w:val="TOC2"/>
                <w:tabs>
                  <w:tab w:val="right" w:leader="dot" w:pos="9402"/>
                </w:tabs>
                <w:rPr>
                  <w:noProof/>
                </w:rPr>
              </w:pPr>
              <w:hyperlink w:anchor="_Toc234182219" w:history="1">
                <w:r w:rsidRPr="00222CA1">
                  <w:rPr>
                    <w:rStyle w:val="Hyperlink"/>
                    <w:noProof/>
                  </w:rPr>
                  <w:t>10.1 Dagster — actualisation quotidienne planifiée</w:t>
                </w:r>
                <w:r>
                  <w:rPr>
                    <w:noProof/>
                  </w:rPr>
                  <w:tab/>
                </w:r>
                <w:r>
                  <w:rPr>
                    <w:noProof/>
                  </w:rPr>
                  <w:fldChar w:fldCharType="begin"/>
                </w:r>
                <w:r>
                  <w:rPr>
                    <w:noProof/>
                  </w:rPr>
                  <w:instrText xml:space="preserve"> PAGEREF _Toc234182219 \h </w:instrText>
                </w:r>
                <w:r>
                  <w:rPr>
                    <w:noProof/>
                  </w:rPr>
                </w:r>
                <w:r>
                  <w:rPr>
                    <w:noProof/>
                  </w:rPr>
                  <w:fldChar w:fldCharType="separate"/>
                </w:r>
                <w:r>
                  <w:rPr>
                    <w:noProof/>
                  </w:rPr>
                  <w:t>11</w:t>
                </w:r>
                <w:r>
                  <w:rPr>
                    <w:noProof/>
                  </w:rPr>
                  <w:fldChar w:fldCharType="end"/>
                </w:r>
              </w:hyperlink>
            </w:p>
            <w:p w14:paraId="70DD4492" w14:textId="77777777" w:rsidR="002442F6" w:rsidRDefault="002442F6" w:rsidP="002442F6">
              <w:pPr>
                <w:pStyle w:val="TOC2"/>
                <w:tabs>
                  <w:tab w:val="right" w:leader="dot" w:pos="9402"/>
                </w:tabs>
                <w:rPr>
                  <w:noProof/>
                </w:rPr>
              </w:pPr>
              <w:hyperlink w:anchor="_Toc234182220" w:history="1">
                <w:r w:rsidRPr="00222CA1">
                  <w:rPr>
                    <w:rStyle w:val="Hyperlink"/>
                    <w:noProof/>
                  </w:rPr>
                  <w:t>10.2 MLflow — traçabilité des exécutions</w:t>
                </w:r>
                <w:r>
                  <w:rPr>
                    <w:noProof/>
                  </w:rPr>
                  <w:tab/>
                </w:r>
                <w:r>
                  <w:rPr>
                    <w:noProof/>
                  </w:rPr>
                  <w:fldChar w:fldCharType="begin"/>
                </w:r>
                <w:r>
                  <w:rPr>
                    <w:noProof/>
                  </w:rPr>
                  <w:instrText xml:space="preserve"> PAGEREF _Toc234182220 \h </w:instrText>
                </w:r>
                <w:r>
                  <w:rPr>
                    <w:noProof/>
                  </w:rPr>
                </w:r>
                <w:r>
                  <w:rPr>
                    <w:noProof/>
                  </w:rPr>
                  <w:fldChar w:fldCharType="separate"/>
                </w:r>
                <w:r>
                  <w:rPr>
                    <w:noProof/>
                  </w:rPr>
                  <w:t>11</w:t>
                </w:r>
                <w:r>
                  <w:rPr>
                    <w:noProof/>
                  </w:rPr>
                  <w:fldChar w:fldCharType="end"/>
                </w:r>
              </w:hyperlink>
            </w:p>
            <w:p w14:paraId="739C84D4" w14:textId="77777777" w:rsidR="002442F6" w:rsidRDefault="002442F6" w:rsidP="002442F6">
              <w:pPr>
                <w:pStyle w:val="TOC2"/>
                <w:tabs>
                  <w:tab w:val="right" w:leader="dot" w:pos="9402"/>
                </w:tabs>
                <w:rPr>
                  <w:noProof/>
                </w:rPr>
              </w:pPr>
              <w:hyperlink w:anchor="_Toc234182221" w:history="1">
                <w:r w:rsidRPr="00222CA1">
                  <w:rPr>
                    <w:rStyle w:val="Hyperlink"/>
                    <w:noProof/>
                  </w:rPr>
                  <w:t>10.3 DVC — versionnage des données</w:t>
                </w:r>
                <w:r>
                  <w:rPr>
                    <w:noProof/>
                  </w:rPr>
                  <w:tab/>
                </w:r>
                <w:r>
                  <w:rPr>
                    <w:noProof/>
                  </w:rPr>
                  <w:fldChar w:fldCharType="begin"/>
                </w:r>
                <w:r>
                  <w:rPr>
                    <w:noProof/>
                  </w:rPr>
                  <w:instrText xml:space="preserve"> PAGEREF _Toc234182221 \h </w:instrText>
                </w:r>
                <w:r>
                  <w:rPr>
                    <w:noProof/>
                  </w:rPr>
                </w:r>
                <w:r>
                  <w:rPr>
                    <w:noProof/>
                  </w:rPr>
                  <w:fldChar w:fldCharType="separate"/>
                </w:r>
                <w:r>
                  <w:rPr>
                    <w:noProof/>
                  </w:rPr>
                  <w:t>12</w:t>
                </w:r>
                <w:r>
                  <w:rPr>
                    <w:noProof/>
                  </w:rPr>
                  <w:fldChar w:fldCharType="end"/>
                </w:r>
              </w:hyperlink>
            </w:p>
            <w:p w14:paraId="56A0B984" w14:textId="77777777" w:rsidR="002442F6" w:rsidRDefault="002442F6" w:rsidP="002442F6">
              <w:pPr>
                <w:pStyle w:val="TOC1"/>
                <w:tabs>
                  <w:tab w:val="right" w:leader="dot" w:pos="9402"/>
                </w:tabs>
                <w:rPr>
                  <w:noProof/>
                </w:rPr>
              </w:pPr>
              <w:hyperlink w:anchor="_Toc234182222" w:history="1">
                <w:r w:rsidRPr="00222CA1">
                  <w:rPr>
                    <w:rStyle w:val="Hyperlink"/>
                    <w:noProof/>
                  </w:rPr>
                  <w:t>11. Limitations connues et registre des incidents</w:t>
                </w:r>
                <w:r>
                  <w:rPr>
                    <w:noProof/>
                  </w:rPr>
                  <w:tab/>
                </w:r>
                <w:r>
                  <w:rPr>
                    <w:noProof/>
                  </w:rPr>
                  <w:fldChar w:fldCharType="begin"/>
                </w:r>
                <w:r>
                  <w:rPr>
                    <w:noProof/>
                  </w:rPr>
                  <w:instrText xml:space="preserve"> PAGEREF _Toc234182222 \h </w:instrText>
                </w:r>
                <w:r>
                  <w:rPr>
                    <w:noProof/>
                  </w:rPr>
                </w:r>
                <w:r>
                  <w:rPr>
                    <w:noProof/>
                  </w:rPr>
                  <w:fldChar w:fldCharType="separate"/>
                </w:r>
                <w:r>
                  <w:rPr>
                    <w:noProof/>
                  </w:rPr>
                  <w:t>13</w:t>
                </w:r>
                <w:r>
                  <w:rPr>
                    <w:noProof/>
                  </w:rPr>
                  <w:fldChar w:fldCharType="end"/>
                </w:r>
              </w:hyperlink>
            </w:p>
            <w:p w14:paraId="6EF9EA92" w14:textId="77777777" w:rsidR="002442F6" w:rsidRDefault="002442F6" w:rsidP="002442F6">
              <w:pPr>
                <w:pStyle w:val="TOC2"/>
                <w:tabs>
                  <w:tab w:val="right" w:leader="dot" w:pos="9402"/>
                </w:tabs>
                <w:rPr>
                  <w:noProof/>
                </w:rPr>
              </w:pPr>
              <w:hyperlink w:anchor="_Toc234182223" w:history="1">
                <w:r w:rsidRPr="00222CA1">
                  <w:rPr>
                    <w:rStyle w:val="Hyperlink"/>
                    <w:noProof/>
                  </w:rPr>
                  <w:t>11.1 La source BVC est une fenêtre glissante (incident majeur, résolu)</w:t>
                </w:r>
                <w:r>
                  <w:rPr>
                    <w:noProof/>
                  </w:rPr>
                  <w:tab/>
                </w:r>
                <w:r>
                  <w:rPr>
                    <w:noProof/>
                  </w:rPr>
                  <w:fldChar w:fldCharType="begin"/>
                </w:r>
                <w:r>
                  <w:rPr>
                    <w:noProof/>
                  </w:rPr>
                  <w:instrText xml:space="preserve"> PAGEREF _Toc234182223 \h </w:instrText>
                </w:r>
                <w:r>
                  <w:rPr>
                    <w:noProof/>
                  </w:rPr>
                </w:r>
                <w:r>
                  <w:rPr>
                    <w:noProof/>
                  </w:rPr>
                  <w:fldChar w:fldCharType="separate"/>
                </w:r>
                <w:r>
                  <w:rPr>
                    <w:noProof/>
                  </w:rPr>
                  <w:t>13</w:t>
                </w:r>
                <w:r>
                  <w:rPr>
                    <w:noProof/>
                  </w:rPr>
                  <w:fldChar w:fldCharType="end"/>
                </w:r>
              </w:hyperlink>
            </w:p>
            <w:p w14:paraId="04A8D948" w14:textId="77777777" w:rsidR="002442F6" w:rsidRDefault="002442F6" w:rsidP="002442F6">
              <w:pPr>
                <w:pStyle w:val="TOC2"/>
                <w:tabs>
                  <w:tab w:val="right" w:leader="dot" w:pos="9402"/>
                </w:tabs>
                <w:rPr>
                  <w:noProof/>
                </w:rPr>
              </w:pPr>
              <w:hyperlink w:anchor="_Toc234182224" w:history="1">
                <w:r w:rsidRPr="00222CA1">
                  <w:rPr>
                    <w:rStyle w:val="Hyperlink"/>
                    <w:noProof/>
                  </w:rPr>
                  <w:t>11.2 FRED a restreint la série de spread haut rendement (résolu)</w:t>
                </w:r>
                <w:r>
                  <w:rPr>
                    <w:noProof/>
                  </w:rPr>
                  <w:tab/>
                </w:r>
                <w:r>
                  <w:rPr>
                    <w:noProof/>
                  </w:rPr>
                  <w:fldChar w:fldCharType="begin"/>
                </w:r>
                <w:r>
                  <w:rPr>
                    <w:noProof/>
                  </w:rPr>
                  <w:instrText xml:space="preserve"> PAGEREF _Toc234182224 \h </w:instrText>
                </w:r>
                <w:r>
                  <w:rPr>
                    <w:noProof/>
                  </w:rPr>
                </w:r>
                <w:r>
                  <w:rPr>
                    <w:noProof/>
                  </w:rPr>
                  <w:fldChar w:fldCharType="separate"/>
                </w:r>
                <w:r>
                  <w:rPr>
                    <w:noProof/>
                  </w:rPr>
                  <w:t>13</w:t>
                </w:r>
                <w:r>
                  <w:rPr>
                    <w:noProof/>
                  </w:rPr>
                  <w:fldChar w:fldCharType="end"/>
                </w:r>
              </w:hyperlink>
            </w:p>
            <w:p w14:paraId="5CA44465" w14:textId="77777777" w:rsidR="002442F6" w:rsidRDefault="002442F6" w:rsidP="002442F6">
              <w:pPr>
                <w:pStyle w:val="TOC2"/>
                <w:tabs>
                  <w:tab w:val="right" w:leader="dot" w:pos="9402"/>
                </w:tabs>
                <w:rPr>
                  <w:noProof/>
                </w:rPr>
              </w:pPr>
              <w:hyperlink w:anchor="_Toc234182225" w:history="1">
                <w:r w:rsidRPr="00222CA1">
                  <w:rPr>
                    <w:rStyle w:val="Hyperlink"/>
                    <w:noProof/>
                  </w:rPr>
                  <w:t>11.3 Le taux directeur BAM est maintenu à la main (assumé, encadré)</w:t>
                </w:r>
                <w:r>
                  <w:rPr>
                    <w:noProof/>
                  </w:rPr>
                  <w:tab/>
                </w:r>
                <w:r>
                  <w:rPr>
                    <w:noProof/>
                  </w:rPr>
                  <w:fldChar w:fldCharType="begin"/>
                </w:r>
                <w:r>
                  <w:rPr>
                    <w:noProof/>
                  </w:rPr>
                  <w:instrText xml:space="preserve"> PAGEREF _Toc234182225 \h </w:instrText>
                </w:r>
                <w:r>
                  <w:rPr>
                    <w:noProof/>
                  </w:rPr>
                </w:r>
                <w:r>
                  <w:rPr>
                    <w:noProof/>
                  </w:rPr>
                  <w:fldChar w:fldCharType="separate"/>
                </w:r>
                <w:r>
                  <w:rPr>
                    <w:noProof/>
                  </w:rPr>
                  <w:t>13</w:t>
                </w:r>
                <w:r>
                  <w:rPr>
                    <w:noProof/>
                  </w:rPr>
                  <w:fldChar w:fldCharType="end"/>
                </w:r>
              </w:hyperlink>
            </w:p>
            <w:p w14:paraId="24E0BB19" w14:textId="77777777" w:rsidR="002442F6" w:rsidRDefault="002442F6" w:rsidP="002442F6">
              <w:pPr>
                <w:pStyle w:val="TOC2"/>
                <w:tabs>
                  <w:tab w:val="right" w:leader="dot" w:pos="9402"/>
                </w:tabs>
                <w:rPr>
                  <w:noProof/>
                </w:rPr>
              </w:pPr>
              <w:hyperlink w:anchor="_Toc234182226" w:history="1">
                <w:r w:rsidRPr="00222CA1">
                  <w:rPr>
                    <w:rStyle w:val="Hyperlink"/>
                    <w:noProof/>
                  </w:rPr>
                  <w:t>11.4 La troncature d’alignement était silencieuse (résolu)</w:t>
                </w:r>
                <w:r>
                  <w:rPr>
                    <w:noProof/>
                  </w:rPr>
                  <w:tab/>
                </w:r>
                <w:r>
                  <w:rPr>
                    <w:noProof/>
                  </w:rPr>
                  <w:fldChar w:fldCharType="begin"/>
                </w:r>
                <w:r>
                  <w:rPr>
                    <w:noProof/>
                  </w:rPr>
                  <w:instrText xml:space="preserve"> PAGEREF _Toc234182226 \h </w:instrText>
                </w:r>
                <w:r>
                  <w:rPr>
                    <w:noProof/>
                  </w:rPr>
                </w:r>
                <w:r>
                  <w:rPr>
                    <w:noProof/>
                  </w:rPr>
                  <w:fldChar w:fldCharType="separate"/>
                </w:r>
                <w:r>
                  <w:rPr>
                    <w:noProof/>
                  </w:rPr>
                  <w:t>13</w:t>
                </w:r>
                <w:r>
                  <w:rPr>
                    <w:noProof/>
                  </w:rPr>
                  <w:fldChar w:fldCharType="end"/>
                </w:r>
              </w:hyperlink>
            </w:p>
            <w:p w14:paraId="5C7670D7" w14:textId="77777777" w:rsidR="002442F6" w:rsidRDefault="002442F6" w:rsidP="002442F6">
              <w:pPr>
                <w:pStyle w:val="TOC2"/>
                <w:tabs>
                  <w:tab w:val="right" w:leader="dot" w:pos="9402"/>
                </w:tabs>
                <w:rPr>
                  <w:noProof/>
                </w:rPr>
              </w:pPr>
              <w:hyperlink w:anchor="_Toc234182227" w:history="1">
                <w:r w:rsidRPr="00222CA1">
                  <w:rPr>
                    <w:rStyle w:val="Hyperlink"/>
                    <w:noProof/>
                  </w:rPr>
                  <w:t>11.5 Une conclusion de l’EDA a été rétract</w:t>
                </w:r>
                <w:r w:rsidRPr="00222CA1">
                  <w:rPr>
                    <w:rStyle w:val="Hyperlink"/>
                    <w:noProof/>
                  </w:rPr>
                  <w:t>é</w:t>
                </w:r>
                <w:r w:rsidRPr="00222CA1">
                  <w:rPr>
                    <w:rStyle w:val="Hyperlink"/>
                    <w:noProof/>
                  </w:rPr>
                  <w:t>e (transparence)</w:t>
                </w:r>
                <w:r>
                  <w:rPr>
                    <w:noProof/>
                  </w:rPr>
                  <w:tab/>
                </w:r>
                <w:r>
                  <w:rPr>
                    <w:noProof/>
                  </w:rPr>
                  <w:fldChar w:fldCharType="begin"/>
                </w:r>
                <w:r>
                  <w:rPr>
                    <w:noProof/>
                  </w:rPr>
                  <w:instrText xml:space="preserve"> PAGEREF _Toc234182227 \h </w:instrText>
                </w:r>
                <w:r>
                  <w:rPr>
                    <w:noProof/>
                  </w:rPr>
                </w:r>
                <w:r>
                  <w:rPr>
                    <w:noProof/>
                  </w:rPr>
                  <w:fldChar w:fldCharType="separate"/>
                </w:r>
                <w:r>
                  <w:rPr>
                    <w:noProof/>
                  </w:rPr>
                  <w:t>13</w:t>
                </w:r>
                <w:r>
                  <w:rPr>
                    <w:noProof/>
                  </w:rPr>
                  <w:fldChar w:fldCharType="end"/>
                </w:r>
              </w:hyperlink>
            </w:p>
            <w:p w14:paraId="46D3E23D" w14:textId="77777777" w:rsidR="002442F6" w:rsidRDefault="002442F6" w:rsidP="002442F6">
              <w:pPr>
                <w:pStyle w:val="TOC2"/>
                <w:tabs>
                  <w:tab w:val="right" w:leader="dot" w:pos="9402"/>
                </w:tabs>
                <w:rPr>
                  <w:noProof/>
                </w:rPr>
              </w:pPr>
              <w:hyperlink w:anchor="_Toc234182228" w:history="1">
                <w:r w:rsidRPr="00222CA1">
                  <w:rPr>
                    <w:rStyle w:val="Hyperlink"/>
                    <w:noProof/>
                  </w:rPr>
                  <w:t>11.6 Points ouverts (décisions d’équipe)</w:t>
                </w:r>
                <w:r>
                  <w:rPr>
                    <w:noProof/>
                  </w:rPr>
                  <w:tab/>
                </w:r>
                <w:r>
                  <w:rPr>
                    <w:noProof/>
                  </w:rPr>
                  <w:fldChar w:fldCharType="begin"/>
                </w:r>
                <w:r>
                  <w:rPr>
                    <w:noProof/>
                  </w:rPr>
                  <w:instrText xml:space="preserve"> PAGEREF _Toc234182228 \h </w:instrText>
                </w:r>
                <w:r>
                  <w:rPr>
                    <w:noProof/>
                  </w:rPr>
                </w:r>
                <w:r>
                  <w:rPr>
                    <w:noProof/>
                  </w:rPr>
                  <w:fldChar w:fldCharType="separate"/>
                </w:r>
                <w:r>
                  <w:rPr>
                    <w:noProof/>
                  </w:rPr>
                  <w:t>14</w:t>
                </w:r>
                <w:r>
                  <w:rPr>
                    <w:noProof/>
                  </w:rPr>
                  <w:fldChar w:fldCharType="end"/>
                </w:r>
              </w:hyperlink>
            </w:p>
            <w:p w14:paraId="499B1AD9" w14:textId="77777777" w:rsidR="002442F6" w:rsidRDefault="002442F6" w:rsidP="002442F6">
              <w:pPr>
                <w:pStyle w:val="TOC1"/>
                <w:tabs>
                  <w:tab w:val="right" w:leader="dot" w:pos="9402"/>
                </w:tabs>
                <w:rPr>
                  <w:noProof/>
                </w:rPr>
              </w:pPr>
              <w:hyperlink w:anchor="_Toc234182229" w:history="1">
                <w:r w:rsidRPr="00222CA1">
                  <w:rPr>
                    <w:rStyle w:val="Hyperlink"/>
                    <w:noProof/>
                  </w:rPr>
                  <w:t>12. Traçabilité P1–P4</w:t>
                </w:r>
                <w:r>
                  <w:rPr>
                    <w:noProof/>
                  </w:rPr>
                  <w:tab/>
                </w:r>
                <w:r>
                  <w:rPr>
                    <w:noProof/>
                  </w:rPr>
                  <w:fldChar w:fldCharType="begin"/>
                </w:r>
                <w:r>
                  <w:rPr>
                    <w:noProof/>
                  </w:rPr>
                  <w:instrText xml:space="preserve"> PAGEREF _Toc234182229 \h </w:instrText>
                </w:r>
                <w:r>
                  <w:rPr>
                    <w:noProof/>
                  </w:rPr>
                </w:r>
                <w:r>
                  <w:rPr>
                    <w:noProof/>
                  </w:rPr>
                  <w:fldChar w:fldCharType="separate"/>
                </w:r>
                <w:r>
                  <w:rPr>
                    <w:noProof/>
                  </w:rPr>
                  <w:t>15</w:t>
                </w:r>
                <w:r>
                  <w:rPr>
                    <w:noProof/>
                  </w:rPr>
                  <w:fldChar w:fldCharType="end"/>
                </w:r>
              </w:hyperlink>
            </w:p>
            <w:p w14:paraId="5E61C4C2" w14:textId="77777777" w:rsidR="002442F6" w:rsidRDefault="002442F6" w:rsidP="002442F6">
              <w:pPr>
                <w:pStyle w:val="TOC1"/>
                <w:tabs>
                  <w:tab w:val="right" w:leader="dot" w:pos="9402"/>
                </w:tabs>
                <w:rPr>
                  <w:noProof/>
                </w:rPr>
              </w:pPr>
              <w:hyperlink w:anchor="_Toc234182230" w:history="1">
                <w:r w:rsidRPr="00222CA1">
                  <w:rPr>
                    <w:rStyle w:val="Hyperlink"/>
                    <w:noProof/>
                  </w:rPr>
                  <w:t>13. Transition vers la Phase 2</w:t>
                </w:r>
                <w:r>
                  <w:rPr>
                    <w:noProof/>
                  </w:rPr>
                  <w:tab/>
                </w:r>
                <w:r>
                  <w:rPr>
                    <w:noProof/>
                  </w:rPr>
                  <w:fldChar w:fldCharType="begin"/>
                </w:r>
                <w:r>
                  <w:rPr>
                    <w:noProof/>
                  </w:rPr>
                  <w:instrText xml:space="preserve"> PAGEREF _Toc234182230 \h </w:instrText>
                </w:r>
                <w:r>
                  <w:rPr>
                    <w:noProof/>
                  </w:rPr>
                </w:r>
                <w:r>
                  <w:rPr>
                    <w:noProof/>
                  </w:rPr>
                  <w:fldChar w:fldCharType="separate"/>
                </w:r>
                <w:r>
                  <w:rPr>
                    <w:noProof/>
                  </w:rPr>
                  <w:t>15</w:t>
                </w:r>
                <w:r>
                  <w:rPr>
                    <w:noProof/>
                  </w:rPr>
                  <w:fldChar w:fldCharType="end"/>
                </w:r>
              </w:hyperlink>
            </w:p>
            <w:p w14:paraId="67C61CB8" w14:textId="77777777" w:rsidR="002442F6" w:rsidRDefault="002442F6" w:rsidP="002442F6">
              <w:pPr>
                <w:pStyle w:val="TOC1"/>
                <w:tabs>
                  <w:tab w:val="right" w:leader="dot" w:pos="9402"/>
                </w:tabs>
                <w:rPr>
                  <w:noProof/>
                </w:rPr>
              </w:pPr>
              <w:hyperlink w:anchor="_Toc234182231" w:history="1">
                <w:r w:rsidRPr="00222CA1">
                  <w:rPr>
                    <w:rStyle w:val="Hyperlink"/>
                    <w:noProof/>
                  </w:rPr>
                  <w:t>Annexe A — Structure du dépôt</w:t>
                </w:r>
                <w:r>
                  <w:rPr>
                    <w:noProof/>
                  </w:rPr>
                  <w:tab/>
                </w:r>
                <w:r>
                  <w:rPr>
                    <w:noProof/>
                  </w:rPr>
                  <w:fldChar w:fldCharType="begin"/>
                </w:r>
                <w:r>
                  <w:rPr>
                    <w:noProof/>
                  </w:rPr>
                  <w:instrText xml:space="preserve"> PAGEREF _Toc234182231 \h </w:instrText>
                </w:r>
                <w:r>
                  <w:rPr>
                    <w:noProof/>
                  </w:rPr>
                </w:r>
                <w:r>
                  <w:rPr>
                    <w:noProof/>
                  </w:rPr>
                  <w:fldChar w:fldCharType="separate"/>
                </w:r>
                <w:r>
                  <w:rPr>
                    <w:noProof/>
                  </w:rPr>
                  <w:t>15</w:t>
                </w:r>
                <w:r>
                  <w:rPr>
                    <w:noProof/>
                  </w:rPr>
                  <w:fldChar w:fldCharType="end"/>
                </w:r>
              </w:hyperlink>
            </w:p>
            <w:p w14:paraId="36489B4E" w14:textId="77777777" w:rsidR="002442F6" w:rsidRDefault="002442F6" w:rsidP="002442F6">
              <w:pPr>
                <w:pStyle w:val="TOC1"/>
                <w:tabs>
                  <w:tab w:val="right" w:leader="dot" w:pos="9402"/>
                </w:tabs>
                <w:rPr>
                  <w:noProof/>
                </w:rPr>
              </w:pPr>
              <w:hyperlink w:anchor="_Toc234182232" w:history="1">
                <w:r w:rsidRPr="00222CA1">
                  <w:rPr>
                    <w:rStyle w:val="Hyperlink"/>
                    <w:noProof/>
                  </w:rPr>
                  <w:t>Annexe B — Commandes de référence</w:t>
                </w:r>
                <w:r>
                  <w:rPr>
                    <w:noProof/>
                  </w:rPr>
                  <w:tab/>
                </w:r>
                <w:r>
                  <w:rPr>
                    <w:noProof/>
                  </w:rPr>
                  <w:fldChar w:fldCharType="begin"/>
                </w:r>
                <w:r>
                  <w:rPr>
                    <w:noProof/>
                  </w:rPr>
                  <w:instrText xml:space="preserve"> PAGEREF _Toc234182232 \h </w:instrText>
                </w:r>
                <w:r>
                  <w:rPr>
                    <w:noProof/>
                  </w:rPr>
                </w:r>
                <w:r>
                  <w:rPr>
                    <w:noProof/>
                  </w:rPr>
                  <w:fldChar w:fldCharType="separate"/>
                </w:r>
                <w:r>
                  <w:rPr>
                    <w:noProof/>
                  </w:rPr>
                  <w:t>15</w:t>
                </w:r>
                <w:r>
                  <w:rPr>
                    <w:noProof/>
                  </w:rPr>
                  <w:fldChar w:fldCharType="end"/>
                </w:r>
              </w:hyperlink>
            </w:p>
            <w:p w14:paraId="3B6A0049" w14:textId="18C96BF7" w:rsidR="00885399" w:rsidRDefault="002442F6" w:rsidP="00885399">
              <w:pPr>
                <w:tabs>
                  <w:tab w:val="right" w:pos="9412"/>
                </w:tabs>
              </w:pPr>
              <w:r>
                <w:fldChar w:fldCharType="end"/>
              </w:r>
            </w:p>
          </w:sdtContent>
        </w:sdt>
      </w:sdtContent>
    </w:sdt>
    <w:p w14:paraId="74D1AFC5" w14:textId="7BB3CA6F" w:rsidR="00AB3F6E" w:rsidRDefault="00000000" w:rsidP="002442F6">
      <w:pPr>
        <w:tabs>
          <w:tab w:val="right" w:pos="9412"/>
        </w:tabs>
      </w:pPr>
      <w:r w:rsidRPr="00885399">
        <w:br w:type="page"/>
      </w:r>
      <w:bookmarkStart w:id="0" w:name="_Toc234182195"/>
      <w:r>
        <w:lastRenderedPageBreak/>
        <w:t>1. Résumé exécutif</w:t>
      </w:r>
      <w:bookmarkEnd w:id="0"/>
    </w:p>
    <w:p w14:paraId="2B511C4B" w14:textId="77777777" w:rsidR="00AB3F6E" w:rsidRDefault="00000000">
      <w:pPr>
        <w:spacing w:after="120"/>
      </w:pPr>
      <w:r>
        <w:t xml:space="preserve">La Phase 1 du projet est </w:t>
      </w:r>
      <w:r>
        <w:rPr>
          <w:b/>
          <w:bCs/>
        </w:rPr>
        <w:t>terminée et validée sur données réelles</w:t>
      </w:r>
      <w:r>
        <w:t xml:space="preserve">. Elle livre une infrastructure de données complète, reproductible et testée, qui transforme quatre sources hétérogènes (Yahoo Finance, FRED, medias24/BVCscrap, Bank Al-Maghrib) en une matrice de log-rendements propre, prête pour la modélisation : </w:t>
      </w:r>
      <w:r>
        <w:rPr>
          <w:b/>
          <w:bCs/>
        </w:rPr>
        <w:t>1 305 jours de bourse × 9 actifs, zéro valeur manquante, validation Pandera réussie, 8 actifs sur 9 confirmés stationnaires</w:t>
      </w:r>
      <w:r>
        <w:t>.</w:t>
      </w:r>
    </w:p>
    <w:p w14:paraId="61B72928" w14:textId="77777777" w:rsidR="00AB3F6E" w:rsidRDefault="00000000">
      <w:pPr>
        <w:spacing w:after="120"/>
      </w:pPr>
      <w:r>
        <w:t xml:space="preserve">Le livrable ne se limite pas à un script de téléchargement. Il comprend : une architecture Médaillon à trois couches (Bronze/Silver/Gold) garantissant la traçabilité de chaque transformation ; des contrats de données exécutables (Pandera) ; </w:t>
      </w:r>
      <w:r>
        <w:rPr>
          <w:b/>
          <w:bCs/>
        </w:rPr>
        <w:t>52 tests automatisés</w:t>
      </w:r>
      <w:r>
        <w:t xml:space="preserve"> hors-ligne couvrant chaque fonction, y compris un test d’intégration de bout en bout ; l’orchestration planifiée (Dagster) ; le versionnage des données (DVC) ; et le suivi d’expériences (MLflow).</w:t>
      </w:r>
    </w:p>
    <w:p w14:paraId="4AB2E169" w14:textId="77777777" w:rsidR="00AB3F6E" w:rsidRDefault="00000000">
      <w:pPr>
        <w:spacing w:after="120"/>
      </w:pPr>
      <w:r>
        <w:t xml:space="preserve">La contrainte directrice de tout le projet — </w:t>
      </w:r>
      <w:r>
        <w:rPr>
          <w:b/>
          <w:bCs/>
        </w:rPr>
        <w:t>aucun biais de lookahead</w:t>
      </w:r>
      <w:r>
        <w:t xml:space="preserve"> (aucune information future ne peut influencer une décision passée) — est appliquée structurellement dès cette phase : remplissage des trous de calendrier uniquement vers l’avant, décalage obligatoire d’un jour des variables macro (imposé par une exception levée dans le code, pas par une convention), et tests dédiés qui verrouillent ces règles.</w:t>
      </w:r>
    </w:p>
    <w:p w14:paraId="4B7E58FA" w14:textId="77777777" w:rsidR="00AB3F6E" w:rsidRDefault="00000000">
      <w:pPr>
        <w:spacing w:after="120"/>
      </w:pPr>
      <w:r>
        <w:t>Ce document présente en profondeur l’architecture, chaque choix de conception avec sa justification (« nous avons choisi X plutôt que Y parce que Z »), le code module par module, la stratégie de test, ainsi qu’un registre honnête des limitations et incidents rencontrés et de leur résolution.</w:t>
      </w:r>
    </w:p>
    <w:p w14:paraId="492854DF" w14:textId="77777777" w:rsidR="00AB3F6E" w:rsidRDefault="00000000">
      <w:pPr>
        <w:pStyle w:val="Heading1"/>
      </w:pPr>
      <w:bookmarkStart w:id="1" w:name="_Toc234182196"/>
      <w:r>
        <w:t>2. Contexte et problématique</w:t>
      </w:r>
      <w:bookmarkEnd w:id="1"/>
    </w:p>
    <w:p w14:paraId="2B4CD7FD" w14:textId="77777777" w:rsidR="00AB3F6E" w:rsidRDefault="00000000">
      <w:pPr>
        <w:spacing w:after="120"/>
      </w:pPr>
      <w:r>
        <w:t xml:space="preserve">L’objectif du projet est de construire un système d’allocation de portefeuille piloté par le Machine Learning, corrigeant quatre faiblesses structurelles de la théorie moderne du portefeuille (Markowitz/MPT). Ces quatre problèmes sont le fil conducteur de tout le projet : </w:t>
      </w:r>
      <w:r>
        <w:rPr>
          <w:b/>
          <w:bCs/>
        </w:rPr>
        <w:t>chaque fonction du code doit se rattacher explicitement à au moins l’un d’eux</w:t>
      </w:r>
      <w:r>
        <w:t xml:space="preserve"> (exigence de traçabilité, cf. section 12).</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712"/>
      </w:tblGrid>
      <w:tr w:rsidR="00AB3F6E" w14:paraId="11FDEF37" w14:textId="77777777">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E06CABE" w14:textId="77777777" w:rsidR="00AB3F6E" w:rsidRDefault="00000000">
            <w:r>
              <w:rPr>
                <w:b/>
                <w:bCs/>
                <w:color w:val="FFFFFF"/>
                <w:sz w:val="19"/>
                <w:szCs w:val="19"/>
              </w:rPr>
              <w:t>ID</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59CBFF4" w14:textId="77777777" w:rsidR="00AB3F6E" w:rsidRDefault="00000000">
            <w:r>
              <w:rPr>
                <w:b/>
                <w:bCs/>
                <w:color w:val="FFFFFF"/>
                <w:sz w:val="19"/>
                <w:szCs w:val="19"/>
              </w:rPr>
              <w:t>Problème</w:t>
            </w:r>
          </w:p>
        </w:tc>
        <w:tc>
          <w:tcPr>
            <w:tcW w:w="571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097CC0D2" w14:textId="77777777" w:rsidR="00AB3F6E" w:rsidRDefault="00000000">
            <w:r>
              <w:rPr>
                <w:b/>
                <w:bCs/>
                <w:color w:val="FFFFFF"/>
                <w:sz w:val="19"/>
                <w:szCs w:val="19"/>
              </w:rPr>
              <w:t>Conséquence en production</w:t>
            </w:r>
          </w:p>
        </w:tc>
      </w:tr>
      <w:tr w:rsidR="00AB3F6E" w14:paraId="65E458A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CEC9ED" w14:textId="77777777" w:rsidR="00AB3F6E" w:rsidRDefault="00000000">
            <w:r>
              <w:rPr>
                <w:sz w:val="19"/>
                <w:szCs w:val="19"/>
              </w:rPr>
              <w:t>P1</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2564BB" w14:textId="77777777" w:rsidR="00AB3F6E" w:rsidRDefault="00000000">
            <w:r>
              <w:rPr>
                <w:sz w:val="19"/>
                <w:szCs w:val="19"/>
              </w:rPr>
              <w:t>Estimation bruitée de la covariance</w:t>
            </w:r>
          </w:p>
        </w:tc>
        <w:tc>
          <w:tcPr>
            <w:tcW w:w="57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965FC2" w14:textId="77777777" w:rsidR="00AB3F6E" w:rsidRDefault="00000000">
            <w:r>
              <w:rPr>
                <w:sz w:val="19"/>
                <w:szCs w:val="19"/>
              </w:rPr>
              <w:t>La covariance empirique amplifie l’erreur d’estimation : portefeuilles concentrés et instables, optimaux in-sample mais qui s’effondrent out-of-sample.</w:t>
            </w:r>
          </w:p>
        </w:tc>
      </w:tr>
      <w:tr w:rsidR="00AB3F6E" w14:paraId="117EB56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42B2F28" w14:textId="77777777" w:rsidR="00AB3F6E" w:rsidRDefault="00000000">
            <w:r>
              <w:rPr>
                <w:sz w:val="19"/>
                <w:szCs w:val="19"/>
              </w:rPr>
              <w:t>P2</w:t>
            </w:r>
          </w:p>
        </w:tc>
        <w:tc>
          <w:tcPr>
            <w:tcW w:w="28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7BCD57F" w14:textId="77777777" w:rsidR="00AB3F6E" w:rsidRDefault="00000000">
            <w:r>
              <w:rPr>
                <w:sz w:val="19"/>
                <w:szCs w:val="19"/>
              </w:rPr>
              <w:t>Non-stationnarité des séries financières</w:t>
            </w:r>
          </w:p>
        </w:tc>
        <w:tc>
          <w:tcPr>
            <w:tcW w:w="57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725712F2" w14:textId="77777777" w:rsidR="00AB3F6E" w:rsidRDefault="00000000">
            <w:r>
              <w:rPr>
                <w:sz w:val="19"/>
                <w:szCs w:val="19"/>
              </w:rPr>
              <w:t>Volatilité en grappes, régimes changeants, queues épaisses : des paramètres estimés sur une période ne sont plus valides sur la suivante.</w:t>
            </w:r>
          </w:p>
        </w:tc>
      </w:tr>
      <w:tr w:rsidR="00AB3F6E" w14:paraId="087F57A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019153" w14:textId="77777777" w:rsidR="00AB3F6E" w:rsidRDefault="00000000">
            <w:r>
              <w:rPr>
                <w:sz w:val="19"/>
                <w:szCs w:val="19"/>
              </w:rPr>
              <w:t>P3</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30E861" w14:textId="77777777" w:rsidR="00AB3F6E" w:rsidRDefault="00000000">
            <w:r>
              <w:rPr>
                <w:sz w:val="19"/>
                <w:szCs w:val="19"/>
              </w:rPr>
              <w:t>Rupture de la diversification en crise</w:t>
            </w:r>
          </w:p>
        </w:tc>
        <w:tc>
          <w:tcPr>
            <w:tcW w:w="57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4FB92A" w14:textId="77777777" w:rsidR="00AB3F6E" w:rsidRDefault="00000000">
            <w:r>
              <w:rPr>
                <w:sz w:val="19"/>
                <w:szCs w:val="19"/>
              </w:rPr>
              <w:t>Les corrélations entre actifs explosent précisément quand la diversification est la plus nécessaire.</w:t>
            </w:r>
          </w:p>
        </w:tc>
      </w:tr>
      <w:tr w:rsidR="00AB3F6E" w14:paraId="1A7128E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18516706" w14:textId="77777777" w:rsidR="00AB3F6E" w:rsidRDefault="00000000">
            <w:r>
              <w:rPr>
                <w:sz w:val="19"/>
                <w:szCs w:val="19"/>
              </w:rPr>
              <w:t>P4</w:t>
            </w:r>
          </w:p>
        </w:tc>
        <w:tc>
          <w:tcPr>
            <w:tcW w:w="28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5EA191D" w14:textId="77777777" w:rsidR="00AB3F6E" w:rsidRDefault="00000000">
            <w:r>
              <w:rPr>
                <w:sz w:val="19"/>
                <w:szCs w:val="19"/>
              </w:rPr>
              <w:t>Surapprentissage du backtesting</w:t>
            </w:r>
          </w:p>
        </w:tc>
        <w:tc>
          <w:tcPr>
            <w:tcW w:w="57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0D22F67" w14:textId="77777777" w:rsidR="00AB3F6E" w:rsidRDefault="00000000">
            <w:r>
              <w:rPr>
                <w:sz w:val="19"/>
                <w:szCs w:val="19"/>
              </w:rPr>
              <w:t>Biais de lookahead et tests répétés sur les mêmes données gonflent les performances apparentes ; les ratios de Sharpe publiés ne se reproduisent pas en réel.</w:t>
            </w:r>
          </w:p>
        </w:tc>
      </w:tr>
    </w:tbl>
    <w:p w14:paraId="023C1A3E" w14:textId="77777777" w:rsidR="00AB3F6E" w:rsidRDefault="00AB3F6E">
      <w:pPr>
        <w:spacing w:after="120"/>
      </w:pPr>
    </w:p>
    <w:p w14:paraId="56C76B17" w14:textId="77777777" w:rsidR="00AB3F6E" w:rsidRDefault="00000000">
      <w:pPr>
        <w:spacing w:after="120"/>
      </w:pPr>
      <w:r>
        <w:t xml:space="preserve">La Phase 1 répond à une question préalable : </w:t>
      </w:r>
      <w:r>
        <w:rPr>
          <w:i/>
          <w:iCs/>
        </w:rPr>
        <w:t>aucun de ces problèmes ne peut être traité si les données d’entrée sont fausses, mal alignées ou contaminées par le futur.</w:t>
      </w:r>
      <w:r>
        <w:t xml:space="preserve"> Une matrice de rendements mal construite produit des poids de portefeuille qui ont l’air optimaux — les erreurs sont silencieuses. L’infrastructure de la Phase 1 existe pour que chaque résultat des phases suivantes soit défendable.</w:t>
      </w:r>
    </w:p>
    <w:p w14:paraId="3B643A25" w14:textId="77777777" w:rsidR="00AB3F6E" w:rsidRDefault="00000000">
      <w:pPr>
        <w:pStyle w:val="Heading1"/>
      </w:pPr>
      <w:bookmarkStart w:id="2" w:name="_Toc234182197"/>
      <w:r>
        <w:t>3. Périmètre et livrables de la Phase 1</w:t>
      </w:r>
      <w:bookmarkEnd w:id="2"/>
    </w:p>
    <w:p w14:paraId="0F177C01" w14:textId="77777777" w:rsidR="00AB3F6E" w:rsidRDefault="00000000">
      <w:pPr>
        <w:pStyle w:val="ListParagraph"/>
        <w:numPr>
          <w:ilvl w:val="0"/>
          <w:numId w:val="2"/>
        </w:numPr>
        <w:spacing w:after="60"/>
      </w:pPr>
      <w:r>
        <w:rPr>
          <w:b/>
          <w:bCs/>
        </w:rPr>
        <w:t>Couche Gold validée</w:t>
      </w:r>
      <w:r>
        <w:t xml:space="preserve"> : data/gold/log_returns.parquet (matrice 1 305 jours × 9 actifs, du 02/07/2021 au 02/07/2026) et data/gold/log_returns_etf.parquet (univers ETF, 2 477 jours depuis 2017, préparé pour la Phase 2) ;</w:t>
      </w:r>
    </w:p>
    <w:p w14:paraId="12FCEEAF" w14:textId="77777777" w:rsidR="00AB3F6E" w:rsidRDefault="00000000">
      <w:pPr>
        <w:pStyle w:val="ListParagraph"/>
        <w:numPr>
          <w:ilvl w:val="0"/>
          <w:numId w:val="2"/>
        </w:numPr>
        <w:spacing w:after="60"/>
      </w:pPr>
      <w:r>
        <w:rPr>
          <w:b/>
          <w:bCs/>
        </w:rPr>
        <w:t>Variables macro prêtes pour le ML</w:t>
      </w:r>
      <w:r>
        <w:t xml:space="preserve"> : 7 séries (VIX, US10Y, DXY, CREDIT_SPREAD, USDMAD, EURMAD, TAUX_DIR) alignées, différenciées, standardisées et décalées d’un jour ;</w:t>
      </w:r>
    </w:p>
    <w:p w14:paraId="0C5D6B85" w14:textId="77777777" w:rsidR="00AB3F6E" w:rsidRDefault="00000000">
      <w:pPr>
        <w:pStyle w:val="ListParagraph"/>
        <w:numPr>
          <w:ilvl w:val="0"/>
          <w:numId w:val="2"/>
        </w:numPr>
        <w:spacing w:after="60"/>
      </w:pPr>
      <w:r>
        <w:rPr>
          <w:b/>
          <w:bCs/>
        </w:rPr>
        <w:lastRenderedPageBreak/>
        <w:t>Rapport de stationnarité</w:t>
      </w:r>
      <w:r>
        <w:t xml:space="preserve"> : tests ADF + KPSS sur chaque actif, archivé en Parquet ;</w:t>
      </w:r>
    </w:p>
    <w:p w14:paraId="76F28CC7" w14:textId="77777777" w:rsidR="00AB3F6E" w:rsidRDefault="00000000">
      <w:pPr>
        <w:pStyle w:val="ListParagraph"/>
        <w:numPr>
          <w:ilvl w:val="0"/>
          <w:numId w:val="2"/>
        </w:numPr>
        <w:spacing w:after="60"/>
      </w:pPr>
      <w:r>
        <w:rPr>
          <w:b/>
          <w:bCs/>
        </w:rPr>
        <w:t>Notebook d’analyse exploratoire</w:t>
      </w:r>
      <w:r>
        <w:t xml:space="preserve"> (notebooks/phase1_eda.ipynb) : 13 sections apportant la preuve empirique de P1, P2 et P3 sur nos données ;</w:t>
      </w:r>
    </w:p>
    <w:p w14:paraId="520FA8BA" w14:textId="77777777" w:rsidR="00AB3F6E" w:rsidRDefault="00000000">
      <w:pPr>
        <w:pStyle w:val="ListParagraph"/>
        <w:numPr>
          <w:ilvl w:val="0"/>
          <w:numId w:val="2"/>
        </w:numPr>
        <w:spacing w:after="60"/>
      </w:pPr>
      <w:r>
        <w:rPr>
          <w:b/>
          <w:bCs/>
        </w:rPr>
        <w:t>52 tests automatisés</w:t>
      </w:r>
      <w:r>
        <w:t>, exécutables hors-ligne en ~3 secondes ;</w:t>
      </w:r>
    </w:p>
    <w:p w14:paraId="3DC8B9C4" w14:textId="77777777" w:rsidR="00AB3F6E" w:rsidRDefault="00000000">
      <w:pPr>
        <w:pStyle w:val="ListParagraph"/>
        <w:numPr>
          <w:ilvl w:val="0"/>
          <w:numId w:val="2"/>
        </w:numPr>
        <w:spacing w:after="60"/>
      </w:pPr>
      <w:r>
        <w:rPr>
          <w:b/>
          <w:bCs/>
        </w:rPr>
        <w:t>Orchestration et reproductibilité</w:t>
      </w:r>
      <w:r>
        <w:t xml:space="preserve"> : pipeline planifié quotidiennement (Dagster + launchd), données versionnées (DVC), exécutions tracées (MLflow) ;</w:t>
      </w:r>
    </w:p>
    <w:p w14:paraId="588B7802" w14:textId="77777777" w:rsidR="00AB3F6E" w:rsidRDefault="00000000">
      <w:pPr>
        <w:pStyle w:val="ListParagraph"/>
        <w:numPr>
          <w:ilvl w:val="0"/>
          <w:numId w:val="2"/>
        </w:numPr>
        <w:spacing w:after="60"/>
      </w:pPr>
      <w:r>
        <w:rPr>
          <w:b/>
          <w:bCs/>
        </w:rPr>
        <w:t>Documentation</w:t>
      </w:r>
      <w:r>
        <w:t xml:space="preserve"> : guide technique complet du code (docs/PHASE1_WALKTHROUGH.md, en anglais) destiné à l’équipe.</w:t>
      </w:r>
    </w:p>
    <w:p w14:paraId="7987BC77" w14:textId="77777777" w:rsidR="00AB3F6E" w:rsidRDefault="00000000">
      <w:pPr>
        <w:pStyle w:val="Heading1"/>
      </w:pPr>
      <w:bookmarkStart w:id="3" w:name="_Toc234182198"/>
      <w:r>
        <w:t>4. Architecture Médaillon (Bronze / Silver / Gold)</w:t>
      </w:r>
      <w:bookmarkEnd w:id="3"/>
    </w:p>
    <w:p w14:paraId="675615F7" w14:textId="77777777" w:rsidR="00AB3F6E" w:rsidRDefault="00000000">
      <w:pPr>
        <w:spacing w:after="120"/>
      </w:pPr>
      <w:r>
        <w:t>Le pipeline suit le patron « Médaillon », standard en ingénierie de données : trois couches, chacune étant une transformation déterministe et versionnée de la précédente.</w:t>
      </w:r>
    </w:p>
    <w:p w14:paraId="6C95A4C8" w14:textId="7FEE2575" w:rsidR="00AB3F6E" w:rsidRDefault="00283B32">
      <w:pPr>
        <w:spacing w:before="120" w:after="60"/>
        <w:jc w:val="center"/>
      </w:pPr>
      <w:r>
        <w:rPr>
          <w:noProof/>
        </w:rPr>
        <w:drawing>
          <wp:inline distT="0" distB="0" distL="0" distR="0" wp14:anchorId="6E1FF9B4" wp14:editId="044A3526">
            <wp:extent cx="5976620" cy="2824480"/>
            <wp:effectExtent l="0" t="0" r="5080" b="0"/>
            <wp:docPr id="66885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2945" name="Picture 6688529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6620" cy="2824480"/>
                    </a:xfrm>
                    <a:prstGeom prst="rect">
                      <a:avLst/>
                    </a:prstGeom>
                  </pic:spPr>
                </pic:pic>
              </a:graphicData>
            </a:graphic>
          </wp:inline>
        </w:drawing>
      </w:r>
    </w:p>
    <w:p w14:paraId="43DF76C1" w14:textId="77777777" w:rsidR="00AB3F6E" w:rsidRDefault="00000000">
      <w:pPr>
        <w:spacing w:after="160"/>
        <w:jc w:val="center"/>
      </w:pPr>
      <w:r>
        <w:rPr>
          <w:i/>
          <w:iCs/>
          <w:sz w:val="18"/>
          <w:szCs w:val="18"/>
        </w:rPr>
        <w:t>Figure 1 — Flux de données : sources externes → Bronze → Silver → Gold, avec schemas.py en couche de validation transversale.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4312"/>
      </w:tblGrid>
      <w:tr w:rsidR="00AB3F6E" w14:paraId="01AAA488"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EDBABBE" w14:textId="77777777" w:rsidR="00AB3F6E" w:rsidRDefault="00000000">
            <w:r>
              <w:rPr>
                <w:b/>
                <w:bCs/>
                <w:color w:val="FFFFFF"/>
                <w:sz w:val="19"/>
                <w:szCs w:val="19"/>
              </w:rPr>
              <w:t>Couche</w:t>
            </w:r>
          </w:p>
        </w:tc>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C588BDC" w14:textId="77777777" w:rsidR="00AB3F6E" w:rsidRDefault="00000000">
            <w:r>
              <w:rPr>
                <w:b/>
                <w:bCs/>
                <w:color w:val="FFFFFF"/>
                <w:sz w:val="19"/>
                <w:szCs w:val="19"/>
              </w:rPr>
              <w:t>Contenu</w:t>
            </w:r>
          </w:p>
        </w:tc>
        <w:tc>
          <w:tcPr>
            <w:tcW w:w="431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BFA7014" w14:textId="77777777" w:rsidR="00AB3F6E" w:rsidRDefault="00000000">
            <w:r>
              <w:rPr>
                <w:b/>
                <w:bCs/>
                <w:color w:val="FFFFFF"/>
                <w:sz w:val="19"/>
                <w:szCs w:val="19"/>
              </w:rPr>
              <w:t>Règle</w:t>
            </w:r>
          </w:p>
        </w:tc>
      </w:tr>
      <w:tr w:rsidR="00AB3F6E" w14:paraId="534A704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76B33A" w14:textId="77777777" w:rsidR="00AB3F6E" w:rsidRDefault="00000000">
            <w:r>
              <w:rPr>
                <w:sz w:val="19"/>
                <w:szCs w:val="19"/>
              </w:rPr>
              <w:t>Bronze</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C665EF" w14:textId="77777777" w:rsidR="00AB3F6E" w:rsidRDefault="00000000">
            <w:r>
              <w:rPr>
                <w:sz w:val="19"/>
                <w:szCs w:val="19"/>
              </w:rPr>
              <w:t>Données exactement telles que reçues des sources (Parquet)</w:t>
            </w:r>
          </w:p>
        </w:tc>
        <w:tc>
          <w:tcPr>
            <w:tcW w:w="43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412C3A" w14:textId="77777777" w:rsidR="00AB3F6E" w:rsidRDefault="00000000">
            <w:r>
              <w:rPr>
                <w:sz w:val="19"/>
                <w:szCs w:val="19"/>
              </w:rPr>
              <w:t>Immuable : jamais transformée, jamais écrasée. Si la source change, on versionne.</w:t>
            </w:r>
          </w:p>
        </w:tc>
      </w:tr>
      <w:tr w:rsidR="00AB3F6E" w14:paraId="6D78098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69C36552" w14:textId="77777777" w:rsidR="00AB3F6E" w:rsidRDefault="00000000">
            <w:r>
              <w:rPr>
                <w:sz w:val="19"/>
                <w:szCs w:val="19"/>
              </w:rPr>
              <w:t>Silver</w:t>
            </w:r>
          </w:p>
        </w:tc>
        <w:tc>
          <w:tcPr>
            <w:tcW w:w="36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812FB85" w14:textId="77777777" w:rsidR="00AB3F6E" w:rsidRDefault="00000000">
            <w:r>
              <w:rPr>
                <w:sz w:val="19"/>
                <w:szCs w:val="19"/>
              </w:rPr>
              <w:t>Données nettoyées : calendriers alignés, log-rendements, validation Pandera</w:t>
            </w:r>
          </w:p>
        </w:tc>
        <w:tc>
          <w:tcPr>
            <w:tcW w:w="43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5B47D30A" w14:textId="77777777" w:rsidR="00AB3F6E" w:rsidRDefault="00000000">
            <w:r>
              <w:rPr>
                <w:sz w:val="19"/>
                <w:szCs w:val="19"/>
              </w:rPr>
              <w:t>Aucune écriture sans validation ; rapport JSON généré à chaque exécution.</w:t>
            </w:r>
          </w:p>
        </w:tc>
      </w:tr>
      <w:tr w:rsidR="00AB3F6E" w14:paraId="7B69960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12C3FB" w14:textId="77777777" w:rsidR="00AB3F6E" w:rsidRDefault="00000000">
            <w:r>
              <w:rPr>
                <w:sz w:val="19"/>
                <w:szCs w:val="19"/>
              </w:rPr>
              <w:t>Gold</w:t>
            </w:r>
          </w:p>
        </w:tc>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F54DB9" w14:textId="77777777" w:rsidR="00AB3F6E" w:rsidRDefault="00000000">
            <w:r>
              <w:rPr>
                <w:sz w:val="19"/>
                <w:szCs w:val="19"/>
              </w:rPr>
              <w:t>Features prêtes pour le ML : matrice de rendements, macro décalée/standardisée, rapport de stationnarité</w:t>
            </w:r>
          </w:p>
        </w:tc>
        <w:tc>
          <w:tcPr>
            <w:tcW w:w="43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B38E5E" w14:textId="77777777" w:rsidR="00AB3F6E" w:rsidRDefault="00000000">
            <w:r>
              <w:rPr>
                <w:sz w:val="19"/>
                <w:szCs w:val="19"/>
              </w:rPr>
              <w:t>Unique point d’entrée des phases de modélisation (2 à 5).</w:t>
            </w:r>
          </w:p>
        </w:tc>
      </w:tr>
    </w:tbl>
    <w:p w14:paraId="1CAD30E9" w14:textId="77777777" w:rsidR="00AB3F6E" w:rsidRDefault="00AB3F6E">
      <w:pPr>
        <w:spacing w:after="120"/>
      </w:pPr>
    </w:p>
    <w:p w14:paraId="3B3A0E1F" w14:textId="77777777" w:rsidR="00AB3F6E" w:rsidRDefault="00000000">
      <w:pPr>
        <w:pStyle w:val="Heading2"/>
      </w:pPr>
      <w:bookmarkStart w:id="4" w:name="_Toc234182199"/>
      <w:r>
        <w:t>4.1 Pourquoi trois couches plutôt qu’un script « télécharger-et-utiliser » ?</w:t>
      </w:r>
      <w:bookmarkEnd w:id="4"/>
    </w:p>
    <w:p w14:paraId="3D3C8CEF" w14:textId="77777777" w:rsidR="00AB3F6E" w:rsidRDefault="00000000">
      <w:pPr>
        <w:pStyle w:val="ListParagraph"/>
        <w:numPr>
          <w:ilvl w:val="0"/>
          <w:numId w:val="2"/>
        </w:numPr>
        <w:spacing w:after="60"/>
      </w:pPr>
      <w:r>
        <w:rPr>
          <w:b/>
          <w:bCs/>
        </w:rPr>
        <w:t>Débogage</w:t>
      </w:r>
      <w:r>
        <w:t xml:space="preserve"> : quand un chiffre paraît faux en Gold, on remonte couche par couche pour localiser l’origine — la donnée source était-elle fausse, ou notre nettoyage l’a-t-il cassée ? Avec un script unique, brut et transformé n’existent jamais ensemble sur disque : impossible de trancher.</w:t>
      </w:r>
    </w:p>
    <w:p w14:paraId="56F78636" w14:textId="77777777" w:rsidR="00AB3F6E" w:rsidRDefault="00000000">
      <w:pPr>
        <w:pStyle w:val="ListParagraph"/>
        <w:numPr>
          <w:ilvl w:val="0"/>
          <w:numId w:val="2"/>
        </w:numPr>
        <w:spacing w:after="60"/>
      </w:pPr>
      <w:r>
        <w:rPr>
          <w:b/>
          <w:bCs/>
        </w:rPr>
        <w:t>Reproductibilité</w:t>
      </w:r>
      <w:r>
        <w:t xml:space="preserve"> : Yahoo Finance révise ses données (ajustements de dividendes rétroactifs). Bronze fige ce que nous avons téléchargé et quand. Sans cela, ré-exécuter l’analyse un mois plus tard donne des chiffres différents, inexplicables.</w:t>
      </w:r>
    </w:p>
    <w:p w14:paraId="70E4BA34" w14:textId="77777777" w:rsidR="00AB3F6E" w:rsidRDefault="00000000">
      <w:pPr>
        <w:pStyle w:val="ListParagraph"/>
        <w:numPr>
          <w:ilvl w:val="0"/>
          <w:numId w:val="2"/>
        </w:numPr>
        <w:spacing w:after="60"/>
      </w:pPr>
      <w:r>
        <w:rPr>
          <w:b/>
          <w:bCs/>
        </w:rPr>
        <w:lastRenderedPageBreak/>
        <w:t>Itération économique</w:t>
      </w:r>
      <w:r>
        <w:t xml:space="preserve"> : la logique de nettoyage évolue constamment en développement. Bronze étant sur disque, on ré-exécute Silver en secondes au lieu de re-télécharger (et de se faire limiter par les API).</w:t>
      </w:r>
    </w:p>
    <w:p w14:paraId="11C84F02" w14:textId="77777777" w:rsidR="00AB3F6E" w:rsidRDefault="00000000">
      <w:pPr>
        <w:spacing w:after="120"/>
      </w:pPr>
      <w:r>
        <w:t xml:space="preserve">La règle qui rend l’ensemble cohérent : </w:t>
      </w:r>
      <w:r>
        <w:rPr>
          <w:b/>
          <w:bCs/>
        </w:rPr>
        <w:t>Bronze est immuable</w:t>
      </w:r>
      <w:r>
        <w:t>. clean.py lit Bronze mais n’y écrit jamais. Cette règle a d’ailleurs été renforcée en cours de phase suite à un incident réel (cf. section 11.1).</w:t>
      </w:r>
    </w:p>
    <w:p w14:paraId="4C8BCBC7" w14:textId="77777777" w:rsidR="00AB3F6E" w:rsidRDefault="00000000">
      <w:pPr>
        <w:pStyle w:val="Heading1"/>
      </w:pPr>
      <w:bookmarkStart w:id="5" w:name="_Toc234182200"/>
      <w:r>
        <w:t>5. Sources de données et univers d’actifs</w:t>
      </w:r>
      <w:bookmarkEnd w:id="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912"/>
      </w:tblGrid>
      <w:tr w:rsidR="00AB3F6E" w14:paraId="320F792F"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A157925" w14:textId="77777777" w:rsidR="00AB3F6E" w:rsidRDefault="00000000">
            <w:r>
              <w:rPr>
                <w:b/>
                <w:bCs/>
                <w:color w:val="FFFFFF"/>
                <w:sz w:val="19"/>
                <w:szCs w:val="19"/>
              </w:rPr>
              <w:t>Bloc</w:t>
            </w:r>
          </w:p>
        </w:tc>
        <w:tc>
          <w:tcPr>
            <w:tcW w:w="33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4D550D8" w14:textId="77777777" w:rsidR="00AB3F6E" w:rsidRDefault="00000000">
            <w:r>
              <w:rPr>
                <w:b/>
                <w:bCs/>
                <w:color w:val="FFFFFF"/>
                <w:sz w:val="19"/>
                <w:szCs w:val="19"/>
              </w:rPr>
              <w:t>Contenu</w:t>
            </w:r>
          </w:p>
        </w:tc>
        <w:tc>
          <w:tcPr>
            <w:tcW w:w="391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68B1E1F" w14:textId="77777777" w:rsidR="00AB3F6E" w:rsidRDefault="00000000">
            <w:r>
              <w:rPr>
                <w:b/>
                <w:bCs/>
                <w:color w:val="FFFFFF"/>
                <w:sz w:val="19"/>
                <w:szCs w:val="19"/>
              </w:rPr>
              <w:t>Source / particularités</w:t>
            </w:r>
          </w:p>
        </w:tc>
      </w:tr>
      <w:tr w:rsidR="00AB3F6E" w14:paraId="4134C5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A8C576" w14:textId="77777777" w:rsidR="00AB3F6E" w:rsidRDefault="00000000">
            <w:r>
              <w:rPr>
                <w:sz w:val="19"/>
                <w:szCs w:val="19"/>
              </w:rPr>
              <w:t>Actions BVC</w:t>
            </w:r>
          </w:p>
        </w:tc>
        <w:tc>
          <w:tcPr>
            <w:tcW w:w="3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ABFAFC" w14:textId="77777777" w:rsidR="00AB3F6E" w:rsidRDefault="00000000">
            <w:r>
              <w:rPr>
                <w:sz w:val="19"/>
                <w:szCs w:val="19"/>
              </w:rPr>
              <w:t>IAM.CS (Maroc Telecom), ATW.CS (Attijariwafa), CIH.CS (CIH Bank), BCP.CS (BCP)</w:t>
            </w:r>
          </w:p>
        </w:tc>
        <w:tc>
          <w:tcPr>
            <w:tcW w:w="39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C87B73" w14:textId="77777777" w:rsidR="00AB3F6E" w:rsidRDefault="00000000">
            <w:r>
              <w:rPr>
                <w:sz w:val="19"/>
                <w:szCs w:val="19"/>
              </w:rPr>
              <w:t>medias24 via BVCscrap. Fenêtre glissante d’environ 5 ans (cf. 11.1) ; cours en MAD.</w:t>
            </w:r>
          </w:p>
        </w:tc>
      </w:tr>
      <w:tr w:rsidR="00AB3F6E" w14:paraId="3451DB9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095B101" w14:textId="77777777" w:rsidR="00AB3F6E" w:rsidRDefault="00000000">
            <w:r>
              <w:rPr>
                <w:sz w:val="19"/>
                <w:szCs w:val="19"/>
              </w:rPr>
              <w:t>ETF internationaux</w:t>
            </w:r>
          </w:p>
        </w:tc>
        <w:tc>
          <w:tcPr>
            <w:tcW w:w="33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9B4312E" w14:textId="77777777" w:rsidR="00AB3F6E" w:rsidRDefault="00000000">
            <w:r>
              <w:rPr>
                <w:sz w:val="19"/>
                <w:szCs w:val="19"/>
              </w:rPr>
              <w:t>SPY (S&amp;P 500), QQQ (Nasdaq 100), EEM (émergents), GLD (or), TLT (Treasuries 20 ans+)</w:t>
            </w:r>
          </w:p>
        </w:tc>
        <w:tc>
          <w:tcPr>
            <w:tcW w:w="39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0CF85EF" w14:textId="77777777" w:rsidR="00AB3F6E" w:rsidRDefault="00000000">
            <w:r>
              <w:rPr>
                <w:sz w:val="19"/>
                <w:szCs w:val="19"/>
              </w:rPr>
              <w:t>Yahoo Finance, historique complet depuis 2017, auto_adjust=True systématique.</w:t>
            </w:r>
          </w:p>
        </w:tc>
      </w:tr>
      <w:tr w:rsidR="00AB3F6E" w14:paraId="181606B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6231C8" w14:textId="77777777" w:rsidR="00AB3F6E" w:rsidRDefault="00000000">
            <w:r>
              <w:rPr>
                <w:sz w:val="19"/>
                <w:szCs w:val="19"/>
              </w:rPr>
              <w:t>Macro globale (FRED)</w:t>
            </w:r>
          </w:p>
        </w:tc>
        <w:tc>
          <w:tcPr>
            <w:tcW w:w="3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1CA9A6" w14:textId="77777777" w:rsidR="00AB3F6E" w:rsidRDefault="00000000">
            <w:r>
              <w:rPr>
                <w:sz w:val="19"/>
                <w:szCs w:val="19"/>
              </w:rPr>
              <w:t>VIX, US10Y, DXY, CREDIT_SPREAD (BAA10Y)</w:t>
            </w:r>
          </w:p>
        </w:tc>
        <w:tc>
          <w:tcPr>
            <w:tcW w:w="39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A51B52" w14:textId="77777777" w:rsidR="00AB3F6E" w:rsidRDefault="00000000">
            <w:r>
              <w:rPr>
                <w:sz w:val="19"/>
                <w:szCs w:val="19"/>
              </w:rPr>
              <w:t>API FRED. CREDIT_SPREAD remplace l’ancienne série ICE BofA restreinte par FRED (cf. 11.2).</w:t>
            </w:r>
          </w:p>
        </w:tc>
      </w:tr>
      <w:tr w:rsidR="00AB3F6E" w14:paraId="4BDFA20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00C3981" w14:textId="77777777" w:rsidR="00AB3F6E" w:rsidRDefault="00000000">
            <w:r>
              <w:rPr>
                <w:sz w:val="19"/>
                <w:szCs w:val="19"/>
              </w:rPr>
              <w:t>Macro marocaine (BAM)</w:t>
            </w:r>
          </w:p>
        </w:tc>
        <w:tc>
          <w:tcPr>
            <w:tcW w:w="33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1006C4FC" w14:textId="77777777" w:rsidR="00AB3F6E" w:rsidRDefault="00000000">
            <w:r>
              <w:rPr>
                <w:sz w:val="19"/>
                <w:szCs w:val="19"/>
              </w:rPr>
              <w:t>USDMAD, EURMAD (Yahoo) ; TAUX_DIR (taux directeur, fonction en escalier)</w:t>
            </w:r>
          </w:p>
        </w:tc>
        <w:tc>
          <w:tcPr>
            <w:tcW w:w="39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6EBFB715" w14:textId="77777777" w:rsidR="00AB3F6E" w:rsidRDefault="00000000">
            <w:r>
              <w:rPr>
                <w:sz w:val="19"/>
                <w:szCs w:val="19"/>
              </w:rPr>
              <w:t>Décisions du conseil de BAM transcrites manuellement depuis bkam.ma, avec alerte de péremption automatique (cf. 11.3).</w:t>
            </w:r>
          </w:p>
        </w:tc>
      </w:tr>
    </w:tbl>
    <w:p w14:paraId="5D57DB0E" w14:textId="77777777" w:rsidR="00AB3F6E" w:rsidRDefault="00AB3F6E">
      <w:pPr>
        <w:spacing w:after="120"/>
      </w:pPr>
    </w:p>
    <w:p w14:paraId="0E7B933D" w14:textId="77777777" w:rsidR="00AB3F6E" w:rsidRDefault="00000000">
      <w:pPr>
        <w:spacing w:after="120"/>
      </w:pPr>
      <w:r>
        <w:rPr>
          <w:b/>
          <w:bCs/>
        </w:rPr>
        <w:t>Choix de l’univers.</w:t>
      </w:r>
      <w:r>
        <w:t xml:space="preserve"> Il combine un ancrage local (les quatre plus grandes capitalisations bancaires/télécoms de la Bourse de Casablanca — l’environnement réel d’EURAFRIC) et une diversification internationale multi-classes (actions US, émergents, or, obligations longues). Les ETF « refuge » (GLD, TLT) sont indispensables à l’étude de P3 : c’est leur corrélation avec les actifs risqués en crise qui fait ou défait la diversification.</w:t>
      </w:r>
    </w:p>
    <w:p w14:paraId="35CC34E5" w14:textId="77777777" w:rsidR="00AB3F6E" w:rsidRDefault="00000000">
      <w:pPr>
        <w:spacing w:after="120"/>
      </w:pPr>
      <w:r>
        <w:rPr>
          <w:b/>
          <w:bCs/>
        </w:rPr>
        <w:t>Variables macro comme signaux de régime.</w:t>
      </w:r>
      <w:r>
        <w:t xml:space="preserve"> Le VIX (peur globale), le spread de crédit (appétit pour le risque), le dollar (pression sur les émergents et le MAD) et le taux directeur de BAM sont les candidats-signaux que le HMM de la Phase 4 utilisera pour détecter les transitions de régime avant qu’elles ne soient visibles dans les corrélations (P2, P3).</w:t>
      </w:r>
    </w:p>
    <w:p w14:paraId="761615B2" w14:textId="77777777" w:rsidR="00AB3F6E" w:rsidRDefault="00000000">
      <w:r>
        <w:br w:type="page"/>
      </w:r>
    </w:p>
    <w:p w14:paraId="484B4C11" w14:textId="77777777" w:rsidR="00AB3F6E" w:rsidRDefault="00000000">
      <w:pPr>
        <w:pStyle w:val="Heading1"/>
      </w:pPr>
      <w:bookmarkStart w:id="6" w:name="_Toc234182201"/>
      <w:r>
        <w:lastRenderedPageBreak/>
        <w:t>6. Choix de conception — et leurs justifications</w:t>
      </w:r>
      <w:bookmarkEnd w:id="6"/>
    </w:p>
    <w:p w14:paraId="0BB21281" w14:textId="0F03AD9D" w:rsidR="00AB3F6E" w:rsidRDefault="00000000" w:rsidP="00F45240">
      <w:pPr>
        <w:spacing w:after="120"/>
      </w:pPr>
      <w:r>
        <w:t>Chaque décision ci-dessous est formulée avec son alternative rejetée</w:t>
      </w:r>
      <w:r w:rsidR="00F45240">
        <w:t>.</w:t>
      </w:r>
    </w:p>
    <w:p w14:paraId="497C88AC" w14:textId="77777777" w:rsidR="00AB3F6E" w:rsidRDefault="00000000">
      <w:pPr>
        <w:pStyle w:val="Heading2"/>
      </w:pPr>
      <w:bookmarkStart w:id="7" w:name="_Toc234182202"/>
      <w:r>
        <w:t>6.1 Log-rendements plutôt que rendements simples</w:t>
      </w:r>
      <w:bookmarkEnd w:id="7"/>
    </w:p>
    <w:p w14:paraId="499415F6" w14:textId="77777777" w:rsidR="00AB3F6E" w:rsidRDefault="00000000">
      <w:pPr>
        <w:shd w:val="clear" w:color="auto" w:fill="F2F2F2"/>
        <w:spacing w:after="120"/>
        <w:ind w:left="240"/>
      </w:pPr>
      <w:r>
        <w:rPr>
          <w:rFonts w:ascii="Consolas" w:eastAsia="Consolas" w:hAnsi="Consolas" w:cs="Consolas"/>
          <w:sz w:val="18"/>
          <w:szCs w:val="18"/>
        </w:rPr>
        <w:t>log_ret = np.log(prices / prices.shift(1)).dropna()   # jamais pct_change()</w:t>
      </w:r>
    </w:p>
    <w:p w14:paraId="511B5249" w14:textId="77777777" w:rsidR="00AB3F6E" w:rsidRDefault="00000000">
      <w:pPr>
        <w:spacing w:after="120"/>
      </w:pPr>
      <w:r>
        <w:rPr>
          <w:b/>
          <w:bCs/>
        </w:rPr>
        <w:t xml:space="preserve">Pourquoi : </w:t>
      </w:r>
      <w:r>
        <w:t>(a) additivité temporelle — le rendement sur n jours est la somme des rendements quotidiens, propriété qu’exigent nos modèles et que les rendements simples n’ont pas (ils se composent multiplicativement) ; (b) stationnarité — les niveaux de prix ont une racine unitaire, les log-rendements non (P2) ; (c) distribution plus proche de la normale à horizon quotidien. Le test test_log_returns_sum_to_total_return verrouille la propriété (a) à 10⁻⁶ près.</w:t>
      </w:r>
    </w:p>
    <w:p w14:paraId="2030A525" w14:textId="77777777" w:rsidR="00AB3F6E" w:rsidRDefault="00000000">
      <w:pPr>
        <w:pStyle w:val="Heading2"/>
      </w:pPr>
      <w:bookmarkStart w:id="8" w:name="_Toc234182203"/>
      <w:r>
        <w:t>6.2 Remplissage vers l’avant uniquement (jamais d’interpolation ni de backfill)</w:t>
      </w:r>
      <w:bookmarkEnd w:id="8"/>
    </w:p>
    <w:p w14:paraId="053C4221" w14:textId="77777777" w:rsidR="00AB3F6E" w:rsidRDefault="00000000">
      <w:pPr>
        <w:spacing w:after="120"/>
      </w:pPr>
      <w:r>
        <w:t xml:space="preserve">La BVC et le NYSE n’ont pas les mêmes jours fériés. Sur une grille commune de jours ouvrés, les trous sont comblés par </w:t>
      </w:r>
      <w:r>
        <w:rPr>
          <w:b/>
          <w:bCs/>
        </w:rPr>
        <w:t>le dernier prix connu</w:t>
      </w:r>
      <w:r>
        <w:t xml:space="preserve"> (forward-fill) : c’est la seule méthode qui n’utilise aucune information future. L’interpolation moyenne passé et futur ; le backfill copie un prix futur dans le passé — deux formes de lookahead (P4). Le remplissage est plafonné à 5 jours consécutifs (ffill_limit=5) pour ne pas propager un prix périmé sur un titre suspendu : au-delà, le trou doit réapparaître comme donnée manquante, pas être maquillé. Verrouillé par test_forward_fill_not_backfill.</w:t>
      </w:r>
    </w:p>
    <w:p w14:paraId="73C19C9D" w14:textId="77777777" w:rsidR="00AB3F6E" w:rsidRDefault="00000000">
      <w:pPr>
        <w:pStyle w:val="Heading2"/>
      </w:pPr>
      <w:bookmarkStart w:id="9" w:name="_Toc234182204"/>
      <w:r>
        <w:t>6.3 ADF et KPSS ensemble, jamais l’un sans l’autre</w:t>
      </w:r>
      <w:bookmarkEnd w:id="9"/>
    </w:p>
    <w:p w14:paraId="65A22ED1" w14:textId="77777777" w:rsidR="00AB3F6E" w:rsidRDefault="00000000">
      <w:pPr>
        <w:spacing w:after="120"/>
      </w:pPr>
      <w:r>
        <w:t>Les deux tests de stationnarité ont des hypothèses nulles opposées (ADF suppose la non-stationnarité, KPSS la stationnarité). Utilisé seul, chacun donne un résultat unilatéral : « ADF rejette » peut signifier stationnaire ou simplement test peu puissant. La conclusion n’est STATIONNAIRE que si les deux concordent ; tout désaccord est classé AMBIGU et doit être investigué manuellement — jamais présumé (cf. le cas EEM, section 8.2).</w:t>
      </w:r>
    </w:p>
    <w:p w14:paraId="19EAE477" w14:textId="77777777" w:rsidR="00AB3F6E" w:rsidRDefault="00000000">
      <w:pPr>
        <w:pStyle w:val="Heading2"/>
      </w:pPr>
      <w:bookmarkStart w:id="10" w:name="_Toc234182205"/>
      <w:r>
        <w:t>6.4 auto_adjust=True sur chaque appel Yahoo Finance</w:t>
      </w:r>
      <w:bookmarkEnd w:id="10"/>
    </w:p>
    <w:p w14:paraId="634B6938" w14:textId="77777777" w:rsidR="00AB3F6E" w:rsidRDefault="00000000">
      <w:pPr>
        <w:spacing w:after="120"/>
      </w:pPr>
      <w:r>
        <w:t>Sans ajustement, un split 2:1 apparaît comme un rendement de −50 % en un jour — un faux krach qui dominerait toute estimation de covariance et toute détection de régime. Les dividendes créent le même artefact en plus petit. Non négociable (P1).</w:t>
      </w:r>
    </w:p>
    <w:p w14:paraId="5F1067D4" w14:textId="77777777" w:rsidR="00AB3F6E" w:rsidRDefault="00000000">
      <w:pPr>
        <w:pStyle w:val="Heading2"/>
      </w:pPr>
      <w:bookmarkStart w:id="11" w:name="_Toc234182206"/>
      <w:r>
        <w:t>6.5 Décalage obligatoire des variables macro — imposé par le code</w:t>
      </w:r>
      <w:bookmarkEnd w:id="11"/>
    </w:p>
    <w:p w14:paraId="136C0BBB" w14:textId="77777777" w:rsidR="00AB3F6E" w:rsidRDefault="00000000">
      <w:pPr>
        <w:shd w:val="clear" w:color="auto" w:fill="F2F2F2"/>
        <w:ind w:left="240"/>
      </w:pPr>
      <w:r>
        <w:rPr>
          <w:rFonts w:ascii="Consolas" w:eastAsia="Consolas" w:hAnsi="Consolas" w:cs="Consolas"/>
          <w:sz w:val="18"/>
          <w:szCs w:val="18"/>
        </w:rPr>
        <w:t>if lag_days &lt; 1:</w:t>
      </w:r>
    </w:p>
    <w:p w14:paraId="330AC500" w14:textId="77777777" w:rsidR="00AB3F6E" w:rsidRDefault="00000000">
      <w:pPr>
        <w:shd w:val="clear" w:color="auto" w:fill="F2F2F2"/>
        <w:spacing w:after="120"/>
        <w:ind w:left="240"/>
      </w:pPr>
      <w:r>
        <w:rPr>
          <w:rFonts w:ascii="Consolas" w:eastAsia="Consolas" w:hAnsi="Consolas" w:cs="Consolas"/>
          <w:sz w:val="18"/>
          <w:szCs w:val="18"/>
        </w:rPr>
        <w:t xml:space="preserve">    raise ValueError("lag_days must be &gt;= 1 to prevent lookahead bias.")</w:t>
      </w:r>
    </w:p>
    <w:p w14:paraId="3F345017" w14:textId="77777777" w:rsidR="00AB3F6E" w:rsidRDefault="00000000">
      <w:pPr>
        <w:spacing w:after="120"/>
      </w:pPr>
      <w:r>
        <w:t xml:space="preserve">Une variable macro datée du jour t n’est utilisable qu’à partir de t+1 : la clôture du VIX du jour n’est pas connue en séance. Plutôt qu’une convention documentée (qu’on finit par oublier), le code </w:t>
      </w:r>
      <w:r>
        <w:rPr>
          <w:b/>
          <w:bCs/>
        </w:rPr>
        <w:t>refuse de s’exécuter</w:t>
      </w:r>
      <w:r>
        <w:t xml:space="preserve"> avec un décalage nul : c’est une exception, pas un avertissement. Verrouillé par test_rejects_zero_lag, qui vérifie jusqu’au message d’erreur.</w:t>
      </w:r>
    </w:p>
    <w:p w14:paraId="54F159F2" w14:textId="77777777" w:rsidR="00AB3F6E" w:rsidRDefault="00000000">
      <w:pPr>
        <w:pStyle w:val="Heading2"/>
      </w:pPr>
      <w:bookmarkStart w:id="12" w:name="_Toc234182207"/>
      <w:r>
        <w:t>6.6 Contrats de données exécutables (Pandera) plutôt que vérifications manuelles</w:t>
      </w:r>
      <w:bookmarkEnd w:id="12"/>
    </w:p>
    <w:p w14:paraId="4A147FB7" w14:textId="77777777" w:rsidR="00AB3F6E" w:rsidRDefault="00000000">
      <w:pPr>
        <w:spacing w:after="120"/>
      </w:pPr>
      <w:r>
        <w:t xml:space="preserve">Chaque écriture Silver/Gold passe par un schéma qui vérifie : rendements dans ±50 % (un dépassement signale un split non ajusté), au moins 500 lignes (en-deçà, l’estimation de covariance n’a pas de sens statistique), index temporel strictement croissant (un désordre casserait le walk-forward de la Phase 2), zéro NaN. Une validation qu’on peut sauter finit toujours par être sautée sous pression de délai : ici, </w:t>
      </w:r>
      <w:r>
        <w:rPr>
          <w:b/>
          <w:bCs/>
        </w:rPr>
        <w:t>aucun chemin de code n’écrit de données non validées</w:t>
      </w:r>
      <w:r>
        <w:t>.</w:t>
      </w:r>
    </w:p>
    <w:p w14:paraId="0F74716A" w14:textId="77777777" w:rsidR="00AB3F6E" w:rsidRDefault="00000000">
      <w:pPr>
        <w:pStyle w:val="Heading2"/>
      </w:pPr>
      <w:bookmarkStart w:id="13" w:name="_Toc234182208"/>
      <w:r>
        <w:t>6.7 Détection d’illiquidité par séquences consécutives, pas par comptage brut</w:t>
      </w:r>
      <w:bookmarkEnd w:id="13"/>
    </w:p>
    <w:p w14:paraId="012FB27F" w14:textId="77777777" w:rsidR="00AB3F6E" w:rsidRDefault="00000000">
      <w:pPr>
        <w:shd w:val="clear" w:color="auto" w:fill="F2F2F2"/>
        <w:ind w:left="240"/>
      </w:pPr>
      <w:r>
        <w:rPr>
          <w:rFonts w:ascii="Consolas" w:eastAsia="Consolas" w:hAnsi="Consolas" w:cs="Consolas"/>
          <w:sz w:val="18"/>
          <w:szCs w:val="18"/>
        </w:rPr>
        <w:t>is_zero = (s.abs() &lt; 1e-10).astype(int)</w:t>
      </w:r>
    </w:p>
    <w:p w14:paraId="1DDF7473" w14:textId="77777777" w:rsidR="00AB3F6E" w:rsidRDefault="00000000">
      <w:pPr>
        <w:shd w:val="clear" w:color="auto" w:fill="F2F2F2"/>
        <w:ind w:left="240"/>
      </w:pPr>
      <w:r>
        <w:rPr>
          <w:rFonts w:ascii="Consolas" w:eastAsia="Consolas" w:hAnsi="Consolas" w:cs="Consolas"/>
          <w:sz w:val="18"/>
          <w:szCs w:val="18"/>
        </w:rPr>
        <w:t>groups  = (is_zero != is_zero.shift()).cumsum()</w:t>
      </w:r>
    </w:p>
    <w:p w14:paraId="2083301B" w14:textId="77777777" w:rsidR="00AB3F6E" w:rsidRDefault="00000000">
      <w:pPr>
        <w:shd w:val="clear" w:color="auto" w:fill="F2F2F2"/>
        <w:spacing w:after="120"/>
        <w:ind w:left="240"/>
      </w:pPr>
      <w:r>
        <w:rPr>
          <w:rFonts w:ascii="Consolas" w:eastAsia="Consolas" w:hAnsi="Consolas" w:cs="Consolas"/>
          <w:sz w:val="18"/>
          <w:szCs w:val="18"/>
        </w:rPr>
        <w:t>max_run = is_zero.groupby(groups).sum().max()</w:t>
      </w:r>
    </w:p>
    <w:p w14:paraId="63D92FFF" w14:textId="77777777" w:rsidR="00AB3F6E" w:rsidRDefault="00000000">
      <w:pPr>
        <w:spacing w:after="120"/>
      </w:pPr>
      <w:r>
        <w:lastRenderedPageBreak/>
        <w:t>Un jour isolé de rendement nul est normal (jour férié rempli vers l’avant). Cinq jours consécutifs ou plus signalent une suspension ou une illiquidité réelle, qui rend la covariance de l’actif peu fiable (P1). Le comptage brut de zéros aurait signalé à tort tout actif à nombreux jours fériés. Sur données réelles, CIH.CS et BCP.CS sont effectivement signalés — fait de marché documenté, que la Phase 2 traite par des coûts de transaction majorés.</w:t>
      </w:r>
    </w:p>
    <w:p w14:paraId="1E1323F7" w14:textId="77777777" w:rsidR="00AB3F6E" w:rsidRDefault="00000000">
      <w:pPr>
        <w:pStyle w:val="Heading2"/>
      </w:pPr>
      <w:bookmarkStart w:id="14" w:name="_Toc234182209"/>
      <w:r>
        <w:t>6.8 DuckDB pour les requêtes analytiques ; Dagster pour la planification ; MLflow pour les résultats</w:t>
      </w:r>
      <w:bookmarkEnd w:id="14"/>
    </w:p>
    <w:p w14:paraId="5F578030" w14:textId="77777777" w:rsidR="00AB3F6E" w:rsidRDefault="00000000">
      <w:pPr>
        <w:pStyle w:val="ListParagraph"/>
        <w:numPr>
          <w:ilvl w:val="0"/>
          <w:numId w:val="2"/>
        </w:numPr>
        <w:spacing w:after="60"/>
      </w:pPr>
      <w:r>
        <w:t>DuckDB lit le Parquet nativement et exécute les agrégations temporelles 10 à 100 fois plus vite que pandas ;</w:t>
      </w:r>
    </w:p>
    <w:p w14:paraId="3ADD99E3" w14:textId="77777777" w:rsidR="00AB3F6E" w:rsidRDefault="00000000">
      <w:pPr>
        <w:pStyle w:val="ListParagraph"/>
        <w:numPr>
          <w:ilvl w:val="0"/>
          <w:numId w:val="2"/>
        </w:numPr>
        <w:spacing w:after="60"/>
      </w:pPr>
      <w:r>
        <w:t xml:space="preserve">Dagster (préféré à Airflow/Prefect : modèle d’assets épousant les couches Médaillon, un seul processus local) planifie l’actualisation quotidienne mais </w:t>
      </w:r>
      <w:r>
        <w:rPr>
          <w:b/>
          <w:bCs/>
        </w:rPr>
        <w:t>ne contient aucune logique de pipeline</w:t>
      </w:r>
      <w:r>
        <w:t xml:space="preserve"> — ses assets appellent les fonctions existantes, inchangées ;</w:t>
      </w:r>
    </w:p>
    <w:p w14:paraId="62657B3F" w14:textId="77777777" w:rsidR="00AB3F6E" w:rsidRDefault="00000000">
      <w:pPr>
        <w:pStyle w:val="ListParagraph"/>
        <w:numPr>
          <w:ilvl w:val="0"/>
          <w:numId w:val="2"/>
        </w:numPr>
        <w:spacing w:after="60"/>
      </w:pPr>
      <w:r>
        <w:t>MLflow trace les résultats d’expériences ; Dagster trace l’exécution. Les deux ne sont pas redondants : ils répondent à des questions différentes.</w:t>
      </w:r>
    </w:p>
    <w:p w14:paraId="6A35FB4C" w14:textId="77777777" w:rsidR="00AB3F6E" w:rsidRDefault="00000000">
      <w:pPr>
        <w:pStyle w:val="Heading2"/>
      </w:pPr>
      <w:bookmarkStart w:id="15" w:name="_Toc234182210"/>
      <w:r>
        <w:t>6.9 Versionnage des données par DVC</w:t>
      </w:r>
      <w:bookmarkEnd w:id="15"/>
    </w:p>
    <w:p w14:paraId="33F68387" w14:textId="77777777" w:rsidR="00AB3F6E" w:rsidRDefault="00000000">
      <w:pPr>
        <w:spacing w:after="120"/>
      </w:pPr>
      <w:r>
        <w:t>Activé en cours de phase (à la suite de l’incident 11.1) : chaque exécution du pipeline peut être suivie d’un instantané (dvc commit) ; le fichier dvc.lock, versionné dans git, rend chaque état des données restaurable (dvc checkout). Particularité importante : le fichier Bronze des cours BVC est déclaré persist: true pour que dvc repro ne le supprime jamais avant ré-exécution — ce fichier accumule un historique que la source ne sert plus.</w:t>
      </w:r>
    </w:p>
    <w:p w14:paraId="1320A19F" w14:textId="77777777" w:rsidR="00AB3F6E" w:rsidRDefault="00000000">
      <w:r>
        <w:br w:type="page"/>
      </w:r>
    </w:p>
    <w:p w14:paraId="65E5007D" w14:textId="77777777" w:rsidR="00AB3F6E" w:rsidRDefault="00000000">
      <w:pPr>
        <w:pStyle w:val="Heading1"/>
      </w:pPr>
      <w:bookmarkStart w:id="16" w:name="_Toc234182211"/>
      <w:r>
        <w:lastRenderedPageBreak/>
        <w:t>7. Le code, module par module</w:t>
      </w:r>
      <w:bookmarkEnd w:id="16"/>
    </w:p>
    <w:p w14:paraId="1D50B04D" w14:textId="77777777" w:rsidR="00AB3F6E" w:rsidRDefault="00000000">
      <w:pPr>
        <w:spacing w:after="120"/>
      </w:pPr>
      <w:r>
        <w:t>Tout le code applicatif tient dans src/ (~1 400 lignes hors tests), en modules plats conformément à la convention du dépôt. Chaque fonction porte une docstring Google style dont la première ligne de fond est sa traçabilité : « Addresses: P1, P2 — ...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12"/>
      </w:tblGrid>
      <w:tr w:rsidR="00AB3F6E" w14:paraId="07B73F0D"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B883B3C" w14:textId="77777777" w:rsidR="00AB3F6E" w:rsidRDefault="00000000">
            <w:r>
              <w:rPr>
                <w:b/>
                <w:bCs/>
                <w:color w:val="FFFFFF"/>
                <w:sz w:val="19"/>
                <w:szCs w:val="19"/>
              </w:rPr>
              <w:t>Module</w:t>
            </w:r>
          </w:p>
        </w:tc>
        <w:tc>
          <w:tcPr>
            <w:tcW w:w="691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4554EA6" w14:textId="77777777" w:rsidR="00AB3F6E" w:rsidRDefault="00000000">
            <w:r>
              <w:rPr>
                <w:b/>
                <w:bCs/>
                <w:color w:val="FFFFFF"/>
                <w:sz w:val="19"/>
                <w:szCs w:val="19"/>
              </w:rPr>
              <w:t>Rôle et points notables</w:t>
            </w:r>
          </w:p>
        </w:tc>
      </w:tr>
      <w:tr w:rsidR="00AB3F6E" w14:paraId="0ABEFD2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FA9C3C" w14:textId="77777777" w:rsidR="00AB3F6E" w:rsidRDefault="00000000">
            <w:r>
              <w:rPr>
                <w:sz w:val="19"/>
                <w:szCs w:val="19"/>
              </w:rPr>
              <w:t>src/ingest.py (Bronze)</w:t>
            </w:r>
          </w:p>
        </w:tc>
        <w:tc>
          <w:tcPr>
            <w:tcW w:w="69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485A59" w14:textId="77777777" w:rsidR="00AB3F6E" w:rsidRDefault="00000000">
            <w:r>
              <w:rPr>
                <w:sz w:val="19"/>
                <w:szCs w:val="19"/>
              </w:rPr>
              <w:t>Téléchargement des 4 sources. Par-titre avec 3 tentatives et attente croissante (les tickers .CS sont capricieux chez Yahoo) ; normalisation des fuseaux horaires ; fusion (et non écrasement) du fichier BVC existant ; alerte automatique si une série FRED renvoie moins d’historique que demandé ; alerte de péremption de la liste des décisions BAM (&gt;100 jours).</w:t>
            </w:r>
          </w:p>
        </w:tc>
      </w:tr>
      <w:tr w:rsidR="00AB3F6E" w14:paraId="3875395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5C02552C" w14:textId="77777777" w:rsidR="00AB3F6E" w:rsidRDefault="00000000">
            <w:r>
              <w:rPr>
                <w:sz w:val="19"/>
                <w:szCs w:val="19"/>
              </w:rPr>
              <w:t>src/clean.py (Silver)</w:t>
            </w:r>
          </w:p>
        </w:tc>
        <w:tc>
          <w:tcPr>
            <w:tcW w:w="69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608A65EE" w14:textId="77777777" w:rsidR="00AB3F6E" w:rsidRDefault="00000000">
            <w:r>
              <w:rPr>
                <w:sz w:val="19"/>
                <w:szCs w:val="19"/>
              </w:rPr>
              <w:t>Fusion BVC, alignement calendaire (grille de jours ouvrés + forward-fill plafonné), log-rendements, signal d’illiquidité, validation Pandera, rapport JSON. Avertissement explicite et chiffré quand l’alignement tronque l’historique (colonnes responsables nommées).</w:t>
            </w:r>
          </w:p>
        </w:tc>
      </w:tr>
      <w:tr w:rsidR="00AB3F6E" w14:paraId="3EAB590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25D5AA" w14:textId="77777777" w:rsidR="00AB3F6E" w:rsidRDefault="00000000">
            <w:r>
              <w:rPr>
                <w:sz w:val="19"/>
                <w:szCs w:val="19"/>
              </w:rPr>
              <w:t>src/features.py (Gold)</w:t>
            </w:r>
          </w:p>
        </w:tc>
        <w:tc>
          <w:tcPr>
            <w:tcW w:w="69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82956D" w14:textId="77777777" w:rsidR="00AB3F6E" w:rsidRDefault="00000000">
            <w:r>
              <w:rPr>
                <w:sz w:val="19"/>
                <w:szCs w:val="19"/>
              </w:rPr>
              <w:t>Tests ADF+KPSS par actif avec matrice d’interprétation ; construction des features macro en 4 étapes ordonnées : alignement (ffill) → différence première → standardisation → décalage ≥ 1 jour (imposé par exception).</w:t>
            </w:r>
          </w:p>
        </w:tc>
      </w:tr>
      <w:tr w:rsidR="00AB3F6E" w14:paraId="6DF5551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4E843B7C" w14:textId="77777777" w:rsidR="00AB3F6E" w:rsidRDefault="00000000">
            <w:r>
              <w:rPr>
                <w:sz w:val="19"/>
                <w:szCs w:val="19"/>
              </w:rPr>
              <w:t>src/schemas.py</w:t>
            </w:r>
          </w:p>
        </w:tc>
        <w:tc>
          <w:tcPr>
            <w:tcW w:w="69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41EAF63D" w14:textId="77777777" w:rsidR="00AB3F6E" w:rsidRDefault="00000000">
            <w:r>
              <w:rPr>
                <w:sz w:val="19"/>
                <w:szCs w:val="19"/>
              </w:rPr>
              <w:t>Contrats Pandera : schéma des log-rendements (strict) et des features macro (tolérant aux NaN et aux séries absentes — une série FRED manquante ne doit pas faire échouer la couche Gold, cf. 11.2).</w:t>
            </w:r>
          </w:p>
        </w:tc>
      </w:tr>
      <w:tr w:rsidR="00AB3F6E" w14:paraId="506B350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CEC991" w14:textId="77777777" w:rsidR="00AB3F6E" w:rsidRDefault="00000000">
            <w:r>
              <w:rPr>
                <w:sz w:val="19"/>
                <w:szCs w:val="19"/>
              </w:rPr>
              <w:t>src/pipeline.py</w:t>
            </w:r>
          </w:p>
        </w:tc>
        <w:tc>
          <w:tcPr>
            <w:tcW w:w="69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17BAEF" w14:textId="77777777" w:rsidR="00AB3F6E" w:rsidRDefault="00000000">
            <w:r>
              <w:rPr>
                <w:sz w:val="19"/>
                <w:szCs w:val="19"/>
              </w:rPr>
              <w:t>Point d’entrée manuel : Bronze → Silver → Gold sous une exécution MLflow unique (paramètres, métriques, artefacts Gold archivés).</w:t>
            </w:r>
          </w:p>
        </w:tc>
      </w:tr>
      <w:tr w:rsidR="00AB3F6E" w14:paraId="5760463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3BDDE49F" w14:textId="77777777" w:rsidR="00AB3F6E" w:rsidRDefault="00000000">
            <w:r>
              <w:rPr>
                <w:sz w:val="19"/>
                <w:szCs w:val="19"/>
              </w:rPr>
              <w:t>src/utils.py</w:t>
            </w:r>
          </w:p>
        </w:tc>
        <w:tc>
          <w:tcPr>
            <w:tcW w:w="69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4A987F81" w14:textId="77777777" w:rsidR="00AB3F6E" w:rsidRDefault="00000000">
            <w:r>
              <w:rPr>
                <w:sz w:val="19"/>
                <w:szCs w:val="19"/>
              </w:rPr>
              <w:t>query_gold() (SQL DuckDB sur le Parquet Gold) ; load_params() (params.yaml, source unique de configuration).</w:t>
            </w:r>
          </w:p>
        </w:tc>
      </w:tr>
      <w:tr w:rsidR="00AB3F6E" w14:paraId="19A3851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736BDA" w14:textId="77777777" w:rsidR="00AB3F6E" w:rsidRDefault="00000000">
            <w:r>
              <w:rPr>
                <w:sz w:val="19"/>
                <w:szCs w:val="19"/>
              </w:rPr>
              <w:t>src/orchestration/</w:t>
            </w:r>
          </w:p>
        </w:tc>
        <w:tc>
          <w:tcPr>
            <w:tcW w:w="69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FD4DEF" w14:textId="77777777" w:rsidR="00AB3F6E" w:rsidRDefault="00000000">
            <w:r>
              <w:rPr>
                <w:sz w:val="19"/>
                <w:szCs w:val="19"/>
              </w:rPr>
              <w:t>Assets Dagster enveloppant les fonctions ci-dessus (aucune duplication de logique) ; planification quotidienne 22h00 en semaine ; installation launchd pour exécution non surveillée.</w:t>
            </w:r>
          </w:p>
        </w:tc>
      </w:tr>
    </w:tbl>
    <w:p w14:paraId="3135B732" w14:textId="77777777" w:rsidR="00AB3F6E" w:rsidRDefault="00AB3F6E">
      <w:pPr>
        <w:spacing w:after="120"/>
      </w:pPr>
    </w:p>
    <w:p w14:paraId="74C1CBF5" w14:textId="77777777" w:rsidR="00AB3F6E" w:rsidRDefault="00000000">
      <w:pPr>
        <w:pStyle w:val="Heading2"/>
      </w:pPr>
      <w:bookmarkStart w:id="17" w:name="_Toc234182212"/>
      <w:r>
        <w:t>7.1 Trois extraits représentatifs</w:t>
      </w:r>
      <w:bookmarkEnd w:id="17"/>
    </w:p>
    <w:p w14:paraId="49BA6B31" w14:textId="77777777" w:rsidR="00AB3F6E" w:rsidRDefault="00000000">
      <w:pPr>
        <w:spacing w:after="120"/>
      </w:pPr>
      <w:r>
        <w:rPr>
          <w:b/>
          <w:bCs/>
        </w:rPr>
        <w:t>L’alignement calendaire</w:t>
      </w:r>
      <w:r>
        <w:t xml:space="preserve"> (clean.py) — le cœur du nettoyage :</w:t>
      </w:r>
    </w:p>
    <w:p w14:paraId="0FAF13F1" w14:textId="77777777" w:rsidR="00AB3F6E" w:rsidRDefault="00000000">
      <w:pPr>
        <w:shd w:val="clear" w:color="auto" w:fill="F2F2F2"/>
        <w:ind w:left="240"/>
      </w:pPr>
      <w:r>
        <w:rPr>
          <w:rFonts w:ascii="Consolas" w:eastAsia="Consolas" w:hAnsi="Consolas" w:cs="Consolas"/>
          <w:sz w:val="18"/>
          <w:szCs w:val="18"/>
        </w:rPr>
        <w:t>bday_index = pd.bdate_range(prices.index.min(), prices.index.max())</w:t>
      </w:r>
    </w:p>
    <w:p w14:paraId="4A9CAF8F" w14:textId="77777777" w:rsidR="00AB3F6E" w:rsidRDefault="00000000">
      <w:pPr>
        <w:shd w:val="clear" w:color="auto" w:fill="F2F2F2"/>
        <w:ind w:left="240"/>
      </w:pPr>
      <w:r>
        <w:rPr>
          <w:rFonts w:ascii="Consolas" w:eastAsia="Consolas" w:hAnsi="Consolas" w:cs="Consolas"/>
          <w:sz w:val="18"/>
          <w:szCs w:val="18"/>
        </w:rPr>
        <w:t>reindexed  = prices.reindex(bday_index).ffill(limit=ffill_limit)</w:t>
      </w:r>
    </w:p>
    <w:p w14:paraId="7807E4D3" w14:textId="77777777" w:rsidR="00AB3F6E" w:rsidRDefault="00000000">
      <w:pPr>
        <w:shd w:val="clear" w:color="auto" w:fill="F2F2F2"/>
        <w:spacing w:after="120"/>
        <w:ind w:left="240"/>
      </w:pPr>
      <w:r>
        <w:rPr>
          <w:rFonts w:ascii="Consolas" w:eastAsia="Consolas" w:hAnsi="Consolas" w:cs="Consolas"/>
          <w:sz w:val="18"/>
          <w:szCs w:val="18"/>
        </w:rPr>
        <w:t>aligned    = reindexed.dropna()   # fenêtre commune à TOUTES les colonnes</w:t>
      </w:r>
    </w:p>
    <w:p w14:paraId="61E277B9" w14:textId="77777777" w:rsidR="00AB3F6E" w:rsidRDefault="00000000">
      <w:pPr>
        <w:spacing w:after="120"/>
      </w:pPr>
      <w:r>
        <w:t>Le dropna() final garantit une matrice rectangulaire sans NaN, mais possède un angle mort : une colonne qui démarre tard supprime l’historique de toutes les autres. Le code mesure désormais cet écart et l’affiche en avertissement chiffré — cette perte ne peut plus être silencieuse (cf. 11.4).</w:t>
      </w:r>
    </w:p>
    <w:p w14:paraId="4817E4D3" w14:textId="77777777" w:rsidR="00AB3F6E" w:rsidRDefault="00000000">
      <w:pPr>
        <w:spacing w:after="120"/>
      </w:pPr>
      <w:r>
        <w:rPr>
          <w:b/>
          <w:bCs/>
        </w:rPr>
        <w:t>Le taux directeur en fonction escalier</w:t>
      </w:r>
      <w:r>
        <w:t xml:space="preserve"> (ingest.py) — BAM ne publie pas d’API ; ses décisions (~trimestrielles) sont transcrites en couples (date, taux) puis étendues en série quotidienne :</w:t>
      </w:r>
    </w:p>
    <w:p w14:paraId="57B24CB7" w14:textId="77777777" w:rsidR="00AB3F6E" w:rsidRDefault="00000000">
      <w:pPr>
        <w:shd w:val="clear" w:color="auto" w:fill="F2F2F2"/>
        <w:ind w:left="240"/>
      </w:pPr>
      <w:r>
        <w:rPr>
          <w:rFonts w:ascii="Consolas" w:eastAsia="Consolas" w:hAnsi="Consolas" w:cs="Consolas"/>
          <w:sz w:val="18"/>
          <w:szCs w:val="18"/>
        </w:rPr>
        <w:t>decisions = pd.DataFrame(_TAUX_DIRECTEUR_DECISIONS, columns=["date", "rate"])</w:t>
      </w:r>
    </w:p>
    <w:p w14:paraId="6E35EF0E" w14:textId="77777777" w:rsidR="00AB3F6E" w:rsidRDefault="00000000">
      <w:pPr>
        <w:shd w:val="clear" w:color="auto" w:fill="F2F2F2"/>
        <w:spacing w:after="120"/>
        <w:ind w:left="240"/>
      </w:pPr>
      <w:r>
        <w:rPr>
          <w:rFonts w:ascii="Consolas" w:eastAsia="Consolas" w:hAnsi="Consolas" w:cs="Consolas"/>
          <w:sz w:val="18"/>
          <w:szCs w:val="18"/>
        </w:rPr>
        <w:t>taux = decisions.set_index("date")["rate"].reindex(full_index, method="ffill")</w:t>
      </w:r>
    </w:p>
    <w:p w14:paraId="2620DF7A" w14:textId="77777777" w:rsidR="00AB3F6E" w:rsidRDefault="00000000">
      <w:pPr>
        <w:spacing w:after="120"/>
      </w:pPr>
      <w:r>
        <w:t xml:space="preserve">Ce forward-fill n’est </w:t>
      </w:r>
      <w:r>
        <w:rPr>
          <w:i/>
          <w:iCs/>
        </w:rPr>
        <w:t>pas</w:t>
      </w:r>
      <w:r>
        <w:t xml:space="preserve"> du lookahead : le taux reste juridiquement en vigueur jusqu’à la décision suivante. Le test test_taux_directeur_is_step_function fixe cette sémantique.</w:t>
      </w:r>
    </w:p>
    <w:p w14:paraId="562A1AAB" w14:textId="77777777" w:rsidR="00AB3F6E" w:rsidRDefault="00000000">
      <w:pPr>
        <w:spacing w:after="120"/>
      </w:pPr>
      <w:r>
        <w:rPr>
          <w:b/>
          <w:bCs/>
        </w:rPr>
        <w:t>La fusion Bronze BVC</w:t>
      </w:r>
      <w:r>
        <w:t xml:space="preserve"> (ingest.py) — la source medias24 est une fenêtre glissante ; chaque téléchargement est fusionné avec l’existant plutôt que de l’écraser :</w:t>
      </w:r>
    </w:p>
    <w:p w14:paraId="284DF9AC" w14:textId="77777777" w:rsidR="00AB3F6E" w:rsidRDefault="00000000">
      <w:pPr>
        <w:shd w:val="clear" w:color="auto" w:fill="F2F2F2"/>
        <w:ind w:left="240"/>
      </w:pPr>
      <w:r>
        <w:rPr>
          <w:rFonts w:ascii="Consolas" w:eastAsia="Consolas" w:hAnsi="Consolas" w:cs="Consolas"/>
          <w:sz w:val="18"/>
          <w:szCs w:val="18"/>
        </w:rPr>
        <w:t>raw = raw.combine_first(existing).sort_index()</w:t>
      </w:r>
    </w:p>
    <w:p w14:paraId="5270165F" w14:textId="77777777" w:rsidR="00AB3F6E" w:rsidRDefault="00000000">
      <w:pPr>
        <w:shd w:val="clear" w:color="auto" w:fill="F2F2F2"/>
        <w:ind w:left="240"/>
      </w:pPr>
      <w:r>
        <w:rPr>
          <w:rFonts w:ascii="Consolas" w:eastAsia="Consolas" w:hAnsi="Consolas" w:cs="Consolas"/>
          <w:sz w:val="18"/>
          <w:szCs w:val="18"/>
        </w:rPr>
        <w:t># nouvelles valeurs prioritaires sur les dates communes ;</w:t>
      </w:r>
    </w:p>
    <w:p w14:paraId="31172104" w14:textId="77777777" w:rsidR="00AB3F6E" w:rsidRDefault="00000000">
      <w:pPr>
        <w:shd w:val="clear" w:color="auto" w:fill="F2F2F2"/>
        <w:spacing w:after="120"/>
        <w:ind w:left="240"/>
      </w:pPr>
      <w:r>
        <w:rPr>
          <w:rFonts w:ascii="Consolas" w:eastAsia="Consolas" w:hAnsi="Consolas" w:cs="Consolas"/>
          <w:sz w:val="18"/>
          <w:szCs w:val="18"/>
        </w:rPr>
        <w:t># les lignes que la source ne sert plus sont préservées</w:t>
      </w:r>
    </w:p>
    <w:p w14:paraId="5F5A5C82" w14:textId="77777777" w:rsidR="00AB3F6E" w:rsidRDefault="00000000">
      <w:r>
        <w:br w:type="page"/>
      </w:r>
    </w:p>
    <w:p w14:paraId="289BE110" w14:textId="77777777" w:rsidR="00AB3F6E" w:rsidRDefault="00000000">
      <w:pPr>
        <w:pStyle w:val="Heading1"/>
      </w:pPr>
      <w:bookmarkStart w:id="18" w:name="_Toc234182213"/>
      <w:r>
        <w:lastRenderedPageBreak/>
        <w:t>8. Qualité des données : résultats de validation</w:t>
      </w:r>
      <w:bookmarkEnd w:id="18"/>
    </w:p>
    <w:p w14:paraId="7F15E39F" w14:textId="77777777" w:rsidR="00AB3F6E" w:rsidRDefault="00000000">
      <w:pPr>
        <w:pStyle w:val="Heading2"/>
      </w:pPr>
      <w:bookmarkStart w:id="19" w:name="_Toc234182214"/>
      <w:r>
        <w:t>8.1 État de la couche Gold (au 5 juillet 2026)</w:t>
      </w:r>
      <w:bookmarkEnd w:id="1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12"/>
      </w:tblGrid>
      <w:tr w:rsidR="00AB3F6E" w14:paraId="4311FF23" w14:textId="77777777">
        <w:tblPrEx>
          <w:tblCellMar>
            <w:top w:w="0" w:type="dxa"/>
            <w:bottom w:w="0" w:type="dxa"/>
          </w:tblCellMar>
        </w:tblPrEx>
        <w:trPr>
          <w:tblHeader/>
        </w:trPr>
        <w:tc>
          <w:tcPr>
            <w:tcW w:w="4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05CA4F8A" w14:textId="77777777" w:rsidR="00AB3F6E" w:rsidRDefault="00000000">
            <w:r>
              <w:rPr>
                <w:b/>
                <w:bCs/>
                <w:color w:val="FFFFFF"/>
                <w:sz w:val="19"/>
                <w:szCs w:val="19"/>
              </w:rPr>
              <w:t>Indicateur</w:t>
            </w:r>
          </w:p>
        </w:tc>
        <w:tc>
          <w:tcPr>
            <w:tcW w:w="471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D5A0F84" w14:textId="77777777" w:rsidR="00AB3F6E" w:rsidRDefault="00000000">
            <w:r>
              <w:rPr>
                <w:b/>
                <w:bCs/>
                <w:color w:val="FFFFFF"/>
                <w:sz w:val="19"/>
                <w:szCs w:val="19"/>
              </w:rPr>
              <w:t>Valeur</w:t>
            </w:r>
          </w:p>
        </w:tc>
      </w:tr>
      <w:tr w:rsidR="00AB3F6E" w14:paraId="33F0B0F7" w14:textId="77777777">
        <w:tblPrEx>
          <w:tblCellMar>
            <w:top w:w="0" w:type="dxa"/>
            <w:bottom w:w="0" w:type="dxa"/>
          </w:tblCellMar>
        </w:tblPrEx>
        <w:tc>
          <w:tcPr>
            <w:tcW w:w="4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75C6CC" w14:textId="77777777" w:rsidR="00AB3F6E" w:rsidRDefault="00000000">
            <w:r>
              <w:rPr>
                <w:sz w:val="19"/>
                <w:szCs w:val="19"/>
              </w:rPr>
              <w:t>Jours de bourse (univers 9 actifs)</w:t>
            </w:r>
          </w:p>
        </w:tc>
        <w:tc>
          <w:tcPr>
            <w:tcW w:w="47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5834DC" w14:textId="77777777" w:rsidR="00AB3F6E" w:rsidRDefault="00000000">
            <w:r>
              <w:rPr>
                <w:sz w:val="19"/>
                <w:szCs w:val="19"/>
              </w:rPr>
              <w:t>1 305 (02/07/2021 → 02/07/2026)</w:t>
            </w:r>
          </w:p>
        </w:tc>
      </w:tr>
      <w:tr w:rsidR="00AB3F6E" w14:paraId="0886136F" w14:textId="77777777">
        <w:tblPrEx>
          <w:tblCellMar>
            <w:top w:w="0" w:type="dxa"/>
            <w:bottom w:w="0" w:type="dxa"/>
          </w:tblCellMar>
        </w:tblPrEx>
        <w:tc>
          <w:tcPr>
            <w:tcW w:w="47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33C1D3CA" w14:textId="77777777" w:rsidR="00AB3F6E" w:rsidRDefault="00000000">
            <w:r>
              <w:rPr>
                <w:sz w:val="19"/>
                <w:szCs w:val="19"/>
              </w:rPr>
              <w:t>Jours de bourse (univers ETF, préparé pour la Phase 2)</w:t>
            </w:r>
          </w:p>
        </w:tc>
        <w:tc>
          <w:tcPr>
            <w:tcW w:w="47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DE6C0FA" w14:textId="77777777" w:rsidR="00AB3F6E" w:rsidRDefault="00000000">
            <w:r>
              <w:rPr>
                <w:sz w:val="19"/>
                <w:szCs w:val="19"/>
              </w:rPr>
              <w:t>2 477 (depuis 04/01/2017, incluant le krach COVID et le choc de taux 2022)</w:t>
            </w:r>
          </w:p>
        </w:tc>
      </w:tr>
      <w:tr w:rsidR="00AB3F6E" w14:paraId="5F222E67" w14:textId="77777777">
        <w:tblPrEx>
          <w:tblCellMar>
            <w:top w:w="0" w:type="dxa"/>
            <w:bottom w:w="0" w:type="dxa"/>
          </w:tblCellMar>
        </w:tblPrEx>
        <w:tc>
          <w:tcPr>
            <w:tcW w:w="4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A45049" w14:textId="77777777" w:rsidR="00AB3F6E" w:rsidRDefault="00000000">
            <w:r>
              <w:rPr>
                <w:sz w:val="19"/>
                <w:szCs w:val="19"/>
              </w:rPr>
              <w:t>Valeurs manquantes</w:t>
            </w:r>
          </w:p>
        </w:tc>
        <w:tc>
          <w:tcPr>
            <w:tcW w:w="47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A8B485" w14:textId="77777777" w:rsidR="00AB3F6E" w:rsidRDefault="00000000">
            <w:r>
              <w:rPr>
                <w:sz w:val="19"/>
                <w:szCs w:val="19"/>
              </w:rPr>
              <w:t>0</w:t>
            </w:r>
          </w:p>
        </w:tc>
      </w:tr>
      <w:tr w:rsidR="00AB3F6E" w14:paraId="0C40BE78" w14:textId="77777777">
        <w:tblPrEx>
          <w:tblCellMar>
            <w:top w:w="0" w:type="dxa"/>
            <w:bottom w:w="0" w:type="dxa"/>
          </w:tblCellMar>
        </w:tblPrEx>
        <w:tc>
          <w:tcPr>
            <w:tcW w:w="47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3D5B0853" w14:textId="77777777" w:rsidR="00AB3F6E" w:rsidRDefault="00000000">
            <w:r>
              <w:rPr>
                <w:sz w:val="19"/>
                <w:szCs w:val="19"/>
              </w:rPr>
              <w:t>Validation Pandera</w:t>
            </w:r>
          </w:p>
        </w:tc>
        <w:tc>
          <w:tcPr>
            <w:tcW w:w="47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685B28FF" w14:textId="77777777" w:rsidR="00AB3F6E" w:rsidRDefault="00000000">
            <w:r>
              <w:rPr>
                <w:sz w:val="19"/>
                <w:szCs w:val="19"/>
              </w:rPr>
              <w:t>RÉUSSIE (bornes ±50 %, ≥ 500 lignes, index croissant, 0 NaN)</w:t>
            </w:r>
          </w:p>
        </w:tc>
      </w:tr>
      <w:tr w:rsidR="00AB3F6E" w14:paraId="77405CC8" w14:textId="77777777">
        <w:tblPrEx>
          <w:tblCellMar>
            <w:top w:w="0" w:type="dxa"/>
            <w:bottom w:w="0" w:type="dxa"/>
          </w:tblCellMar>
        </w:tblPrEx>
        <w:tc>
          <w:tcPr>
            <w:tcW w:w="4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D7B06D" w14:textId="77777777" w:rsidR="00AB3F6E" w:rsidRDefault="00000000">
            <w:r>
              <w:rPr>
                <w:sz w:val="19"/>
                <w:szCs w:val="19"/>
              </w:rPr>
              <w:t>Features macro</w:t>
            </w:r>
          </w:p>
        </w:tc>
        <w:tc>
          <w:tcPr>
            <w:tcW w:w="47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980D3B" w14:textId="77777777" w:rsidR="00AB3F6E" w:rsidRDefault="00000000">
            <w:r>
              <w:rPr>
                <w:sz w:val="19"/>
                <w:szCs w:val="19"/>
              </w:rPr>
              <w:t>7 colonnes ; 1 179 lignes complètes sur 1 303</w:t>
            </w:r>
          </w:p>
        </w:tc>
      </w:tr>
      <w:tr w:rsidR="00AB3F6E" w14:paraId="0B7F9A8C" w14:textId="77777777">
        <w:tblPrEx>
          <w:tblCellMar>
            <w:top w:w="0" w:type="dxa"/>
            <w:bottom w:w="0" w:type="dxa"/>
          </w:tblCellMar>
        </w:tblPrEx>
        <w:tc>
          <w:tcPr>
            <w:tcW w:w="47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7B346860" w14:textId="77777777" w:rsidR="00AB3F6E" w:rsidRDefault="00000000">
            <w:r>
              <w:rPr>
                <w:sz w:val="19"/>
                <w:szCs w:val="19"/>
              </w:rPr>
              <w:t>Actifs signalés illiquides</w:t>
            </w:r>
          </w:p>
        </w:tc>
        <w:tc>
          <w:tcPr>
            <w:tcW w:w="47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4953784" w14:textId="77777777" w:rsidR="00AB3F6E" w:rsidRDefault="00000000">
            <w:r>
              <w:rPr>
                <w:sz w:val="19"/>
                <w:szCs w:val="19"/>
              </w:rPr>
              <w:t>CIH.CS, BCP.CS (séquences de 5 jours à rendement nul)</w:t>
            </w:r>
          </w:p>
        </w:tc>
      </w:tr>
    </w:tbl>
    <w:p w14:paraId="3958AD4C" w14:textId="77777777" w:rsidR="00AB3F6E" w:rsidRDefault="00AB3F6E">
      <w:pPr>
        <w:spacing w:after="120"/>
      </w:pPr>
    </w:p>
    <w:p w14:paraId="19FD1E8B" w14:textId="77777777" w:rsidR="00AB3F6E" w:rsidRDefault="00000000">
      <w:pPr>
        <w:pStyle w:val="Heading2"/>
      </w:pPr>
      <w:bookmarkStart w:id="20" w:name="_Toc234182215"/>
      <w:r>
        <w:t>8.2 Stationnarité (ADF + KPSS) — résultats réels</w:t>
      </w:r>
      <w:bookmarkEnd w:id="2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900"/>
        <w:gridCol w:w="4212"/>
      </w:tblGrid>
      <w:tr w:rsidR="00AB3F6E" w14:paraId="49746B5D" w14:textId="77777777">
        <w:tblPrEx>
          <w:tblCellMar>
            <w:top w:w="0" w:type="dxa"/>
            <w:bottom w:w="0" w:type="dxa"/>
          </w:tblCellMar>
        </w:tblPrEx>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E897D7C" w14:textId="77777777" w:rsidR="00AB3F6E" w:rsidRDefault="00000000">
            <w:r>
              <w:rPr>
                <w:b/>
                <w:bCs/>
                <w:color w:val="FFFFFF"/>
                <w:sz w:val="19"/>
                <w:szCs w:val="19"/>
              </w:rPr>
              <w:t>Actif</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B9FC05C" w14:textId="77777777" w:rsidR="00AB3F6E" w:rsidRDefault="00000000">
            <w:r>
              <w:rPr>
                <w:b/>
                <w:bCs/>
                <w:color w:val="FFFFFF"/>
                <w:sz w:val="19"/>
                <w:szCs w:val="19"/>
              </w:rPr>
              <w:t>ADF p-value</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AA359BE" w14:textId="77777777" w:rsidR="00AB3F6E" w:rsidRDefault="00000000">
            <w:r>
              <w:rPr>
                <w:b/>
                <w:bCs/>
                <w:color w:val="FFFFFF"/>
                <w:sz w:val="19"/>
                <w:szCs w:val="19"/>
              </w:rPr>
              <w:t>KPSS p-value</w:t>
            </w:r>
          </w:p>
        </w:tc>
        <w:tc>
          <w:tcPr>
            <w:tcW w:w="421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7B6C370" w14:textId="77777777" w:rsidR="00AB3F6E" w:rsidRDefault="00000000">
            <w:r>
              <w:rPr>
                <w:b/>
                <w:bCs/>
                <w:color w:val="FFFFFF"/>
                <w:sz w:val="19"/>
                <w:szCs w:val="19"/>
              </w:rPr>
              <w:t>Conclusion</w:t>
            </w:r>
          </w:p>
        </w:tc>
      </w:tr>
      <w:tr w:rsidR="00AB3F6E" w14:paraId="54B235AB"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47BA29" w14:textId="77777777" w:rsidR="00AB3F6E" w:rsidRDefault="00000000">
            <w:r>
              <w:rPr>
                <w:sz w:val="19"/>
                <w:szCs w:val="19"/>
              </w:rPr>
              <w:t>SPY</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BD7588" w14:textId="77777777" w:rsidR="00AB3F6E" w:rsidRDefault="00000000">
            <w:r>
              <w:rPr>
                <w:sz w:val="19"/>
                <w:szCs w:val="19"/>
              </w:rPr>
              <w:t>0,000</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52DCEA" w14:textId="77777777" w:rsidR="00AB3F6E" w:rsidRDefault="00000000">
            <w:r>
              <w:rPr>
                <w:sz w:val="19"/>
                <w:szCs w:val="19"/>
              </w:rPr>
              <w:t>0,100</w:t>
            </w:r>
          </w:p>
        </w:tc>
        <w:tc>
          <w:tcPr>
            <w:tcW w:w="42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F1D62D" w14:textId="77777777" w:rsidR="00AB3F6E" w:rsidRDefault="00000000">
            <w:r>
              <w:rPr>
                <w:sz w:val="19"/>
                <w:szCs w:val="19"/>
              </w:rPr>
              <w:t>STATIONNAIRE</w:t>
            </w:r>
          </w:p>
        </w:tc>
      </w:tr>
      <w:tr w:rsidR="00AB3F6E" w14:paraId="4503920D"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53C1B93C" w14:textId="77777777" w:rsidR="00AB3F6E" w:rsidRDefault="00000000">
            <w:r>
              <w:rPr>
                <w:sz w:val="19"/>
                <w:szCs w:val="19"/>
              </w:rPr>
              <w:t>QQQ</w:t>
            </w:r>
          </w:p>
        </w:tc>
        <w:tc>
          <w:tcPr>
            <w:tcW w:w="1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49EC2403" w14:textId="77777777" w:rsidR="00AB3F6E" w:rsidRDefault="00000000">
            <w:r>
              <w:rPr>
                <w:sz w:val="19"/>
                <w:szCs w:val="19"/>
              </w:rPr>
              <w:t>0,000</w:t>
            </w:r>
          </w:p>
        </w:tc>
        <w:tc>
          <w:tcPr>
            <w:tcW w:w="1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32E728B" w14:textId="77777777" w:rsidR="00AB3F6E" w:rsidRDefault="00000000">
            <w:r>
              <w:rPr>
                <w:sz w:val="19"/>
                <w:szCs w:val="19"/>
              </w:rPr>
              <w:t>0,100</w:t>
            </w:r>
          </w:p>
        </w:tc>
        <w:tc>
          <w:tcPr>
            <w:tcW w:w="42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7ECDDBE" w14:textId="77777777" w:rsidR="00AB3F6E" w:rsidRDefault="00000000">
            <w:r>
              <w:rPr>
                <w:sz w:val="19"/>
                <w:szCs w:val="19"/>
              </w:rPr>
              <w:t>STATIONNAIRE</w:t>
            </w:r>
          </w:p>
        </w:tc>
      </w:tr>
      <w:tr w:rsidR="00AB3F6E" w14:paraId="5BED962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06C6E7" w14:textId="77777777" w:rsidR="00AB3F6E" w:rsidRDefault="00000000">
            <w:r>
              <w:rPr>
                <w:sz w:val="19"/>
                <w:szCs w:val="19"/>
              </w:rPr>
              <w:t>EEM</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095F03" w14:textId="77777777" w:rsidR="00AB3F6E" w:rsidRDefault="00000000">
            <w:r>
              <w:rPr>
                <w:sz w:val="19"/>
                <w:szCs w:val="19"/>
              </w:rPr>
              <w:t>0,000</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8EE0C9" w14:textId="77777777" w:rsidR="00AB3F6E" w:rsidRDefault="00000000">
            <w:r>
              <w:rPr>
                <w:sz w:val="19"/>
                <w:szCs w:val="19"/>
              </w:rPr>
              <w:t>0,023</w:t>
            </w:r>
          </w:p>
        </w:tc>
        <w:tc>
          <w:tcPr>
            <w:tcW w:w="42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527209" w14:textId="77777777" w:rsidR="00AB3F6E" w:rsidRDefault="00000000">
            <w:r>
              <w:rPr>
                <w:sz w:val="19"/>
                <w:szCs w:val="19"/>
              </w:rPr>
              <w:t>AMBIGU — KPSS rejette ; rupture structurelle plausible (vente massive émergents 2022). Traité comme stationnaire, signalé, à réexaminer en Phase 4.</w:t>
            </w:r>
          </w:p>
        </w:tc>
      </w:tr>
      <w:tr w:rsidR="00AB3F6E" w14:paraId="0F98A9A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44A5B8DF" w14:textId="77777777" w:rsidR="00AB3F6E" w:rsidRDefault="00000000">
            <w:r>
              <w:rPr>
                <w:sz w:val="19"/>
                <w:szCs w:val="19"/>
              </w:rPr>
              <w:t>GLD</w:t>
            </w:r>
          </w:p>
        </w:tc>
        <w:tc>
          <w:tcPr>
            <w:tcW w:w="1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4B21C07" w14:textId="77777777" w:rsidR="00AB3F6E" w:rsidRDefault="00000000">
            <w:r>
              <w:rPr>
                <w:sz w:val="19"/>
                <w:szCs w:val="19"/>
              </w:rPr>
              <w:t>0,000</w:t>
            </w:r>
          </w:p>
        </w:tc>
        <w:tc>
          <w:tcPr>
            <w:tcW w:w="1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5FEA0A4A" w14:textId="77777777" w:rsidR="00AB3F6E" w:rsidRDefault="00000000">
            <w:r>
              <w:rPr>
                <w:sz w:val="19"/>
                <w:szCs w:val="19"/>
              </w:rPr>
              <w:t>0,100</w:t>
            </w:r>
          </w:p>
        </w:tc>
        <w:tc>
          <w:tcPr>
            <w:tcW w:w="42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3099993E" w14:textId="77777777" w:rsidR="00AB3F6E" w:rsidRDefault="00000000">
            <w:r>
              <w:rPr>
                <w:sz w:val="19"/>
                <w:szCs w:val="19"/>
              </w:rPr>
              <w:t>STATIONNAIRE</w:t>
            </w:r>
          </w:p>
        </w:tc>
      </w:tr>
      <w:tr w:rsidR="00AB3F6E" w14:paraId="1A7C438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B0519D" w14:textId="77777777" w:rsidR="00AB3F6E" w:rsidRDefault="00000000">
            <w:r>
              <w:rPr>
                <w:sz w:val="19"/>
                <w:szCs w:val="19"/>
              </w:rPr>
              <w:t>TLT</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37E2DA" w14:textId="77777777" w:rsidR="00AB3F6E" w:rsidRDefault="00000000">
            <w:r>
              <w:rPr>
                <w:sz w:val="19"/>
                <w:szCs w:val="19"/>
              </w:rPr>
              <w:t>0,000</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06B7E9" w14:textId="77777777" w:rsidR="00AB3F6E" w:rsidRDefault="00000000">
            <w:r>
              <w:rPr>
                <w:sz w:val="19"/>
                <w:szCs w:val="19"/>
              </w:rPr>
              <w:t>0,100</w:t>
            </w:r>
          </w:p>
        </w:tc>
        <w:tc>
          <w:tcPr>
            <w:tcW w:w="42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CA4314" w14:textId="77777777" w:rsidR="00AB3F6E" w:rsidRDefault="00000000">
            <w:r>
              <w:rPr>
                <w:sz w:val="19"/>
                <w:szCs w:val="19"/>
              </w:rPr>
              <w:t>STATIONNAIRE</w:t>
            </w:r>
          </w:p>
        </w:tc>
      </w:tr>
      <w:tr w:rsidR="00AB3F6E" w14:paraId="627802C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C36CBFD" w14:textId="77777777" w:rsidR="00AB3F6E" w:rsidRDefault="00000000">
            <w:r>
              <w:rPr>
                <w:sz w:val="19"/>
                <w:szCs w:val="19"/>
              </w:rPr>
              <w:t>IAM.CS</w:t>
            </w:r>
          </w:p>
        </w:tc>
        <w:tc>
          <w:tcPr>
            <w:tcW w:w="1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4D3C62C1" w14:textId="77777777" w:rsidR="00AB3F6E" w:rsidRDefault="00000000">
            <w:r>
              <w:rPr>
                <w:sz w:val="19"/>
                <w:szCs w:val="19"/>
              </w:rPr>
              <w:t>0,000</w:t>
            </w:r>
          </w:p>
        </w:tc>
        <w:tc>
          <w:tcPr>
            <w:tcW w:w="1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0A568A5" w14:textId="77777777" w:rsidR="00AB3F6E" w:rsidRDefault="00000000">
            <w:r>
              <w:rPr>
                <w:sz w:val="19"/>
                <w:szCs w:val="19"/>
              </w:rPr>
              <w:t>0,100</w:t>
            </w:r>
          </w:p>
        </w:tc>
        <w:tc>
          <w:tcPr>
            <w:tcW w:w="42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4AC5651" w14:textId="77777777" w:rsidR="00AB3F6E" w:rsidRDefault="00000000">
            <w:r>
              <w:rPr>
                <w:sz w:val="19"/>
                <w:szCs w:val="19"/>
              </w:rPr>
              <w:t>STATIONNAIRE</w:t>
            </w:r>
          </w:p>
        </w:tc>
      </w:tr>
      <w:tr w:rsidR="00AB3F6E" w14:paraId="2137B382"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0F12E3" w14:textId="77777777" w:rsidR="00AB3F6E" w:rsidRDefault="00000000">
            <w:r>
              <w:rPr>
                <w:sz w:val="19"/>
                <w:szCs w:val="19"/>
              </w:rPr>
              <w:t>ATW.CS</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5467B5" w14:textId="77777777" w:rsidR="00AB3F6E" w:rsidRDefault="00000000">
            <w:r>
              <w:rPr>
                <w:sz w:val="19"/>
                <w:szCs w:val="19"/>
              </w:rPr>
              <w:t>0,000</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1B4B0C" w14:textId="77777777" w:rsidR="00AB3F6E" w:rsidRDefault="00000000">
            <w:r>
              <w:rPr>
                <w:sz w:val="19"/>
                <w:szCs w:val="19"/>
              </w:rPr>
              <w:t>0,100</w:t>
            </w:r>
          </w:p>
        </w:tc>
        <w:tc>
          <w:tcPr>
            <w:tcW w:w="42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1AB8FE" w14:textId="77777777" w:rsidR="00AB3F6E" w:rsidRDefault="00000000">
            <w:r>
              <w:rPr>
                <w:sz w:val="19"/>
                <w:szCs w:val="19"/>
              </w:rPr>
              <w:t>STATIONNAIRE</w:t>
            </w:r>
          </w:p>
        </w:tc>
      </w:tr>
      <w:tr w:rsidR="00AB3F6E" w14:paraId="18848F24"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70EE346D" w14:textId="77777777" w:rsidR="00AB3F6E" w:rsidRDefault="00000000">
            <w:r>
              <w:rPr>
                <w:sz w:val="19"/>
                <w:szCs w:val="19"/>
              </w:rPr>
              <w:t>CIH.CS</w:t>
            </w:r>
          </w:p>
        </w:tc>
        <w:tc>
          <w:tcPr>
            <w:tcW w:w="1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7D5E2E42" w14:textId="77777777" w:rsidR="00AB3F6E" w:rsidRDefault="00000000">
            <w:r>
              <w:rPr>
                <w:sz w:val="19"/>
                <w:szCs w:val="19"/>
              </w:rPr>
              <w:t>0,000</w:t>
            </w:r>
          </w:p>
        </w:tc>
        <w:tc>
          <w:tcPr>
            <w:tcW w:w="19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1219323" w14:textId="77777777" w:rsidR="00AB3F6E" w:rsidRDefault="00000000">
            <w:r>
              <w:rPr>
                <w:sz w:val="19"/>
                <w:szCs w:val="19"/>
              </w:rPr>
              <w:t>0,100</w:t>
            </w:r>
          </w:p>
        </w:tc>
        <w:tc>
          <w:tcPr>
            <w:tcW w:w="42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016749E" w14:textId="77777777" w:rsidR="00AB3F6E" w:rsidRDefault="00000000">
            <w:r>
              <w:rPr>
                <w:sz w:val="19"/>
                <w:szCs w:val="19"/>
              </w:rPr>
              <w:t>STATIONNAIRE</w:t>
            </w:r>
          </w:p>
        </w:tc>
      </w:tr>
      <w:tr w:rsidR="00AB3F6E" w14:paraId="509C266F"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742555" w14:textId="77777777" w:rsidR="00AB3F6E" w:rsidRDefault="00000000">
            <w:r>
              <w:rPr>
                <w:sz w:val="19"/>
                <w:szCs w:val="19"/>
              </w:rPr>
              <w:t>BCP.CS</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C8EBC4" w14:textId="77777777" w:rsidR="00AB3F6E" w:rsidRDefault="00000000">
            <w:r>
              <w:rPr>
                <w:sz w:val="19"/>
                <w:szCs w:val="19"/>
              </w:rPr>
              <w:t>0,000</w:t>
            </w:r>
          </w:p>
        </w:tc>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09BFC2" w14:textId="77777777" w:rsidR="00AB3F6E" w:rsidRDefault="00000000">
            <w:r>
              <w:rPr>
                <w:sz w:val="19"/>
                <w:szCs w:val="19"/>
              </w:rPr>
              <w:t>0,100</w:t>
            </w:r>
          </w:p>
        </w:tc>
        <w:tc>
          <w:tcPr>
            <w:tcW w:w="42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0E2B34" w14:textId="77777777" w:rsidR="00AB3F6E" w:rsidRDefault="00000000">
            <w:r>
              <w:rPr>
                <w:sz w:val="19"/>
                <w:szCs w:val="19"/>
              </w:rPr>
              <w:t>STATIONNAIRE</w:t>
            </w:r>
          </w:p>
        </w:tc>
      </w:tr>
    </w:tbl>
    <w:p w14:paraId="117B412D" w14:textId="77777777" w:rsidR="00AB3F6E" w:rsidRDefault="00AB3F6E">
      <w:pPr>
        <w:spacing w:after="120"/>
      </w:pPr>
    </w:p>
    <w:p w14:paraId="40800E73" w14:textId="77777777" w:rsidR="00AB3F6E" w:rsidRDefault="00000000">
      <w:pPr>
        <w:spacing w:after="120"/>
      </w:pPr>
      <w:r>
        <w:t>Huit actifs sur neuf satisfont la double condition. Le cas EEM illustre précisément pourquoi nous refusons de conclure sur un test unique : ADF seul l’aurait déclaré stationnaire sans réserve.</w:t>
      </w:r>
    </w:p>
    <w:p w14:paraId="0BB726F9" w14:textId="77777777" w:rsidR="00AB3F6E" w:rsidRDefault="00000000">
      <w:pPr>
        <w:pStyle w:val="Heading2"/>
      </w:pPr>
      <w:bookmarkStart w:id="21" w:name="_Toc234182216"/>
      <w:r>
        <w:t>8.3 Ce que le notebook d’EDA démontre</w:t>
      </w:r>
      <w:bookmarkEnd w:id="21"/>
    </w:p>
    <w:p w14:paraId="0C5EE618" w14:textId="77777777" w:rsidR="00AB3F6E" w:rsidRDefault="00000000">
      <w:pPr>
        <w:pStyle w:val="ListParagraph"/>
        <w:numPr>
          <w:ilvl w:val="0"/>
          <w:numId w:val="2"/>
        </w:numPr>
        <w:spacing w:after="60"/>
      </w:pPr>
      <w:r>
        <w:t>Queues épaisses et non-normalité (kurtosis excédentaire de 4 à 10 selon l’actif) — P2 ;</w:t>
      </w:r>
    </w:p>
    <w:p w14:paraId="2FADCCB5" w14:textId="77777777" w:rsidR="00AB3F6E" w:rsidRDefault="00000000">
      <w:pPr>
        <w:pStyle w:val="ListParagraph"/>
        <w:numPr>
          <w:ilvl w:val="0"/>
          <w:numId w:val="2"/>
        </w:numPr>
        <w:spacing w:after="60"/>
      </w:pPr>
      <w:r>
        <w:t>Volatilité en grappes (fenêtres glissantes 60 j) et persistance de la variance (ACF des rendements au carré) — P1, P2 ;</w:t>
      </w:r>
    </w:p>
    <w:p w14:paraId="3993191E" w14:textId="77777777" w:rsidR="00AB3F6E" w:rsidRDefault="00000000">
      <w:pPr>
        <w:pStyle w:val="ListParagraph"/>
        <w:numPr>
          <w:ilvl w:val="0"/>
          <w:numId w:val="2"/>
        </w:numPr>
        <w:spacing w:after="60"/>
      </w:pPr>
      <w:r>
        <w:t>Instabilité des corrélations dans le temps et resserrement lors du choc de taux 2022 — P3 ;</w:t>
      </w:r>
    </w:p>
    <w:p w14:paraId="5B3753D0" w14:textId="77777777" w:rsidR="00AB3F6E" w:rsidRDefault="00000000">
      <w:pPr>
        <w:pStyle w:val="ListParagraph"/>
        <w:numPr>
          <w:ilvl w:val="0"/>
          <w:numId w:val="2"/>
        </w:numPr>
        <w:spacing w:after="60"/>
      </w:pPr>
      <w:r>
        <w:t xml:space="preserve">Une affirmation initiale du notebook (corrélation négative USDMAD ↔ banques BVC) a été </w:t>
      </w:r>
      <w:r>
        <w:rPr>
          <w:b/>
          <w:bCs/>
        </w:rPr>
        <w:t>rétractée après re-vérification</w:t>
      </w:r>
      <w:r>
        <w:t xml:space="preserve"> : aucun décalage de −10 à +10 jours ne dépasse la bande de significativité à 95 %. La correction figure dans le notebook (cf. 11.5).</w:t>
      </w:r>
    </w:p>
    <w:p w14:paraId="74972A13" w14:textId="77777777" w:rsidR="00AB3F6E" w:rsidRDefault="00000000">
      <w:r>
        <w:br w:type="page"/>
      </w:r>
    </w:p>
    <w:p w14:paraId="66362119" w14:textId="77777777" w:rsidR="00AB3F6E" w:rsidRDefault="00000000">
      <w:pPr>
        <w:pStyle w:val="Heading1"/>
      </w:pPr>
      <w:bookmarkStart w:id="22" w:name="_Toc234182217"/>
      <w:r>
        <w:lastRenderedPageBreak/>
        <w:t>9. Stratégie de test</w:t>
      </w:r>
      <w:bookmarkEnd w:id="22"/>
    </w:p>
    <w:p w14:paraId="45A0A236" w14:textId="77777777" w:rsidR="00AB3F6E" w:rsidRDefault="00000000">
      <w:pPr>
        <w:spacing w:after="120"/>
      </w:pPr>
      <w:r>
        <w:rPr>
          <w:b/>
          <w:bCs/>
        </w:rPr>
        <w:t>Philosophie.</w:t>
      </w:r>
      <w:r>
        <w:t xml:space="preserve"> Les 52 tests de la Phase 1 sont (a) </w:t>
      </w:r>
      <w:r>
        <w:rPr>
          <w:b/>
          <w:bCs/>
        </w:rPr>
        <w:t>hors-ligne</w:t>
      </w:r>
      <w:r>
        <w:t xml:space="preserve"> — tout appel réseau (Yahoo, FRED, BVCscrap) est simulé, la suite s’exécute en ~3 s sans clé API ; (b) </w:t>
      </w:r>
      <w:r>
        <w:rPr>
          <w:b/>
          <w:bCs/>
        </w:rPr>
        <w:t>synthétiques</w:t>
      </w:r>
      <w:r>
        <w:t xml:space="preserve"> — petites données générées, jamais le jeu réel ; (c) </w:t>
      </w:r>
      <w:r>
        <w:rPr>
          <w:b/>
          <w:bCs/>
        </w:rPr>
        <w:t>nommés d’après la règle qu’ils verrouillent</w:t>
      </w:r>
      <w:r>
        <w:t>, pas d’après la fonction appelée : la suite se lit comme la liste des décisions de conception. Cette discipline donne un réflexe de diagnostic : si les tests passent mais que le pipeline échoue, le problème est externe (réseau, clé, source).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0"/>
        <w:gridCol w:w="4152"/>
      </w:tblGrid>
      <w:tr w:rsidR="00AB3F6E" w14:paraId="65D7EA76"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E7BBB32" w14:textId="77777777" w:rsidR="00AB3F6E" w:rsidRDefault="00000000">
            <w:r>
              <w:rPr>
                <w:b/>
                <w:bCs/>
                <w:color w:val="FFFFFF"/>
                <w:sz w:val="19"/>
                <w:szCs w:val="19"/>
              </w:rPr>
              <w:t>Test (extrait)</w:t>
            </w:r>
          </w:p>
        </w:tc>
        <w:tc>
          <w:tcPr>
            <w:tcW w:w="581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BC9553E" w14:textId="77777777" w:rsidR="00AB3F6E" w:rsidRDefault="00000000">
            <w:r>
              <w:rPr>
                <w:b/>
                <w:bCs/>
                <w:color w:val="FFFFFF"/>
                <w:sz w:val="19"/>
                <w:szCs w:val="19"/>
              </w:rPr>
              <w:t>Règle verrouillée</w:t>
            </w:r>
          </w:p>
        </w:tc>
      </w:tr>
      <w:tr w:rsidR="00AB3F6E" w14:paraId="3F3885A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4AA0E3" w14:textId="77777777" w:rsidR="00AB3F6E" w:rsidRDefault="00000000">
            <w:r>
              <w:rPr>
                <w:sz w:val="19"/>
                <w:szCs w:val="19"/>
              </w:rPr>
              <w:t>test_forward_fill_not_backfill</w:t>
            </w:r>
          </w:p>
        </w:tc>
        <w:tc>
          <w:tcPr>
            <w:tcW w:w="58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0AED24" w14:textId="77777777" w:rsidR="00AB3F6E" w:rsidRDefault="00000000">
            <w:r>
              <w:rPr>
                <w:sz w:val="19"/>
                <w:szCs w:val="19"/>
              </w:rPr>
              <w:t>Un lundi manquant reçoit le prix du vendredi précédent, jamais celui du mardi suivant (anti-lookahead, 6.2).</w:t>
            </w:r>
          </w:p>
        </w:tc>
      </w:tr>
      <w:tr w:rsidR="00AB3F6E" w14:paraId="5BC510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766B153A" w14:textId="77777777" w:rsidR="00AB3F6E" w:rsidRDefault="00000000">
            <w:r>
              <w:rPr>
                <w:sz w:val="19"/>
                <w:szCs w:val="19"/>
              </w:rPr>
              <w:t>test_rejects_zero_lag</w:t>
            </w:r>
          </w:p>
        </w:tc>
        <w:tc>
          <w:tcPr>
            <w:tcW w:w="58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51A4491" w14:textId="77777777" w:rsidR="00AB3F6E" w:rsidRDefault="00000000">
            <w:r>
              <w:rPr>
                <w:sz w:val="19"/>
                <w:szCs w:val="19"/>
              </w:rPr>
              <w:t>build_macro_features(lag_days=0) lève une exception dont le message contient « lookahead » (6.5).</w:t>
            </w:r>
          </w:p>
        </w:tc>
      </w:tr>
      <w:tr w:rsidR="00AB3F6E" w14:paraId="20B1AF5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2121D8" w14:textId="77777777" w:rsidR="00AB3F6E" w:rsidRDefault="00000000">
            <w:r>
              <w:rPr>
                <w:sz w:val="19"/>
                <w:szCs w:val="19"/>
              </w:rPr>
              <w:t>test_log_returns_sum_to_total_return</w:t>
            </w:r>
          </w:p>
        </w:tc>
        <w:tc>
          <w:tcPr>
            <w:tcW w:w="58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1C31DD" w14:textId="77777777" w:rsidR="00AB3F6E" w:rsidRDefault="00000000">
            <w:r>
              <w:rPr>
                <w:sz w:val="19"/>
                <w:szCs w:val="19"/>
              </w:rPr>
              <w:t>Additivité temporelle des log-rendements, vérifiée à 10⁻⁶ (6.1).</w:t>
            </w:r>
          </w:p>
        </w:tc>
      </w:tr>
      <w:tr w:rsidR="00AB3F6E" w14:paraId="1547EA39"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5B9FB3EE" w14:textId="77777777" w:rsidR="00AB3F6E" w:rsidRDefault="00000000">
            <w:r>
              <w:rPr>
                <w:sz w:val="19"/>
                <w:szCs w:val="19"/>
              </w:rPr>
              <w:t>test_no_warn_for_single_holiday_zeros</w:t>
            </w:r>
          </w:p>
        </w:tc>
        <w:tc>
          <w:tcPr>
            <w:tcW w:w="58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18C694D2" w14:textId="77777777" w:rsidR="00AB3F6E" w:rsidRDefault="00000000">
            <w:r>
              <w:rPr>
                <w:sz w:val="19"/>
                <w:szCs w:val="19"/>
              </w:rPr>
              <w:t>Des zéros isolés (jours fériés) ne déclenchent PAS l’alerte d’illiquidité — exécuté avec warnings-as-errors (6.7).</w:t>
            </w:r>
          </w:p>
        </w:tc>
      </w:tr>
      <w:tr w:rsidR="00AB3F6E" w14:paraId="4E62DB6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F14D73" w14:textId="77777777" w:rsidR="00AB3F6E" w:rsidRDefault="00000000">
            <w:r>
              <w:rPr>
                <w:sz w:val="19"/>
                <w:szCs w:val="19"/>
              </w:rPr>
              <w:t>test_taux_directeur_is_step_function</w:t>
            </w:r>
          </w:p>
        </w:tc>
        <w:tc>
          <w:tcPr>
            <w:tcW w:w="58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34E5DA" w14:textId="77777777" w:rsidR="00AB3F6E" w:rsidRDefault="00000000">
            <w:r>
              <w:rPr>
                <w:sz w:val="19"/>
                <w:szCs w:val="19"/>
              </w:rPr>
              <w:t>Avant la première décision post-baseline, le taux vaut exactement 2,25 % chaque jour (7.1).</w:t>
            </w:r>
          </w:p>
        </w:tc>
      </w:tr>
      <w:tr w:rsidR="00AB3F6E" w14:paraId="2FA7B98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4188BF56" w14:textId="77777777" w:rsidR="00AB3F6E" w:rsidRDefault="00000000">
            <w:r>
              <w:rPr>
                <w:sz w:val="19"/>
                <w:szCs w:val="19"/>
              </w:rPr>
              <w:t>test_merge_preserves_rows_the_source_no_longer_serves</w:t>
            </w:r>
          </w:p>
        </w:tc>
        <w:tc>
          <w:tcPr>
            <w:tcW w:w="58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36211ECF" w14:textId="77777777" w:rsidR="00AB3F6E" w:rsidRDefault="00000000">
            <w:r>
              <w:rPr>
                <w:sz w:val="19"/>
                <w:szCs w:val="19"/>
              </w:rPr>
              <w:t>La fusion Bronze BVC conserve les lignes disparues de la fenêtre glissante (11.1).</w:t>
            </w:r>
          </w:p>
        </w:tc>
      </w:tr>
      <w:tr w:rsidR="00AB3F6E" w14:paraId="39B9A59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843638" w14:textId="77777777" w:rsidR="00AB3F6E" w:rsidRDefault="00000000">
            <w:r>
              <w:rPr>
                <w:sz w:val="19"/>
                <w:szCs w:val="19"/>
              </w:rPr>
              <w:t>TestSilverPipelineIntegration (3 tests)</w:t>
            </w:r>
          </w:p>
        </w:tc>
        <w:tc>
          <w:tcPr>
            <w:tcW w:w="58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20F08F" w14:textId="77777777" w:rsidR="00AB3F6E" w:rsidRDefault="00000000">
            <w:r>
              <w:rPr>
                <w:sz w:val="19"/>
                <w:szCs w:val="19"/>
              </w:rPr>
              <w:t>Le pipeline Silver complet s’exécute de bout en bout sur des fichiers Bronze synthétiques sur disque : chemins, signatures et écritures réels — la classe de bugs que les tests unitaires isolés ne voient pas.</w:t>
            </w:r>
          </w:p>
        </w:tc>
      </w:tr>
      <w:tr w:rsidR="00AB3F6E" w14:paraId="6F03CE6F"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2211A30A" w14:textId="77777777" w:rsidR="00AB3F6E" w:rsidRDefault="00000000">
            <w:r>
              <w:rPr>
                <w:sz w:val="19"/>
                <w:szCs w:val="19"/>
              </w:rPr>
              <w:t>TestLateStartTruncationWarning</w:t>
            </w:r>
          </w:p>
        </w:tc>
        <w:tc>
          <w:tcPr>
            <w:tcW w:w="58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19A877AC" w14:textId="77777777" w:rsidR="00AB3F6E" w:rsidRDefault="00000000">
            <w:r>
              <w:rPr>
                <w:sz w:val="19"/>
                <w:szCs w:val="19"/>
              </w:rPr>
              <w:t>L’avertissement de troncature se déclenche quand une colonne démarre tard, et reste silencieux sinon (11.4).</w:t>
            </w:r>
          </w:p>
        </w:tc>
      </w:tr>
    </w:tbl>
    <w:p w14:paraId="00136713" w14:textId="77777777" w:rsidR="00AB3F6E" w:rsidRDefault="00AB3F6E">
      <w:pPr>
        <w:spacing w:after="120"/>
      </w:pPr>
    </w:p>
    <w:p w14:paraId="0365E2DA" w14:textId="77777777" w:rsidR="00AB3F6E" w:rsidRDefault="00000000">
      <w:pPr>
        <w:spacing w:after="120"/>
      </w:pPr>
      <w:r>
        <w:t>Répartition : test_ingest.py (14), test_clean.py (12), test_features.py (8), test_schemas.py (8), test_pipeline.py (10, dont l’intégration de bout en bout). Chaque fonction de src/ possède au moins un test — exigence de la convention du projet. (À la date de rédaction, la suite complète du dépôt compte 101 tests, les 49 supplémentaires appartenant au socle de la Phase 2 en cours.)</w:t>
      </w:r>
    </w:p>
    <w:p w14:paraId="76BC7958" w14:textId="77777777" w:rsidR="00AB3F6E" w:rsidRDefault="00000000">
      <w:pPr>
        <w:pStyle w:val="Heading1"/>
      </w:pPr>
      <w:bookmarkStart w:id="23" w:name="_Toc234182218"/>
      <w:r>
        <w:t>10. Orchestration et reproductibilité</w:t>
      </w:r>
      <w:bookmarkEnd w:id="23"/>
    </w:p>
    <w:p w14:paraId="37881CA6" w14:textId="77777777" w:rsidR="00AB3F6E" w:rsidRDefault="00000000">
      <w:pPr>
        <w:pStyle w:val="Heading2"/>
      </w:pPr>
      <w:bookmarkStart w:id="24" w:name="_Toc234182219"/>
      <w:r>
        <w:t>10.1 Dagster — actualisation quotidienne planifiée</w:t>
      </w:r>
      <w:bookmarkEnd w:id="24"/>
    </w:p>
    <w:p w14:paraId="7BBFE158" w14:textId="77777777" w:rsidR="00AB3F6E" w:rsidRDefault="00000000">
      <w:pPr>
        <w:spacing w:after="120"/>
      </w:pPr>
      <w:r>
        <w:t>Les fonctions du pipeline sont enveloppées en « software-defined assets » dont le graphe de dépendances reflète exactement Bronze → Silver → Gold dans l’interface (http://127.0.0.1:3000). Le schedule phase1_daily_refresh s’exécute à 22h00 UTC en semaine. Deux LaunchAgents macOS maintiennent le daemon et le serveur web en vie à travers redémarrages et fermetures de session (scripts/setup_launchd.sh). Contrainte macOS documentée : le dépôt ne doit pas résider sous ~/Desktop ou ~/Documents (la protection TCC bloque les processus launchd).</w:t>
      </w:r>
    </w:p>
    <w:p w14:paraId="0B34F365" w14:textId="77777777" w:rsidR="00AB3F6E" w:rsidRDefault="00000000">
      <w:pPr>
        <w:pStyle w:val="Heading2"/>
      </w:pPr>
      <w:bookmarkStart w:id="25" w:name="_Toc234182220"/>
      <w:r>
        <w:t>10.2 MLflow — traçabilité des exécutions</w:t>
      </w:r>
      <w:bookmarkEnd w:id="25"/>
    </w:p>
    <w:p w14:paraId="096A17ED" w14:textId="77777777" w:rsidR="00AB3F6E" w:rsidRDefault="00000000">
      <w:pPr>
        <w:spacing w:after="120"/>
      </w:pPr>
      <w:r>
        <w:t xml:space="preserve">Chaque exécution manuelle de pipeline.py journalise paramètres (nombre de tickers, dates), métriques (jours, actifs, part d’actifs stationnaires) et archive la couche Gold complète en artefacts. </w:t>
      </w:r>
      <w:r>
        <w:lastRenderedPageBreak/>
        <w:t>Trois semaines plus tard, « sur quel jeu de données exact ce résultat a-t-il été obtenu ? » a une réponse vérifiable.</w:t>
      </w:r>
    </w:p>
    <w:p w14:paraId="46249558" w14:textId="77777777" w:rsidR="00AB3F6E" w:rsidRDefault="00000000">
      <w:pPr>
        <w:pStyle w:val="Heading2"/>
      </w:pPr>
      <w:bookmarkStart w:id="26" w:name="_Toc234182221"/>
      <w:r>
        <w:t>10.3 DVC — versionnage des données</w:t>
      </w:r>
      <w:bookmarkEnd w:id="26"/>
    </w:p>
    <w:p w14:paraId="04823E4B" w14:textId="77777777" w:rsidR="00AB3F6E" w:rsidRDefault="00000000">
      <w:pPr>
        <w:spacing w:after="120"/>
      </w:pPr>
      <w:r>
        <w:t>Initialisé et activé : les 10 sorties du pipeline sont dans le cache, dvc.lock est versionné dans git, et la restauration a été vérifiée par un aller-retour suppression/dvc checkout. Limite assumée : cache local uniquement (pas de remote partagé pour l’instant — décision d’équipe à prendre, cf. 11.6).</w:t>
      </w:r>
    </w:p>
    <w:p w14:paraId="139C7740" w14:textId="77777777" w:rsidR="00AB3F6E" w:rsidRDefault="00000000">
      <w:r>
        <w:br w:type="page"/>
      </w:r>
    </w:p>
    <w:p w14:paraId="749787F9" w14:textId="77777777" w:rsidR="00AB3F6E" w:rsidRDefault="00000000">
      <w:pPr>
        <w:pStyle w:val="Heading1"/>
      </w:pPr>
      <w:bookmarkStart w:id="27" w:name="_Toc234182222"/>
      <w:r>
        <w:lastRenderedPageBreak/>
        <w:t>11. Limitations connues et registre des incidents</w:t>
      </w:r>
      <w:bookmarkEnd w:id="27"/>
    </w:p>
    <w:p w14:paraId="74483E5C" w14:textId="77777777" w:rsidR="00AB3F6E" w:rsidRDefault="00000000">
      <w:pPr>
        <w:spacing w:after="120"/>
      </w:pPr>
      <w:r>
        <w:t>Conformément à l’exigence d’honnêteté du projet, cette section documente ce qui ne va pas, ce qui a cassé, et comment chaque point a été traité. Chaque incident a donné lieu à un garde-fou permanent dans le code.</w:t>
      </w:r>
    </w:p>
    <w:p w14:paraId="128D46A3" w14:textId="77777777" w:rsidR="00AB3F6E" w:rsidRDefault="00000000">
      <w:pPr>
        <w:pStyle w:val="Heading2"/>
      </w:pPr>
      <w:bookmarkStart w:id="28" w:name="_Toc234182223"/>
      <w:r>
        <w:t>11.1 La source BVC est une fenêtre glissante (incident majeur, résolu)</w:t>
      </w:r>
      <w:bookmarkEnd w:id="28"/>
    </w:p>
    <w:p w14:paraId="50DB8E64" w14:textId="77777777" w:rsidR="00AB3F6E" w:rsidRDefault="00000000">
      <w:pPr>
        <w:spacing w:after="120"/>
      </w:pPr>
      <w:r>
        <w:rPr>
          <w:b/>
          <w:bCs/>
        </w:rPr>
        <w:t>Constat.</w:t>
      </w:r>
      <w:r>
        <w:t xml:space="preserve"> L’historique BVC gratuit (medias24) ne remonte pas à 2017 mais à mi-2021 — et la date de départ </w:t>
      </w:r>
      <w:r>
        <w:rPr>
          <w:b/>
          <w:bCs/>
        </w:rPr>
        <w:t>avance d’environ un jour par jour</w:t>
      </w:r>
      <w:r>
        <w:t xml:space="preserve"> (observé sur trois exécutions successives : 24/06, 28/06 puis 01/07/2021). Le krach COVID de 2020 est donc absent de l’univers 9 actifs, et l’historique s’érodait par l’avant.</w:t>
      </w:r>
    </w:p>
    <w:p w14:paraId="11F26E7E" w14:textId="77777777" w:rsidR="00AB3F6E" w:rsidRDefault="00000000">
      <w:pPr>
        <w:spacing w:after="120"/>
      </w:pPr>
      <w:r>
        <w:rPr>
          <w:b/>
          <w:bCs/>
        </w:rPr>
        <w:t>Aggravation découverte.</w:t>
      </w:r>
      <w:r>
        <w:t xml:space="preserve"> L’ingestion écrasait le fichier Bronze à chaque exécution : les lignes sorties de la fenêtre étaient définitivement perdues (les cours bruts du 24 au 30/06/2021 l’ont été — seuls les rendements dérivés subsistent dans les artefacts MLflow).</w:t>
      </w:r>
    </w:p>
    <w:p w14:paraId="1C859B49" w14:textId="77777777" w:rsidR="00AB3F6E" w:rsidRDefault="00000000">
      <w:pPr>
        <w:spacing w:after="120"/>
      </w:pPr>
      <w:r>
        <w:rPr>
          <w:b/>
          <w:bCs/>
        </w:rPr>
        <w:t>Résolution.</w:t>
      </w:r>
      <w:r>
        <w:t xml:space="preserve"> (a) L’ingestion fusionne désormais chaque téléchargement avec le fichier existant — les nouvelles valeurs priment sur les dates communes, les lignes disparues de la source sont préservées — comportement verrouillé par deux tests ; (b) DVC a été activé dans la foulée comme seconde ligne de défense ; (c) pour l’évidence de crise, la Phase 2 adopte un </w:t>
      </w:r>
      <w:r>
        <w:rPr>
          <w:b/>
          <w:bCs/>
        </w:rPr>
        <w:t>double univers</w:t>
      </w:r>
      <w:r>
        <w:t xml:space="preserve"> : les backtests tournent aussi sur les 5 ETF depuis 2017, fenêtre qui contient COVID et 2022. La limitation résiduelle (pas de COVID pour les actifs BVC) doit être énoncée dans toute présentation — jamais suggérer une couverture 2017→2026 pour l’univers complet. Sa levée exigerait une source BVC payante ou un export manuel depuis casablanca-bourse.com (piste à vérifier en navigateur, le site étant inaccessible depuis nos outils).</w:t>
      </w:r>
    </w:p>
    <w:p w14:paraId="4CA30C3F" w14:textId="77777777" w:rsidR="00AB3F6E" w:rsidRDefault="00000000">
      <w:pPr>
        <w:pStyle w:val="Heading2"/>
      </w:pPr>
      <w:bookmarkStart w:id="29" w:name="_Toc234182224"/>
      <w:r>
        <w:t>11.2 FRED a restreint la série de spread haut rendement (résolu)</w:t>
      </w:r>
      <w:bookmarkEnd w:id="29"/>
    </w:p>
    <w:p w14:paraId="2619A6BA" w14:textId="77777777" w:rsidR="00AB3F6E" w:rsidRDefault="00000000">
      <w:pPr>
        <w:spacing w:after="120"/>
      </w:pPr>
      <w:r>
        <w:t xml:space="preserve">En cours de phase, FRED a limité les séries sous licence ICE BofA (dont BAMLH0A0HYM2, notre HY_SPREAD) à une fenêtre glissante d’environ 3 ans : un appel demandant 2017+ ne renvoyait silencieusement que 2023+. </w:t>
      </w:r>
      <w:r>
        <w:rPr>
          <w:b/>
          <w:bCs/>
        </w:rPr>
        <w:t>Résolution</w:t>
      </w:r>
      <w:r>
        <w:t xml:space="preserve"> : remplacement par CREDIT_SPREAD = BAA10Y (spread Moody’s Baa − Treasury 10 ans), série non restreinte vérifiée sur 2 478 observations depuis 2017, même API. Les lignes de features complètes sont passées de 706 à 1 182. </w:t>
      </w:r>
      <w:r>
        <w:rPr>
          <w:b/>
          <w:bCs/>
        </w:rPr>
        <w:t>Garde-fou permanent</w:t>
      </w:r>
      <w:r>
        <w:t xml:space="preserve"> : ingest_macro avertit désormais dès qu’une série renvoie sensiblement moins d’historique que demandé — cette classe de troncature silencieuse ne peut plus se reproduire inaperçue.</w:t>
      </w:r>
    </w:p>
    <w:p w14:paraId="411DFF3E" w14:textId="77777777" w:rsidR="00AB3F6E" w:rsidRDefault="00000000">
      <w:pPr>
        <w:pStyle w:val="Heading2"/>
      </w:pPr>
      <w:bookmarkStart w:id="30" w:name="_Toc234182225"/>
      <w:r>
        <w:t>11.3 Le taux directeur BAM est maintenu à la main (assumé, encadré)</w:t>
      </w:r>
      <w:bookmarkEnd w:id="30"/>
    </w:p>
    <w:p w14:paraId="36D5C6EA" w14:textId="77777777" w:rsidR="00AB3F6E" w:rsidRDefault="00000000">
      <w:pPr>
        <w:spacing w:after="120"/>
      </w:pPr>
      <w:r>
        <w:t xml:space="preserve">BAM n’offre pas d’API : la liste des décisions est transcrite manuellement. Risque : une décision oubliée prolongerait silencieusement un taux périmé. </w:t>
      </w:r>
      <w:r>
        <w:rPr>
          <w:b/>
          <w:bCs/>
        </w:rPr>
        <w:t>Encadrement</w:t>
      </w:r>
      <w:r>
        <w:t xml:space="preserve"> : alerte automatique au-delà de 100 jours sans nouvelle entrée (le conseil se réunit ~trimestriellement) — alerte qui a déjà fonctionné en conditions réelles et conduit à l’ajout de la décision du 23/06/2026 (maintien à 2,25 %). Réserve de transparence : cette entrée provient de la presse financière (Medias24, BoursNews, LesEco) car la page officielle bkam.ma accusait un retard de publication ; le code porte une note UNCONFIRMED jusqu’à re-vérification contre la source primaire.</w:t>
      </w:r>
    </w:p>
    <w:p w14:paraId="423CCD3C" w14:textId="77777777" w:rsidR="00AB3F6E" w:rsidRDefault="00000000">
      <w:pPr>
        <w:pStyle w:val="Heading2"/>
      </w:pPr>
      <w:bookmarkStart w:id="31" w:name="_Toc234182226"/>
      <w:r>
        <w:t>11.4 La troncature d’alignement était silencieuse (résolu)</w:t>
      </w:r>
      <w:bookmarkEnd w:id="31"/>
    </w:p>
    <w:p w14:paraId="319A428D" w14:textId="77777777" w:rsidR="00AB3F6E" w:rsidRDefault="00000000">
      <w:pPr>
        <w:spacing w:after="120"/>
      </w:pPr>
      <w:r>
        <w:t xml:space="preserve">Le dropna() de l’alignement calendaire supprimait 4 ans et demi d’historique ETF (pour s’aligner sur le démarrage tardif de la BVC) sans une ligne de log. Le pipeline affichait « 1 305 lignes » d’un air parfaitement sain. </w:t>
      </w:r>
      <w:r>
        <w:rPr>
          <w:b/>
          <w:bCs/>
        </w:rPr>
        <w:t>Résolution</w:t>
      </w:r>
      <w:r>
        <w:t xml:space="preserve"> : avertissement chiffré nommant les colonnes responsables et le nombre de jours perdus, plus deux champs dans le rapport de validation (requested_start_date, history_truncated_by_days : 1 643). Règle générale adoptée pour tout le projet : </w:t>
      </w:r>
      <w:r>
        <w:rPr>
          <w:b/>
          <w:bCs/>
        </w:rPr>
        <w:t>toute perte de données silencieuse est un bug</w:t>
      </w:r>
      <w:r>
        <w:t>, même quand la perte elle-même est légitime.</w:t>
      </w:r>
    </w:p>
    <w:p w14:paraId="05F7E734" w14:textId="77777777" w:rsidR="00AB3F6E" w:rsidRDefault="00000000">
      <w:pPr>
        <w:pStyle w:val="Heading2"/>
      </w:pPr>
      <w:bookmarkStart w:id="32" w:name="_Toc234182227"/>
      <w:r>
        <w:t>11.5 Une conclusion de l’EDA a été rétractée (transparence)</w:t>
      </w:r>
      <w:bookmarkEnd w:id="32"/>
    </w:p>
    <w:p w14:paraId="126D706A" w14:textId="77777777" w:rsidR="00AB3F6E" w:rsidRDefault="00000000">
      <w:pPr>
        <w:spacing w:after="120"/>
      </w:pPr>
      <w:r>
        <w:t xml:space="preserve">Le notebook affirmait une corrélation négative entre la dépréciation du dirham (USDMAD↑) et les banques BVC. Re-testée avec la méthodologie du notebook lui-même (décalages −10 à +10 jours, features Gold), l’affirmation ne tient pas : aucune corrélation ne dépasse la bande de significativité à </w:t>
      </w:r>
      <w:r>
        <w:lastRenderedPageBreak/>
        <w:t>95 % (±0,054). La conclusion a été formellement rétractée dans le notebook ; USDMAD reste dans les features comme signal candidat dont l’utilité est une question ouverte, pas un fait établi. Nous préférons une rétractation documentée à une affirmation flatteuse mais indéfendable en soutenance.</w:t>
      </w:r>
    </w:p>
    <w:p w14:paraId="0B7E40AB" w14:textId="77777777" w:rsidR="00AB3F6E" w:rsidRDefault="00000000">
      <w:pPr>
        <w:pStyle w:val="Heading2"/>
      </w:pPr>
      <w:bookmarkStart w:id="33" w:name="_Toc234182228"/>
      <w:r>
        <w:t>11.6 Points ouverts (décisions d’équipe)</w:t>
      </w:r>
      <w:bookmarkEnd w:id="33"/>
    </w:p>
    <w:p w14:paraId="05838F68" w14:textId="77777777" w:rsidR="00AB3F6E" w:rsidRDefault="00000000">
      <w:pPr>
        <w:pStyle w:val="ListParagraph"/>
        <w:numPr>
          <w:ilvl w:val="0"/>
          <w:numId w:val="2"/>
        </w:numPr>
        <w:spacing w:after="60"/>
      </w:pPr>
      <w:r>
        <w:t>Remote DVC partagé (le cache est local : protège de l’érosion et des suppressions, pas d’une perte du disque) ;</w:t>
      </w:r>
    </w:p>
    <w:p w14:paraId="23212D80" w14:textId="77777777" w:rsidR="00AB3F6E" w:rsidRDefault="00000000">
      <w:pPr>
        <w:pStyle w:val="ListParagraph"/>
        <w:numPr>
          <w:ilvl w:val="0"/>
          <w:numId w:val="2"/>
        </w:numPr>
        <w:spacing w:after="60"/>
      </w:pPr>
      <w:r>
        <w:t>Source BVC pré-2021 (payante ou export officiel) — restaurerait COVID pour l’univers complet ;</w:t>
      </w:r>
    </w:p>
    <w:p w14:paraId="4ADB3B20" w14:textId="77777777" w:rsidR="00AB3F6E" w:rsidRDefault="00000000">
      <w:pPr>
        <w:pStyle w:val="ListParagraph"/>
        <w:numPr>
          <w:ilvl w:val="0"/>
          <w:numId w:val="2"/>
        </w:numPr>
        <w:spacing w:after="60"/>
      </w:pPr>
      <w:r>
        <w:t>Consolidation de la configuration : l’univers de tickers est défini dans ingest.py et schemas.py ; params.yaml devrait devenir l’unique source (amorcé en Phase 2 avec load_params()) ;</w:t>
      </w:r>
    </w:p>
    <w:p w14:paraId="57781A3B" w14:textId="77777777" w:rsidR="00AB3F6E" w:rsidRDefault="00000000">
      <w:pPr>
        <w:pStyle w:val="ListParagraph"/>
        <w:numPr>
          <w:ilvl w:val="0"/>
          <w:numId w:val="2"/>
        </w:numPr>
        <w:spacing w:after="60"/>
      </w:pPr>
      <w:r>
        <w:t>EEM ambigu : à réexaminer lors de la modélisation des régimes (Phase 4).</w:t>
      </w:r>
    </w:p>
    <w:p w14:paraId="359340F2" w14:textId="77777777" w:rsidR="00AB3F6E" w:rsidRDefault="00000000">
      <w:r>
        <w:br w:type="page"/>
      </w:r>
    </w:p>
    <w:p w14:paraId="6D2F52E3" w14:textId="77777777" w:rsidR="00AB3F6E" w:rsidRDefault="00000000">
      <w:pPr>
        <w:pStyle w:val="Heading1"/>
      </w:pPr>
      <w:bookmarkStart w:id="34" w:name="_Toc234182229"/>
      <w:r>
        <w:lastRenderedPageBreak/>
        <w:t>12. Traçabilité P1–P4</w:t>
      </w:r>
      <w:bookmarkEnd w:id="34"/>
    </w:p>
    <w:p w14:paraId="4B8BB989" w14:textId="77777777" w:rsidR="00AB3F6E" w:rsidRDefault="00000000">
      <w:pPr>
        <w:spacing w:after="120"/>
      </w:pPr>
      <w:r>
        <w:t>La vue exigée par l’encadrement : quel code adresse quel problème, et comment.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100"/>
        <w:gridCol w:w="4212"/>
      </w:tblGrid>
      <w:tr w:rsidR="00AB3F6E" w14:paraId="769DE785" w14:textId="77777777">
        <w:tblPrEx>
          <w:tblCellMar>
            <w:top w:w="0" w:type="dxa"/>
            <w:bottom w:w="0" w:type="dxa"/>
          </w:tblCellMar>
        </w:tblPrEx>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A59AC56" w14:textId="77777777" w:rsidR="00AB3F6E" w:rsidRDefault="00000000">
            <w:r>
              <w:rPr>
                <w:b/>
                <w:bCs/>
                <w:color w:val="FFFFFF"/>
                <w:sz w:val="19"/>
                <w:szCs w:val="19"/>
              </w:rPr>
              <w:t>Pb.</w:t>
            </w:r>
          </w:p>
        </w:tc>
        <w:tc>
          <w:tcPr>
            <w:tcW w:w="41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D354AD6" w14:textId="77777777" w:rsidR="00AB3F6E" w:rsidRDefault="00000000">
            <w:r>
              <w:rPr>
                <w:b/>
                <w:bCs/>
                <w:color w:val="FFFFFF"/>
                <w:sz w:val="19"/>
                <w:szCs w:val="19"/>
              </w:rPr>
              <w:t>Fonctions concernées</w:t>
            </w:r>
          </w:p>
        </w:tc>
        <w:tc>
          <w:tcPr>
            <w:tcW w:w="4212"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084EDA7" w14:textId="77777777" w:rsidR="00AB3F6E" w:rsidRDefault="00000000">
            <w:r>
              <w:rPr>
                <w:b/>
                <w:bCs/>
                <w:color w:val="FFFFFF"/>
                <w:sz w:val="19"/>
                <w:szCs w:val="19"/>
              </w:rPr>
              <w:t>Mécanisme</w:t>
            </w:r>
          </w:p>
        </w:tc>
      </w:tr>
      <w:tr w:rsidR="00AB3F6E" w14:paraId="71266745"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C7E0F0" w14:textId="77777777" w:rsidR="00AB3F6E" w:rsidRDefault="00000000">
            <w:r>
              <w:rPr>
                <w:sz w:val="19"/>
                <w:szCs w:val="19"/>
              </w:rPr>
              <w:t>P1</w:t>
            </w:r>
          </w:p>
        </w:tc>
        <w:tc>
          <w:tcPr>
            <w:tcW w:w="4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0D282F" w14:textId="77777777" w:rsidR="00AB3F6E" w:rsidRDefault="00000000">
            <w:r>
              <w:rPr>
                <w:sz w:val="19"/>
                <w:szCs w:val="19"/>
              </w:rPr>
              <w:t>align_calendars, flag_illiquid_assets (clean.py) ; validate_log_returns (schemas.py) ; ingest_prices (ingest.py)</w:t>
            </w:r>
          </w:p>
        </w:tc>
        <w:tc>
          <w:tcPr>
            <w:tcW w:w="42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CB7A7A" w14:textId="77777777" w:rsidR="00AB3F6E" w:rsidRDefault="00000000">
            <w:r>
              <w:rPr>
                <w:sz w:val="19"/>
                <w:szCs w:val="19"/>
              </w:rPr>
              <w:t>Supprime les faux zéros d’alignement qui déforment les corrélations ; signale les actifs à covariance peu fiable ; borne les rendements (±50 %) et impose ≥ 500 observations ; auto_adjust élimine les artefacts de splits/dividendes.</w:t>
            </w:r>
          </w:p>
        </w:tc>
      </w:tr>
      <w:tr w:rsidR="00AB3F6E" w14:paraId="7704EFB3"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6954B0CF" w14:textId="77777777" w:rsidR="00AB3F6E" w:rsidRDefault="00000000">
            <w:r>
              <w:rPr>
                <w:sz w:val="19"/>
                <w:szCs w:val="19"/>
              </w:rPr>
              <w:t>P2</w:t>
            </w:r>
          </w:p>
        </w:tc>
        <w:tc>
          <w:tcPr>
            <w:tcW w:w="41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710FE0DE" w14:textId="77777777" w:rsidR="00AB3F6E" w:rsidRDefault="00000000">
            <w:r>
              <w:rPr>
                <w:sz w:val="19"/>
                <w:szCs w:val="19"/>
              </w:rPr>
              <w:t>compute_log_returns (clean.py) ; run_stationarity_tests, build_macro_features (features.py)</w:t>
            </w:r>
          </w:p>
        </w:tc>
        <w:tc>
          <w:tcPr>
            <w:tcW w:w="42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932A587" w14:textId="77777777" w:rsidR="00AB3F6E" w:rsidRDefault="00000000">
            <w:r>
              <w:rPr>
                <w:sz w:val="19"/>
                <w:szCs w:val="19"/>
              </w:rPr>
              <w:t>Transformation log rendant les séries stationnaires ; preuve formelle ADF+KPSS archivée en Gold ; macro différenciée et standardisée comme signal de régime.</w:t>
            </w:r>
          </w:p>
        </w:tc>
      </w:tr>
      <w:tr w:rsidR="00AB3F6E" w14:paraId="041304FD"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6CA70F" w14:textId="77777777" w:rsidR="00AB3F6E" w:rsidRDefault="00000000">
            <w:r>
              <w:rPr>
                <w:sz w:val="19"/>
                <w:szCs w:val="19"/>
              </w:rPr>
              <w:t>P3</w:t>
            </w:r>
          </w:p>
        </w:tc>
        <w:tc>
          <w:tcPr>
            <w:tcW w:w="4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5195AF" w14:textId="77777777" w:rsidR="00AB3F6E" w:rsidRDefault="00000000">
            <w:r>
              <w:rPr>
                <w:sz w:val="19"/>
                <w:szCs w:val="19"/>
              </w:rPr>
              <w:t>ingest_bvc, ingest_bam_macro (ingest.py) ; merge_bvc_prices (clean.py) ; EDA §7–8</w:t>
            </w:r>
          </w:p>
        </w:tc>
        <w:tc>
          <w:tcPr>
            <w:tcW w:w="421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E82CFF" w14:textId="77777777" w:rsidR="00AB3F6E" w:rsidRDefault="00000000">
            <w:r>
              <w:rPr>
                <w:sz w:val="19"/>
                <w:szCs w:val="19"/>
              </w:rPr>
              <w:t>Fournit l’univers multi-marchés dont on étudie les corrélations de crise ; VIX/CREDIT_SPREAD/USDMAD/TAUX_DIR comme signaux d’alerte candidats ; démonstration empirique du resserrement 2022.</w:t>
            </w:r>
          </w:p>
        </w:tc>
      </w:tr>
      <w:tr w:rsidR="00AB3F6E" w14:paraId="43527366"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68B302EC" w14:textId="77777777" w:rsidR="00AB3F6E" w:rsidRDefault="00000000">
            <w:r>
              <w:rPr>
                <w:sz w:val="19"/>
                <w:szCs w:val="19"/>
              </w:rPr>
              <w:t>P4</w:t>
            </w:r>
          </w:p>
        </w:tc>
        <w:tc>
          <w:tcPr>
            <w:tcW w:w="41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36840D99" w14:textId="77777777" w:rsidR="00AB3F6E" w:rsidRDefault="00000000">
            <w:r>
              <w:rPr>
                <w:sz w:val="19"/>
                <w:szCs w:val="19"/>
              </w:rPr>
              <w:t>garde lag_days≥1 (features.py) ; politique forward-fill (clean.py) ; contrôle d’index croissant (schemas.py) ; immutabilité Bronze</w:t>
            </w:r>
          </w:p>
        </w:tc>
        <w:tc>
          <w:tcPr>
            <w:tcW w:w="4212" w:type="dxa"/>
            <w:tcBorders>
              <w:top w:val="single" w:sz="1" w:space="0" w:color="BBBBBB"/>
              <w:left w:val="single" w:sz="1" w:space="0" w:color="BBBBBB"/>
              <w:bottom w:val="single" w:sz="1" w:space="0" w:color="BBBBBB"/>
              <w:right w:val="single" w:sz="1" w:space="0" w:color="BBBBBB"/>
            </w:tcBorders>
            <w:shd w:val="clear" w:color="auto" w:fill="F2F6FA"/>
            <w:tcMar>
              <w:top w:w="60" w:type="dxa"/>
              <w:left w:w="100" w:type="dxa"/>
              <w:bottom w:w="60" w:type="dxa"/>
              <w:right w:w="100" w:type="dxa"/>
            </w:tcMar>
          </w:tcPr>
          <w:p w14:paraId="030A75B6" w14:textId="77777777" w:rsidR="00AB3F6E" w:rsidRDefault="00000000">
            <w:r>
              <w:rPr>
                <w:sz w:val="19"/>
                <w:szCs w:val="19"/>
              </w:rPr>
              <w:t>Le seul problème que la Phase 1 peut faire respecter entièrement dès aujourd’hui — et elle le fait structurellement : exception levée plutôt que convention, remplissage sans information future, données brutes figées et reproductibles.</w:t>
            </w:r>
          </w:p>
        </w:tc>
      </w:tr>
    </w:tbl>
    <w:p w14:paraId="4D21F74F" w14:textId="77777777" w:rsidR="00AB3F6E" w:rsidRDefault="00000000">
      <w:pPr>
        <w:pStyle w:val="Heading1"/>
      </w:pPr>
      <w:bookmarkStart w:id="35" w:name="_Toc234182230"/>
      <w:r>
        <w:t>13. Transition vers la Phase 2</w:t>
      </w:r>
      <w:bookmarkEnd w:id="35"/>
    </w:p>
    <w:p w14:paraId="2B1967B8" w14:textId="77777777" w:rsidR="00AB3F6E" w:rsidRDefault="00000000">
      <w:pPr>
        <w:spacing w:after="120"/>
      </w:pPr>
      <w:r>
        <w:t>La Phase 2 (baseline Markowitz + cadre de backtesting sans lookahead) est spécifiée et son développement a démarré sur la branche feature/phase2-backtest : moteur walk-forward à fenêtre croissante où c’est le moteur qui découpe les données (une stratégie ne peut physiquement pas voir le futur), contraintes réalistes de gestion (long-only, plafond de 25 % par actif, coûts de transaction de 10 pb ETF / 30 pb BVC dans le backtest), double univers (cf. 11.1), et Deflated Sharpe Ratio corrigeant le nombre de stratégies essayées. La couche Gold livrée par la Phase 1 en est l’unique entrée de données — aucun module de la Phase 2 ne lit Bronze ni Silver.</w:t>
      </w:r>
    </w:p>
    <w:p w14:paraId="08ACC567" w14:textId="77777777" w:rsidR="00AB3F6E" w:rsidRDefault="00000000">
      <w:pPr>
        <w:pStyle w:val="Heading1"/>
      </w:pPr>
      <w:bookmarkStart w:id="36" w:name="_Toc234182231"/>
      <w:r>
        <w:t>Annexe A — Structure du dépôt</w:t>
      </w:r>
      <w:bookmarkEnd w:id="36"/>
    </w:p>
    <w:p w14:paraId="671DC5CD" w14:textId="77777777" w:rsidR="00AB3F6E" w:rsidRDefault="00000000">
      <w:pPr>
        <w:shd w:val="clear" w:color="auto" w:fill="F2F2F2"/>
        <w:ind w:left="240"/>
      </w:pPr>
      <w:r>
        <w:rPr>
          <w:rFonts w:ascii="Consolas" w:eastAsia="Consolas" w:hAnsi="Consolas" w:cs="Consolas"/>
          <w:sz w:val="18"/>
          <w:szCs w:val="18"/>
        </w:rPr>
        <w:t>portfolio_ml/</w:t>
      </w:r>
    </w:p>
    <w:p w14:paraId="7C3A2AF3" w14:textId="77777777" w:rsidR="00AB3F6E" w:rsidRDefault="00000000">
      <w:pPr>
        <w:shd w:val="clear" w:color="auto" w:fill="F2F2F2"/>
        <w:ind w:left="240"/>
      </w:pPr>
      <w:r>
        <w:rPr>
          <w:rFonts w:ascii="Consolas" w:eastAsia="Consolas" w:hAnsi="Consolas" w:cs="Consolas"/>
          <w:sz w:val="18"/>
          <w:szCs w:val="18"/>
        </w:rPr>
        <w:t>├─ src/            ingest.py  clean.py  features.py  schemas.py  pipeline.py  utils.py</w:t>
      </w:r>
    </w:p>
    <w:p w14:paraId="5E8EB88B" w14:textId="77777777" w:rsidR="00AB3F6E" w:rsidRDefault="00000000">
      <w:pPr>
        <w:shd w:val="clear" w:color="auto" w:fill="F2F2F2"/>
        <w:ind w:left="240"/>
      </w:pPr>
      <w:r>
        <w:rPr>
          <w:rFonts w:ascii="Consolas" w:eastAsia="Consolas" w:hAnsi="Consolas" w:cs="Consolas"/>
          <w:sz w:val="18"/>
          <w:szCs w:val="18"/>
        </w:rPr>
        <w:t>│                 orchestration/ (assets Dagster)</w:t>
      </w:r>
    </w:p>
    <w:p w14:paraId="244A8789" w14:textId="77777777" w:rsidR="00AB3F6E" w:rsidRDefault="00000000">
      <w:pPr>
        <w:shd w:val="clear" w:color="auto" w:fill="F2F2F2"/>
        <w:ind w:left="240"/>
      </w:pPr>
      <w:r>
        <w:rPr>
          <w:rFonts w:ascii="Consolas" w:eastAsia="Consolas" w:hAnsi="Consolas" w:cs="Consolas"/>
          <w:sz w:val="18"/>
          <w:szCs w:val="18"/>
        </w:rPr>
        <w:t>├─ tests/          52 tests Phase 1 (unitaires + intégration), hors-ligne</w:t>
      </w:r>
    </w:p>
    <w:p w14:paraId="5A3E60D8" w14:textId="77777777" w:rsidR="00AB3F6E" w:rsidRDefault="00000000">
      <w:pPr>
        <w:shd w:val="clear" w:color="auto" w:fill="F2F2F2"/>
        <w:ind w:left="240"/>
      </w:pPr>
      <w:r>
        <w:rPr>
          <w:rFonts w:ascii="Consolas" w:eastAsia="Consolas" w:hAnsi="Consolas" w:cs="Consolas"/>
          <w:sz w:val="18"/>
          <w:szCs w:val="18"/>
        </w:rPr>
        <w:t>├─ data/           bronze/ silver/ gold/ (géré par DVC, hors git)</w:t>
      </w:r>
    </w:p>
    <w:p w14:paraId="261622A6" w14:textId="77777777" w:rsidR="00AB3F6E" w:rsidRDefault="00000000">
      <w:pPr>
        <w:shd w:val="clear" w:color="auto" w:fill="F2F2F2"/>
        <w:ind w:left="240"/>
      </w:pPr>
      <w:r>
        <w:rPr>
          <w:rFonts w:ascii="Consolas" w:eastAsia="Consolas" w:hAnsi="Consolas" w:cs="Consolas"/>
          <w:sz w:val="18"/>
          <w:szCs w:val="18"/>
        </w:rPr>
        <w:t>├─ notebooks/      phase1_eda.ipynb (EDA évidentielle)</w:t>
      </w:r>
    </w:p>
    <w:p w14:paraId="3A3C0E86" w14:textId="77777777" w:rsidR="00AB3F6E" w:rsidRDefault="00000000">
      <w:pPr>
        <w:shd w:val="clear" w:color="auto" w:fill="F2F2F2"/>
        <w:ind w:left="240"/>
      </w:pPr>
      <w:r>
        <w:rPr>
          <w:rFonts w:ascii="Consolas" w:eastAsia="Consolas" w:hAnsi="Consolas" w:cs="Consolas"/>
          <w:sz w:val="18"/>
          <w:szCs w:val="18"/>
        </w:rPr>
        <w:t>├─ docs/           PHASE1_WALKTHROUGH.md (guide technique équipe)</w:t>
      </w:r>
    </w:p>
    <w:p w14:paraId="2D060AD0" w14:textId="77777777" w:rsidR="00AB3F6E" w:rsidRDefault="00000000">
      <w:pPr>
        <w:shd w:val="clear" w:color="auto" w:fill="F2F2F2"/>
        <w:ind w:left="240"/>
      </w:pPr>
      <w:r>
        <w:rPr>
          <w:rFonts w:ascii="Consolas" w:eastAsia="Consolas" w:hAnsi="Consolas" w:cs="Consolas"/>
          <w:sz w:val="18"/>
          <w:szCs w:val="18"/>
        </w:rPr>
        <w:t>├─ scripts/        setup_launchd.sh (planification autonome macOS)</w:t>
      </w:r>
    </w:p>
    <w:p w14:paraId="5BD9A920" w14:textId="77777777" w:rsidR="00AB3F6E" w:rsidRDefault="00000000">
      <w:pPr>
        <w:shd w:val="clear" w:color="auto" w:fill="F2F2F2"/>
        <w:spacing w:after="120"/>
        <w:ind w:left="240"/>
      </w:pPr>
      <w:r>
        <w:rPr>
          <w:rFonts w:ascii="Consolas" w:eastAsia="Consolas" w:hAnsi="Consolas" w:cs="Consolas"/>
          <w:sz w:val="18"/>
          <w:szCs w:val="18"/>
        </w:rPr>
        <w:t>└─ dvc.yaml · params.yaml · workspace.yaml · requirements.txt</w:t>
      </w:r>
    </w:p>
    <w:p w14:paraId="483A091D" w14:textId="77777777" w:rsidR="00AB3F6E" w:rsidRDefault="00000000">
      <w:pPr>
        <w:pStyle w:val="Heading1"/>
      </w:pPr>
      <w:bookmarkStart w:id="37" w:name="_Toc234182232"/>
      <w:r>
        <w:t>Annexe B — Commandes de référence</w:t>
      </w:r>
      <w:bookmarkEnd w:id="37"/>
    </w:p>
    <w:p w14:paraId="757C8B3A" w14:textId="77777777" w:rsidR="00AB3F6E" w:rsidRDefault="00000000">
      <w:pPr>
        <w:shd w:val="clear" w:color="auto" w:fill="F2F2F2"/>
        <w:ind w:left="240"/>
      </w:pPr>
      <w:r>
        <w:rPr>
          <w:rFonts w:ascii="Consolas" w:eastAsia="Consolas" w:hAnsi="Consolas" w:cs="Consolas"/>
          <w:sz w:val="18"/>
          <w:szCs w:val="18"/>
        </w:rPr>
        <w:t>python src/pipeline.py          # pipeline complet, tracé dans MLflow</w:t>
      </w:r>
    </w:p>
    <w:p w14:paraId="45F62D47" w14:textId="77777777" w:rsidR="00AB3F6E" w:rsidRDefault="00000000">
      <w:pPr>
        <w:shd w:val="clear" w:color="auto" w:fill="F2F2F2"/>
        <w:ind w:left="240"/>
      </w:pPr>
      <w:r>
        <w:rPr>
          <w:rFonts w:ascii="Consolas" w:eastAsia="Consolas" w:hAnsi="Consolas" w:cs="Consolas"/>
          <w:sz w:val="18"/>
          <w:szCs w:val="18"/>
        </w:rPr>
        <w:t>pytest -q                       # suite de tests (hors-ligne, ~3 s)</w:t>
      </w:r>
    </w:p>
    <w:p w14:paraId="1033C45A" w14:textId="77777777" w:rsidR="00AB3F6E" w:rsidRDefault="00000000">
      <w:pPr>
        <w:shd w:val="clear" w:color="auto" w:fill="F2F2F2"/>
        <w:ind w:left="240"/>
      </w:pPr>
      <w:r>
        <w:rPr>
          <w:rFonts w:ascii="Consolas" w:eastAsia="Consolas" w:hAnsi="Consolas" w:cs="Consolas"/>
          <w:sz w:val="18"/>
          <w:szCs w:val="18"/>
        </w:rPr>
        <w:t>mlflow ui                       # http://127.0.0.1:5000</w:t>
      </w:r>
    </w:p>
    <w:p w14:paraId="2D007615" w14:textId="77777777" w:rsidR="00AB3F6E" w:rsidRDefault="00000000">
      <w:pPr>
        <w:shd w:val="clear" w:color="auto" w:fill="F2F2F2"/>
        <w:ind w:left="240"/>
      </w:pPr>
      <w:r>
        <w:rPr>
          <w:rFonts w:ascii="Consolas" w:eastAsia="Consolas" w:hAnsi="Consolas" w:cs="Consolas"/>
          <w:sz w:val="18"/>
          <w:szCs w:val="18"/>
        </w:rPr>
        <w:t>dagster dev -w workspace.yaml   # UI + scheduler : http://127.0.0.1:3000</w:t>
      </w:r>
    </w:p>
    <w:p w14:paraId="05BEBEC0" w14:textId="77777777" w:rsidR="00AB3F6E" w:rsidRDefault="00000000">
      <w:pPr>
        <w:shd w:val="clear" w:color="auto" w:fill="F2F2F2"/>
        <w:spacing w:after="120"/>
        <w:ind w:left="240"/>
      </w:pPr>
      <w:r>
        <w:rPr>
          <w:rFonts w:ascii="Consolas" w:eastAsia="Consolas" w:hAnsi="Consolas" w:cs="Consolas"/>
          <w:sz w:val="18"/>
          <w:szCs w:val="18"/>
        </w:rPr>
        <w:t>dvc status | dvc commit | dvc checkout   # versionnage des données</w:t>
      </w:r>
    </w:p>
    <w:p w14:paraId="6733C1AB" w14:textId="4E2E4F22" w:rsidR="00AB3F6E" w:rsidRDefault="00AB3F6E" w:rsidP="006E2861">
      <w:pPr>
        <w:spacing w:after="60"/>
      </w:pPr>
    </w:p>
    <w:sectPr w:rsidR="00AB3F6E">
      <w:headerReference w:type="default" r:id="rId8"/>
      <w:footerReference w:type="default" r:id="rId9"/>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CC306" w14:textId="77777777" w:rsidR="00A04A7E" w:rsidRDefault="00A04A7E">
      <w:r>
        <w:separator/>
      </w:r>
    </w:p>
  </w:endnote>
  <w:endnote w:type="continuationSeparator" w:id="0">
    <w:p w14:paraId="2D1DAFDA" w14:textId="77777777" w:rsidR="00A04A7E" w:rsidRDefault="00A0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0E82C" w14:textId="77777777" w:rsidR="00AB3F6E"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83B32">
      <w:rPr>
        <w:noProof/>
        <w:color w:val="666666"/>
        <w:sz w:val="16"/>
        <w:szCs w:val="16"/>
      </w:rPr>
      <w:t>1</w:t>
    </w:r>
    <w:r>
      <w:rPr>
        <w:color w:val="666666"/>
        <w:sz w:val="16"/>
        <w:szCs w:val="16"/>
      </w:rPr>
      <w:fldChar w:fldCharType="end"/>
    </w:r>
    <w:r>
      <w:rPr>
        <w:color w:val="666666"/>
        <w:sz w:val="16"/>
        <w:szCs w:val="16"/>
      </w:rPr>
      <w:t xml:space="preserve"> · EURAFRIC Information – INPT · juillet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628124" w14:textId="77777777" w:rsidR="00A04A7E" w:rsidRDefault="00A04A7E">
      <w:r>
        <w:separator/>
      </w:r>
    </w:p>
  </w:footnote>
  <w:footnote w:type="continuationSeparator" w:id="0">
    <w:p w14:paraId="6562E88A" w14:textId="77777777" w:rsidR="00A04A7E" w:rsidRDefault="00A04A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A5C86" w14:textId="77777777" w:rsidR="00AB3F6E" w:rsidRDefault="00000000">
    <w:pPr>
      <w:pBdr>
        <w:bottom w:val="single" w:sz="4" w:space="1" w:color="1F3864"/>
      </w:pBdr>
      <w:jc w:val="right"/>
    </w:pPr>
    <w:r>
      <w:rPr>
        <w:color w:val="666666"/>
        <w:sz w:val="16"/>
        <w:szCs w:val="16"/>
      </w:rPr>
      <w:t>PFA · Optimisation de Portefeuille par ML · Livrable 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516CE"/>
    <w:multiLevelType w:val="hybridMultilevel"/>
    <w:tmpl w:val="1A325348"/>
    <w:lvl w:ilvl="0" w:tplc="5C9EA412">
      <w:start w:val="1"/>
      <w:numFmt w:val="bullet"/>
      <w:lvlText w:val="●"/>
      <w:lvlJc w:val="left"/>
      <w:pPr>
        <w:ind w:left="720" w:hanging="360"/>
      </w:pPr>
    </w:lvl>
    <w:lvl w:ilvl="1" w:tplc="D5CEDC2C">
      <w:start w:val="1"/>
      <w:numFmt w:val="bullet"/>
      <w:lvlText w:val="○"/>
      <w:lvlJc w:val="left"/>
      <w:pPr>
        <w:ind w:left="1440" w:hanging="360"/>
      </w:pPr>
    </w:lvl>
    <w:lvl w:ilvl="2" w:tplc="1C2ACC90">
      <w:start w:val="1"/>
      <w:numFmt w:val="bullet"/>
      <w:lvlText w:val="■"/>
      <w:lvlJc w:val="left"/>
      <w:pPr>
        <w:ind w:left="2160" w:hanging="360"/>
      </w:pPr>
    </w:lvl>
    <w:lvl w:ilvl="3" w:tplc="4788A018">
      <w:start w:val="1"/>
      <w:numFmt w:val="bullet"/>
      <w:lvlText w:val="●"/>
      <w:lvlJc w:val="left"/>
      <w:pPr>
        <w:ind w:left="2880" w:hanging="360"/>
      </w:pPr>
    </w:lvl>
    <w:lvl w:ilvl="4" w:tplc="3BE4FE92">
      <w:start w:val="1"/>
      <w:numFmt w:val="bullet"/>
      <w:lvlText w:val="○"/>
      <w:lvlJc w:val="left"/>
      <w:pPr>
        <w:ind w:left="3600" w:hanging="360"/>
      </w:pPr>
    </w:lvl>
    <w:lvl w:ilvl="5" w:tplc="A974599C">
      <w:start w:val="1"/>
      <w:numFmt w:val="bullet"/>
      <w:lvlText w:val="■"/>
      <w:lvlJc w:val="left"/>
      <w:pPr>
        <w:ind w:left="4320" w:hanging="360"/>
      </w:pPr>
    </w:lvl>
    <w:lvl w:ilvl="6" w:tplc="430EC93A">
      <w:start w:val="1"/>
      <w:numFmt w:val="bullet"/>
      <w:lvlText w:val="●"/>
      <w:lvlJc w:val="left"/>
      <w:pPr>
        <w:ind w:left="5040" w:hanging="360"/>
      </w:pPr>
    </w:lvl>
    <w:lvl w:ilvl="7" w:tplc="2FAC5CB6">
      <w:start w:val="1"/>
      <w:numFmt w:val="bullet"/>
      <w:lvlText w:val="●"/>
      <w:lvlJc w:val="left"/>
      <w:pPr>
        <w:ind w:left="5760" w:hanging="360"/>
      </w:pPr>
    </w:lvl>
    <w:lvl w:ilvl="8" w:tplc="2D8492C0">
      <w:start w:val="1"/>
      <w:numFmt w:val="bullet"/>
      <w:lvlText w:val="●"/>
      <w:lvlJc w:val="left"/>
      <w:pPr>
        <w:ind w:left="6480" w:hanging="360"/>
      </w:pPr>
    </w:lvl>
  </w:abstractNum>
  <w:abstractNum w:abstractNumId="1" w15:restartNumberingAfterBreak="0">
    <w:nsid w:val="13D764C1"/>
    <w:multiLevelType w:val="hybridMultilevel"/>
    <w:tmpl w:val="F338426C"/>
    <w:lvl w:ilvl="0" w:tplc="911A38D6">
      <w:start w:val="1"/>
      <w:numFmt w:val="bullet"/>
      <w:lvlText w:val="–"/>
      <w:lvlJc w:val="left"/>
      <w:pPr>
        <w:ind w:left="540" w:hanging="270"/>
      </w:pPr>
    </w:lvl>
    <w:lvl w:ilvl="1" w:tplc="D91EFAAA">
      <w:numFmt w:val="decimal"/>
      <w:lvlText w:val=""/>
      <w:lvlJc w:val="left"/>
    </w:lvl>
    <w:lvl w:ilvl="2" w:tplc="0C766A82">
      <w:numFmt w:val="decimal"/>
      <w:lvlText w:val=""/>
      <w:lvlJc w:val="left"/>
    </w:lvl>
    <w:lvl w:ilvl="3" w:tplc="5D32BAEE">
      <w:numFmt w:val="decimal"/>
      <w:lvlText w:val=""/>
      <w:lvlJc w:val="left"/>
    </w:lvl>
    <w:lvl w:ilvl="4" w:tplc="E4FEA134">
      <w:numFmt w:val="decimal"/>
      <w:lvlText w:val=""/>
      <w:lvlJc w:val="left"/>
    </w:lvl>
    <w:lvl w:ilvl="5" w:tplc="F500A702">
      <w:numFmt w:val="decimal"/>
      <w:lvlText w:val=""/>
      <w:lvlJc w:val="left"/>
    </w:lvl>
    <w:lvl w:ilvl="6" w:tplc="8E642152">
      <w:numFmt w:val="decimal"/>
      <w:lvlText w:val=""/>
      <w:lvlJc w:val="left"/>
    </w:lvl>
    <w:lvl w:ilvl="7" w:tplc="94C0259A">
      <w:numFmt w:val="decimal"/>
      <w:lvlText w:val=""/>
      <w:lvlJc w:val="left"/>
    </w:lvl>
    <w:lvl w:ilvl="8" w:tplc="FEE061C8">
      <w:numFmt w:val="decimal"/>
      <w:lvlText w:val=""/>
      <w:lvlJc w:val="left"/>
    </w:lvl>
  </w:abstractNum>
  <w:num w:numId="1" w16cid:durableId="1518615851">
    <w:abstractNumId w:val="0"/>
    <w:lvlOverride w:ilvl="0">
      <w:startOverride w:val="1"/>
    </w:lvlOverride>
  </w:num>
  <w:num w:numId="2" w16cid:durableId="99938855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F6E"/>
    <w:rsid w:val="00050AD8"/>
    <w:rsid w:val="002442F6"/>
    <w:rsid w:val="00283B32"/>
    <w:rsid w:val="006E2861"/>
    <w:rsid w:val="007208C6"/>
    <w:rsid w:val="00885399"/>
    <w:rsid w:val="00A04A7E"/>
    <w:rsid w:val="00AB3F6E"/>
    <w:rsid w:val="00E06E99"/>
    <w:rsid w:val="00F45240"/>
  </w:rsids>
  <m:mathPr>
    <m:mathFont m:val="Cambria Math"/>
    <m:brkBin m:val="before"/>
    <m:brkBinSub m:val="--"/>
    <m:smallFrac m:val="0"/>
    <m:dispDef/>
    <m:lMargin m:val="0"/>
    <m:rMargin m:val="0"/>
    <m:defJc m:val="centerGroup"/>
    <m:wrapIndent m:val="1440"/>
    <m:intLim m:val="subSup"/>
    <m:naryLim m:val="undOvr"/>
  </m:mathPr>
  <w:themeFontLang w:val="en-001"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F526FC2"/>
  <w15:docId w15:val="{03D01CBB-8818-0C4F-B1FB-02D21F9B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001"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0"/>
      <w:szCs w:val="30"/>
    </w:rPr>
  </w:style>
  <w:style w:type="paragraph" w:styleId="Heading2">
    <w:name w:val="heading 2"/>
    <w:uiPriority w:val="9"/>
    <w:unhideWhenUsed/>
    <w:qFormat/>
    <w:pPr>
      <w:spacing w:before="240" w:after="140"/>
      <w:outlineLvl w:val="1"/>
    </w:pPr>
    <w:rPr>
      <w:b/>
      <w:bCs/>
      <w:color w:val="2E5395"/>
      <w:sz w:val="24"/>
      <w:szCs w:val="24"/>
    </w:rPr>
  </w:style>
  <w:style w:type="paragraph" w:styleId="Heading3">
    <w:name w:val="heading 3"/>
    <w:uiPriority w:val="9"/>
    <w:semiHidden/>
    <w:unhideWhenUsed/>
    <w:qFormat/>
    <w:pPr>
      <w:spacing w:before="18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3B32"/>
    <w:pPr>
      <w:spacing w:after="100"/>
    </w:pPr>
  </w:style>
  <w:style w:type="paragraph" w:styleId="TOC2">
    <w:name w:val="toc 2"/>
    <w:basedOn w:val="Normal"/>
    <w:next w:val="Normal"/>
    <w:autoRedefine/>
    <w:uiPriority w:val="39"/>
    <w:unhideWhenUsed/>
    <w:rsid w:val="00283B32"/>
    <w:pPr>
      <w:spacing w:after="100"/>
      <w:ind w:left="210"/>
    </w:pPr>
  </w:style>
  <w:style w:type="paragraph" w:styleId="Header">
    <w:name w:val="header"/>
    <w:basedOn w:val="Normal"/>
    <w:link w:val="HeaderChar"/>
    <w:uiPriority w:val="99"/>
    <w:unhideWhenUsed/>
    <w:rsid w:val="007208C6"/>
    <w:pPr>
      <w:tabs>
        <w:tab w:val="center" w:pos="4680"/>
        <w:tab w:val="right" w:pos="9360"/>
      </w:tabs>
    </w:pPr>
  </w:style>
  <w:style w:type="character" w:customStyle="1" w:styleId="HeaderChar">
    <w:name w:val="Header Char"/>
    <w:basedOn w:val="DefaultParagraphFont"/>
    <w:link w:val="Header"/>
    <w:uiPriority w:val="99"/>
    <w:rsid w:val="007208C6"/>
  </w:style>
  <w:style w:type="paragraph" w:styleId="Footer">
    <w:name w:val="footer"/>
    <w:basedOn w:val="Normal"/>
    <w:link w:val="FooterChar"/>
    <w:uiPriority w:val="99"/>
    <w:unhideWhenUsed/>
    <w:rsid w:val="007208C6"/>
    <w:pPr>
      <w:tabs>
        <w:tab w:val="center" w:pos="4680"/>
        <w:tab w:val="right" w:pos="9360"/>
      </w:tabs>
    </w:pPr>
  </w:style>
  <w:style w:type="character" w:customStyle="1" w:styleId="FooterChar">
    <w:name w:val="Footer Char"/>
    <w:basedOn w:val="DefaultParagraphFont"/>
    <w:link w:val="Footer"/>
    <w:uiPriority w:val="99"/>
    <w:rsid w:val="00720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5087</Words>
  <Characters>28997</Characters>
  <Application>Microsoft Office Word</Application>
  <DocSecurity>0</DocSecurity>
  <Lines>241</Lines>
  <Paragraphs>68</Paragraphs>
  <ScaleCrop>false</ScaleCrop>
  <Company/>
  <LinksUpToDate>false</LinksUpToDate>
  <CharactersWithSpaces>34016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8</cp:revision>
  <dcterms:created xsi:type="dcterms:W3CDTF">2026-07-05T21:14:00Z</dcterms:created>
  <dcterms:modified xsi:type="dcterms:W3CDTF">2026-07-06T05:19:00Z</dcterms:modified>
</cp:coreProperties>
</file>