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1F3864"/>
          <w:sz w:val="32"/>
          <w:szCs w:val="32"/>
        </w:rPr>
        <w:t xml:space="preserve">Système d'Optimisation de Portefeuille par Machine Learning</w:t>
      </w:r>
    </w:p>
    <w:p>
      <w:pPr>
        <w:spacing w:after="200"/>
        <w:jc w:val="center"/>
      </w:pPr>
      <w:r>
        <w:rPr>
          <w:b/>
          <w:bCs/>
          <w:sz w:val="26"/>
          <w:szCs w:val="26"/>
        </w:rPr>
        <w:t>Livrable de la Phase 8 — Études de robustesse</w:t>
      </w:r>
    </w:p>
    <w:p>
      <w:pPr>
        <w:spacing w:after="600"/>
        <w:jc w:val="center"/>
      </w:pPr>
      <w:r>
        <w:rPr>
          <w:i/>
          <w:iCs/>
          <w:color w:val="595959"/>
          <w:sz w:val="20"/>
          <w:szCs w:val="20"/>
        </w:rPr>
        <w:t>Cinq tentatives indépendantes de dépasser la ligne de base — protocoles pré-enregistrés, contrôles, et le seul résultat significatif</w:t>
      </w:r>
    </w:p>
    <w:p>
      <w:pPr>
        <w:spacing w:after="120"/>
        <w:jc w:val="center"/>
      </w:pPr>
      <w:r>
        <w:rPr>
          <w:sz w:val="22"/>
          <w:szCs w:val="22"/>
        </w:rPr>
        <w:t xml:space="preserve">EURAFRIC Information — Projet de Fin d'Année (PFA)</w:t>
      </w:r>
    </w:p>
    <w:p>
      <w:pPr>
        <w:spacing w:after="120"/>
        <w:jc w:val="center"/>
      </w:pPr>
      <w:r>
        <w:rPr>
          <w:sz w:val="22"/>
          <w:szCs w:val="22"/>
        </w:rPr>
        <w:t xml:space="preserve">Institut National des Postes et Télécommunications (INPT)</w:t>
      </w:r>
    </w:p>
    <w:p>
      <w:pPr>
        <w:spacing w:after="120"/>
        <w:jc w:val="center"/>
      </w:pPr>
      <w:r>
        <w:rPr>
          <w:color w:val="595959"/>
          <w:sz w:val="20"/>
          <w:szCs w:val="20"/>
        </w:rPr>
        <w:t xml:space="preserve">Équipe : Souhail Bourhim · Zakarya EL WALI · Yasmine BOUAJINE</w:t>
      </w:r>
    </w:p>
    <w:p>
      <w:pPr>
        <w:spacing w:after="120"/>
        <w:jc w:val="center"/>
      </w:pPr>
      <w:r>
        <w:rPr>
          <w:color w:val="595959"/>
          <w:sz w:val="20"/>
          <w:szCs w:val="20"/>
        </w:rPr>
        <w:t xml:space="preserve">Encadrant : Abdelmouttalib</w:t>
      </w:r>
    </w:p>
    <w:p>
      <w:pPr>
        <w:jc w:val="center"/>
      </w:pPr>
      <w:r>
        <w:rPr>
          <w:color w:val="595959"/>
          <w:sz w:val="20"/>
          <w:szCs w:val="20"/>
        </w:rPr>
        <w:t xml:space="preserve">Juillet 2026</w:t>
      </w:r>
    </w:p>
    <w:p>
      <w:pPr>
        <w:pStyle w:val="Heading1"/>
        <w:spacing w:after="120" w:before="240"/>
      </w:pPr>
      <w:r>
        <w:rPr>
          <w:b/>
        </w:rPr>
        <w:t>1. Objet — pourquoi une phase d'études après la Phase 5</w:t>
      </w:r>
    </w:p>
    <w:p>
      <w:pPr>
        <w:spacing w:after="160"/>
      </w:pPr>
      <w:r>
        <w:rPr>
          <w:color w:val="000000"/>
        </w:rPr>
        <w:t>La Phase 5 a conclu que, hors échantillon et avec de vraies barres d'erreur, les modèles F7 honnêtement calibrés et la ligne de base régime + covariance dynamique sont STATISTIQUEMENT INDISCERNABLES. Face à un tel résultat, deux attitudes sont possibles : l'accepter, ou vérifier qu'il résiste. Nous avons choisi la seconde — parce qu'un résultat nul non testé est indiscernable d'un manque d'effort.</w:t>
      </w:r>
    </w:p>
    <w:p>
      <w:pPr>
        <w:spacing w:after="160"/>
      </w:pPr>
      <w:r>
        <w:rPr>
          <w:color w:val="000000"/>
        </w:rPr>
        <w:t>Cette phase rassemble cinq investigations indépendantes menées après la Phase 5. Chacune attaque une explication différente du résultat nul : le signal était-il sous-alimenté en données ? mal nourri (prix seuls, sans fondamentaux) ? mal évalué (fenêtre de test trop courte) ? mal exploité (la contrainte plutôt que la covariance) ? Et enfin : mesurons-nous seulement la bonne chose (un Sharpe moyen plutôt qu'un comportement en crise) ?</w:t>
      </w:r>
    </w:p>
    <w:p>
      <w:pPr>
        <w:spacing w:after="160"/>
      </w:pPr>
      <w:r>
        <w:rPr>
          <w:color w:val="000000"/>
        </w:rPr>
        <w:t>Quatre de ces cinq études se concluent par un résultat négatif ou nul. La cinquième produit le SEUL résultat statistiquement significatif du projet. Les deux catégories sont présentées avec la même rigueur : c'est la cohérence de l'ensemble qui constitue le livrable, pas la seule réussite.</w:t>
      </w:r>
    </w:p>
    <w:p>
      <w:pPr>
        <w:pStyle w:val="Heading1"/>
        <w:spacing w:after="120" w:before="240"/>
      </w:pPr>
      <w:r>
        <w:rPr>
          <w:b/>
        </w:rPr>
        <w:t>2. Protocole commun — ce qui rend ces résultats opposables</w:t>
      </w:r>
    </w:p>
    <w:p>
      <w:pPr>
        <w:pStyle w:val="ListParagraph"/>
        <w:numPr>
          <w:ilvl w:val="0"/>
          <w:numId w:val="2"/>
        </w:numPr>
        <w:spacing w:after="100"/>
      </w:pPr>
      <w:r>
        <w:rPr>
          <w:bCs/>
          <w:color w:val="000000"/>
        </w:rPr>
        <w:t>Résultats pré-enregistrés. Chaque étude fixe ses conclusions possibles (A / B / C) dans le docstring du script AVANT exécution. Une hypothèse qui échoue ne peut donc pas être requalifiée après coup en « exploration intéressante ».</w:t>
      </w:r>
    </w:p>
    <w:p>
      <w:pPr>
        <w:pStyle w:val="ListParagraph"/>
        <w:numPr>
          <w:ilvl w:val="0"/>
          <w:numId w:val="2"/>
        </w:numPr>
        <w:spacing w:after="100"/>
      </w:pPr>
      <w:r>
        <w:rPr>
          <w:bCs/>
          <w:color w:val="000000"/>
        </w:rPr>
        <w:t>Définitions externes. Là où une fenêtre ou un seuil pourrait être choisi à notre avantage, il vient d'une source extérieure : les cinq crises de l'étude 5 sont des dates sommet-à-creux publiées du S&amp;P 500, jamais dérivées de nos propres drawdowns — sans quoi on sélectionne les périodes où l'on paraît bon et on appelle cela un résultat.</w:t>
      </w:r>
    </w:p>
    <w:p>
      <w:pPr>
        <w:pStyle w:val="ListParagraph"/>
        <w:numPr>
          <w:ilvl w:val="0"/>
          <w:numId w:val="2"/>
        </w:numPr>
        <w:spacing w:after="100"/>
      </w:pPr>
      <w:r>
        <w:rPr>
          <w:bCs/>
          <w:color w:val="000000"/>
        </w:rPr>
        <w:t>Contrôles destinés à tuer l'hypothèse. L'étude 4 inclut une variante INVERSÉE — délibérément dans la mauvaise direction. Si elle fonctionne aussi, l'effet mesuré n'est pas celui que l'on croit. C'est ce contrôle qui a tranché.</w:t>
      </w:r>
    </w:p>
    <w:p>
      <w:pPr>
        <w:pStyle w:val="ListParagraph"/>
        <w:numPr>
          <w:ilvl w:val="0"/>
          <w:numId w:val="2"/>
        </w:numPr>
        <w:spacing w:after="100"/>
      </w:pPr>
      <w:r>
        <w:rPr>
          <w:bCs/>
          <w:color w:val="000000"/>
        </w:rPr>
        <w:t>Aucune affirmation de significativité sans test. Les écarts de Sharpe sont rapportés avec leurs intervalles bootstrap et décrits comme non significatifs tant qu'ils se chevauchent. L'unique test formel de cette phase (étude 5) est présenté avec sa version conservatrice EN PREMIER et sa version libérale explicitement marquée comme optimiste.</w:t>
      </w:r>
    </w:p>
    <w:p>
      <w:pPr>
        <w:pStyle w:val="ListParagraph"/>
        <w:numPr>
          <w:ilvl w:val="0"/>
          <w:numId w:val="2"/>
        </w:numPr>
        <w:spacing w:after="100"/>
      </w:pPr>
      <w:r>
        <w:rPr>
          <w:bCs/>
          <w:color w:val="000000"/>
        </w:rPr>
        <w:t>Divulgation des ajustements de protocole. L'étude 4 a vu son seuil de matérialité ajouté après une exécution à blanc, parce que la règle initiale (« strictement supérieur ») aurait qualifié un écart de +0,0016 de succès. Le changement rend le test PLUS strict et il est consigné dans le script et dans la note de recherche — modifier une règle de décision après avoir vu un résultat est précisément ce que le pré-enregistrement doit empêcher.</w:t>
      </w:r>
    </w:p>
    <w:p>
      <w:pPr>
        <w:pStyle w:val="Heading1"/>
        <w:spacing w:after="120" w:before="240"/>
      </w:pPr>
      <w:r>
        <w:rPr>
          <w:b/>
        </w:rPr>
        <w:t>3. Étude 1 — Le signal était-il sous-alimenté en données ? (P2, P4)</w:t>
      </w:r>
    </w:p>
    <w:p>
      <w:pPr>
        <w:spacing w:after="160"/>
      </w:pPr>
      <w:r>
        <w:rPr>
          <w:color w:val="000000"/>
        </w:rPr>
        <w:t>Hypothèse. La Phase 5 mesure des coefficients d'information (IC) faibles (0.015-0.036) sur ~11 700 lignes de panel. Peut-être le modèle manque-t-il simplement de données. Test : un univers marocain PROFOND de 12 actions sur 4 682 jours (2005-01-06 → 2024-05-31)  soit 56 184 lignes de panel — environ cinq fois l'univers courant — évalué avec la machinerie EXACTE de la Phase 5.</w:t>
      </w:r>
    </w:p>
    <w:p>
      <w:pPr>
        <w:spacing w:after="160"/>
      </w:pPr>
      <w:r>
        <w:rPr>
          <w:color w:val="000000"/>
        </w:rPr>
        <w:t>Résultat en deux temps. Le modèle devient mesurablement meilleur : l'IC passe de 0.015-0.036 à 0,0684 (RF) et 0,0738 (XGB) — un facteur 2 à 4, confirmé par les deux algorithmes. Le portefeuille, lui, ne suit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26"/>
      </w:tblGrid>
      <w:tr>
        <w:trPr>
          <w:tblHeader/>
        </w:trPr>
        <w:tc>
          <w:tcPr>
            <w:tcW w:type="dxa" w:w="4500"/>
            <w:shd w:val="clear" w:fill="DCE6F1"/>
            <w:tcMar>
              <w:top w:type="dxa" w:w="80"/>
              <w:left w:type="dxa" w:w="100"/>
              <w:bottom w:type="dxa" w:w="80"/>
              <w:right w:type="dxa" w:w="100"/>
            </w:tcMar>
            <w:vAlign w:val="center"/>
          </w:tcPr>
          <w:p>
            <w:r>
              <w:rPr>
                <w:b/>
                <w:bCs/>
                <w:sz w:val="17"/>
                <w:szCs w:val="20"/>
              </w:rPr>
              <w:t>Stratégie</w:t>
            </w:r>
          </w:p>
        </w:tc>
        <w:tc>
          <w:tcPr>
            <w:tcW w:type="dxa" w:w="4526"/>
            <w:shd w:val="clear" w:fill="DCE6F1"/>
            <w:tcMar>
              <w:top w:type="dxa" w:w="80"/>
              <w:left w:type="dxa" w:w="100"/>
              <w:bottom w:type="dxa" w:w="80"/>
              <w:right w:type="dxa" w:w="100"/>
            </w:tcMar>
            <w:vAlign w:val="center"/>
          </w:tcPr>
          <w:p>
            <w:r>
              <w:rPr>
                <w:b/>
                <w:bCs/>
                <w:sz w:val="17"/>
                <w:szCs w:val="20"/>
              </w:rPr>
              <w:t>Sharpe net (test gelé)</w:t>
            </w:r>
          </w:p>
        </w:tc>
      </w:tr>
      <w:tr>
        <w:trPr>
          <w:tblHeader/>
        </w:trPr>
        <w:tc>
          <w:tcPr>
            <w:tcW w:type="dxa" w:w="4500"/>
            <w:tcMar>
              <w:top w:type="dxa" w:w="80"/>
              <w:left w:type="dxa" w:w="100"/>
              <w:bottom w:type="dxa" w:w="80"/>
              <w:right w:type="dxa" w:w="100"/>
            </w:tcMar>
            <w:vAlign w:val="center"/>
          </w:tcPr>
          <w:p>
            <w:r>
              <w:rPr>
                <w:b w:val="0"/>
                <w:bCs/>
                <w:sz w:val="17"/>
                <w:szCs w:val="20"/>
              </w:rPr>
              <w:t>rf_tuned</w:t>
            </w:r>
          </w:p>
        </w:tc>
        <w:tc>
          <w:tcPr>
            <w:tcW w:type="dxa" w:w="4526"/>
            <w:tcMar>
              <w:top w:type="dxa" w:w="80"/>
              <w:left w:type="dxa" w:w="100"/>
              <w:bottom w:type="dxa" w:w="80"/>
              <w:right w:type="dxa" w:w="100"/>
            </w:tcMar>
            <w:vAlign w:val="center"/>
          </w:tcPr>
          <w:p>
            <w:r>
              <w:rPr>
                <w:b w:val="0"/>
                <w:bCs/>
                <w:sz w:val="17"/>
                <w:szCs w:val="20"/>
              </w:rPr>
              <w:t>0,339</w:t>
            </w:r>
          </w:p>
        </w:tc>
      </w:tr>
      <w:tr>
        <w:trPr>
          <w:tblHeader/>
        </w:trPr>
        <w:tc>
          <w:tcPr>
            <w:tcW w:type="dxa" w:w="4500"/>
            <w:tcMar>
              <w:top w:type="dxa" w:w="80"/>
              <w:left w:type="dxa" w:w="100"/>
              <w:bottom w:type="dxa" w:w="80"/>
              <w:right w:type="dxa" w:w="100"/>
            </w:tcMar>
            <w:vAlign w:val="center"/>
          </w:tcPr>
          <w:p>
            <w:r>
              <w:rPr>
                <w:b w:val="0"/>
                <w:bCs/>
                <w:sz w:val="17"/>
                <w:szCs w:val="20"/>
              </w:rPr>
              <w:t>xgb_tuned</w:t>
            </w:r>
          </w:p>
        </w:tc>
        <w:tc>
          <w:tcPr>
            <w:tcW w:type="dxa" w:w="4526"/>
            <w:tcMar>
              <w:top w:type="dxa" w:w="80"/>
              <w:left w:type="dxa" w:w="100"/>
              <w:bottom w:type="dxa" w:w="80"/>
              <w:right w:type="dxa" w:w="100"/>
            </w:tcMar>
            <w:vAlign w:val="center"/>
          </w:tcPr>
          <w:p>
            <w:r>
              <w:rPr>
                <w:b w:val="0"/>
                <w:bCs/>
                <w:sz w:val="17"/>
                <w:szCs w:val="20"/>
              </w:rPr>
              <w:t>0,282</w:t>
            </w:r>
          </w:p>
        </w:tc>
      </w:tr>
      <w:tr>
        <w:trPr>
          <w:tblHeader/>
        </w:trPr>
        <w:tc>
          <w:tcPr>
            <w:tcW w:type="dxa" w:w="4500"/>
            <w:tcMar>
              <w:top w:type="dxa" w:w="80"/>
              <w:left w:type="dxa" w:w="100"/>
              <w:bottom w:type="dxa" w:w="80"/>
              <w:right w:type="dxa" w:w="100"/>
            </w:tcMar>
            <w:vAlign w:val="center"/>
          </w:tcPr>
          <w:p>
            <w:r>
              <w:rPr>
                <w:b w:val="0"/>
                <w:bCs/>
                <w:sz w:val="17"/>
                <w:szCs w:val="20"/>
              </w:rPr>
              <w:t>equal_weight</w:t>
            </w:r>
          </w:p>
        </w:tc>
        <w:tc>
          <w:tcPr>
            <w:tcW w:type="dxa" w:w="4526"/>
            <w:tcMar>
              <w:top w:type="dxa" w:w="80"/>
              <w:left w:type="dxa" w:w="100"/>
              <w:bottom w:type="dxa" w:w="80"/>
              <w:right w:type="dxa" w:w="100"/>
            </w:tcMar>
            <w:vAlign w:val="center"/>
          </w:tcPr>
          <w:p>
            <w:r>
              <w:rPr>
                <w:b w:val="0"/>
                <w:bCs/>
                <w:sz w:val="17"/>
                <w:szCs w:val="20"/>
              </w:rPr>
              <w:t>0,253</w:t>
            </w:r>
          </w:p>
        </w:tc>
      </w:tr>
      <w:tr>
        <w:trPr>
          <w:tblHeader/>
        </w:trPr>
        <w:tc>
          <w:tcPr>
            <w:tcW w:type="dxa" w:w="4500"/>
            <w:tcMar>
              <w:top w:type="dxa" w:w="80"/>
              <w:left w:type="dxa" w:w="100"/>
              <w:bottom w:type="dxa" w:w="80"/>
              <w:right w:type="dxa" w:w="100"/>
            </w:tcMar>
            <w:vAlign w:val="center"/>
          </w:tcPr>
          <w:p>
            <w:r>
              <w:rPr>
                <w:b w:val="0"/>
                <w:bCs/>
                <w:sz w:val="17"/>
                <w:szCs w:val="20"/>
              </w:rPr>
              <w:t>max_sharpe</w:t>
            </w:r>
          </w:p>
        </w:tc>
        <w:tc>
          <w:tcPr>
            <w:tcW w:type="dxa" w:w="4526"/>
            <w:tcMar>
              <w:top w:type="dxa" w:w="80"/>
              <w:left w:type="dxa" w:w="100"/>
              <w:bottom w:type="dxa" w:w="80"/>
              <w:right w:type="dxa" w:w="100"/>
            </w:tcMar>
            <w:vAlign w:val="center"/>
          </w:tcPr>
          <w:p>
            <w:r>
              <w:rPr>
                <w:b w:val="0"/>
                <w:bCs/>
                <w:sz w:val="17"/>
                <w:szCs w:val="20"/>
              </w:rPr>
              <w:t>0,178</w:t>
            </w:r>
          </w:p>
        </w:tc>
      </w:tr>
      <w:tr>
        <w:trPr>
          <w:tblHeader/>
        </w:trPr>
        <w:tc>
          <w:tcPr>
            <w:tcW w:type="dxa" w:w="4500"/>
            <w:tcMar>
              <w:top w:type="dxa" w:w="80"/>
              <w:left w:type="dxa" w:w="100"/>
              <w:bottom w:type="dxa" w:w="80"/>
              <w:right w:type="dxa" w:w="100"/>
            </w:tcMar>
            <w:vAlign w:val="center"/>
          </w:tcPr>
          <w:p>
            <w:r>
              <w:rPr>
                <w:b w:val="0"/>
                <w:bCs/>
                <w:sz w:val="17"/>
                <w:szCs w:val="20"/>
              </w:rPr>
              <w:t>regime_conditional</w:t>
            </w:r>
          </w:p>
        </w:tc>
        <w:tc>
          <w:tcPr>
            <w:tcW w:type="dxa" w:w="4526"/>
            <w:tcMar>
              <w:top w:type="dxa" w:w="80"/>
              <w:left w:type="dxa" w:w="100"/>
              <w:bottom w:type="dxa" w:w="80"/>
              <w:right w:type="dxa" w:w="100"/>
            </w:tcMar>
            <w:vAlign w:val="center"/>
          </w:tcPr>
          <w:p>
            <w:r>
              <w:rPr>
                <w:b w:val="0"/>
                <w:bCs/>
                <w:sz w:val="17"/>
                <w:szCs w:val="20"/>
              </w:rPr>
              <w:t>0,067</w:t>
            </w:r>
          </w:p>
        </w:tc>
      </w:tr>
    </w:tbl>
    <w:p>
      <w:pPr>
        <w:spacing w:after="160"/>
      </w:pPr>
      <w:r/>
    </w:p>
    <w:p>
      <w:pPr>
        <w:spacing w:after="160"/>
      </w:pPr>
      <w:r>
        <w:rPr>
          <w:color w:val="000000"/>
        </w:rPr>
        <w:t>Verdict : davantage de données rend le modèle plus intelligent sans produire d'avantage de portefeuille statistiquement significatif — tous les intervalles sont larges et incluent zéro. Le plafond n'est pas la QUANTITÉ de données. Cette étude ferme la piste « plus d'historique de prix » et réoriente vers la qualité des données, ce que fait l'étude 2.</w:t>
      </w:r>
    </w:p>
    <w:p>
      <w:pPr>
        <w:pStyle w:val="Heading1"/>
        <w:spacing w:after="120" w:before="240"/>
      </w:pPr>
      <w:r>
        <w:rPr>
          <w:b/>
        </w:rPr>
        <w:t>4. Étude 2 — Et si les données étaient de meilleure qualité ? (P1, P4)</w:t>
      </w:r>
    </w:p>
    <w:p>
      <w:pPr>
        <w:spacing w:after="160"/>
      </w:pPr>
      <w:r>
        <w:rPr>
          <w:color w:val="000000"/>
        </w:rPr>
        <w:t>Hypothèse. Suite directe : on ajoute des ratios de valorisation point-in-time (P/E, P/B, P/S, D/E) aux actions BVC, décalés de 90 jours ouvrés pour respecter le délai de publication AMMC — la discipline causale étant verrouillée par un test de corruption du futur, comme pour les features de marché.</w:t>
      </w:r>
    </w:p>
    <w:p>
      <w:pPr>
        <w:spacing w:after="160"/>
      </w:pPr>
      <w:r>
        <w:rPr>
          <w:color w:val="000000"/>
        </w:rPr>
        <w:t>Le modèle apprend nettement plus. L'IC en validation croisée purgée passe de 0,0281 à 0,0581 pour le RandomForest — il double presque, et `FUND_pb` devient la deuxième feature la plus importante. L'arbre utilise réellement les fondamentaux ; ce n'est pas du bruit ajusté.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26"/>
      </w:tblGrid>
      <w:tr>
        <w:trPr>
          <w:tblHeader/>
        </w:trPr>
        <w:tc>
          <w:tcPr>
            <w:tcW w:type="dxa" w:w="4500"/>
            <w:shd w:val="clear" w:fill="DCE6F1"/>
            <w:tcMar>
              <w:top w:type="dxa" w:w="80"/>
              <w:left w:type="dxa" w:w="100"/>
              <w:bottom w:type="dxa" w:w="80"/>
              <w:right w:type="dxa" w:w="100"/>
            </w:tcMar>
            <w:vAlign w:val="center"/>
          </w:tcPr>
          <w:p>
            <w:r>
              <w:rPr>
                <w:b/>
                <w:bCs/>
                <w:sz w:val="17"/>
                <w:szCs w:val="20"/>
              </w:rPr>
              <w:t>Stratégie</w:t>
            </w:r>
          </w:p>
        </w:tc>
        <w:tc>
          <w:tcPr>
            <w:tcW w:type="dxa" w:w="4526"/>
            <w:shd w:val="clear" w:fill="DCE6F1"/>
            <w:tcMar>
              <w:top w:type="dxa" w:w="80"/>
              <w:left w:type="dxa" w:w="100"/>
              <w:bottom w:type="dxa" w:w="80"/>
              <w:right w:type="dxa" w:w="100"/>
            </w:tcMar>
            <w:vAlign w:val="center"/>
          </w:tcPr>
          <w:p>
            <w:r>
              <w:rPr>
                <w:b/>
                <w:bCs/>
                <w:sz w:val="17"/>
                <w:szCs w:val="20"/>
              </w:rPr>
              <w:t>Sharpe net (fenêtre test gelée)</w:t>
            </w:r>
          </w:p>
        </w:tc>
      </w:tr>
      <w:tr>
        <w:trPr>
          <w:tblHeader/>
        </w:trPr>
        <w:tc>
          <w:tcPr>
            <w:tcW w:type="dxa" w:w="4500"/>
            <w:tcMar>
              <w:top w:type="dxa" w:w="80"/>
              <w:left w:type="dxa" w:w="100"/>
              <w:bottom w:type="dxa" w:w="80"/>
              <w:right w:type="dxa" w:w="100"/>
            </w:tcMar>
            <w:vAlign w:val="center"/>
          </w:tcPr>
          <w:p>
            <w:r>
              <w:rPr>
                <w:b w:val="0"/>
                <w:bCs/>
                <w:sz w:val="17"/>
                <w:szCs w:val="20"/>
              </w:rPr>
              <w:t>rf_signal_baseline</w:t>
            </w:r>
          </w:p>
        </w:tc>
        <w:tc>
          <w:tcPr>
            <w:tcW w:type="dxa" w:w="4526"/>
            <w:tcMar>
              <w:top w:type="dxa" w:w="80"/>
              <w:left w:type="dxa" w:w="100"/>
              <w:bottom w:type="dxa" w:w="80"/>
              <w:right w:type="dxa" w:w="100"/>
            </w:tcMar>
            <w:vAlign w:val="center"/>
          </w:tcPr>
          <w:p>
            <w:r>
              <w:rPr>
                <w:b w:val="0"/>
                <w:bCs/>
                <w:sz w:val="17"/>
                <w:szCs w:val="20"/>
              </w:rPr>
              <w:t>1,214</w:t>
            </w:r>
          </w:p>
        </w:tc>
      </w:tr>
      <w:tr>
        <w:trPr>
          <w:tblHeader/>
        </w:trPr>
        <w:tc>
          <w:tcPr>
            <w:tcW w:type="dxa" w:w="4500"/>
            <w:tcMar>
              <w:top w:type="dxa" w:w="80"/>
              <w:left w:type="dxa" w:w="100"/>
              <w:bottom w:type="dxa" w:w="80"/>
              <w:right w:type="dxa" w:w="100"/>
            </w:tcMar>
            <w:vAlign w:val="center"/>
          </w:tcPr>
          <w:p>
            <w:r>
              <w:rPr>
                <w:b w:val="0"/>
                <w:bCs/>
                <w:sz w:val="17"/>
                <w:szCs w:val="20"/>
              </w:rPr>
              <w:t>regime_conditional</w:t>
            </w:r>
          </w:p>
        </w:tc>
        <w:tc>
          <w:tcPr>
            <w:tcW w:type="dxa" w:w="4526"/>
            <w:tcMar>
              <w:top w:type="dxa" w:w="80"/>
              <w:left w:type="dxa" w:w="100"/>
              <w:bottom w:type="dxa" w:w="80"/>
              <w:right w:type="dxa" w:w="100"/>
            </w:tcMar>
            <w:vAlign w:val="center"/>
          </w:tcPr>
          <w:p>
            <w:r>
              <w:rPr>
                <w:b w:val="0"/>
                <w:bCs/>
                <w:sz w:val="17"/>
                <w:szCs w:val="20"/>
              </w:rPr>
              <w:t>1,199</w:t>
            </w:r>
          </w:p>
        </w:tc>
      </w:tr>
      <w:tr>
        <w:trPr>
          <w:tblHeader/>
        </w:trPr>
        <w:tc>
          <w:tcPr>
            <w:tcW w:type="dxa" w:w="4500"/>
            <w:tcMar>
              <w:top w:type="dxa" w:w="80"/>
              <w:left w:type="dxa" w:w="100"/>
              <w:bottom w:type="dxa" w:w="80"/>
              <w:right w:type="dxa" w:w="100"/>
            </w:tcMar>
            <w:vAlign w:val="center"/>
          </w:tcPr>
          <w:p>
            <w:r>
              <w:rPr>
                <w:b w:val="0"/>
                <w:bCs/>
                <w:sz w:val="17"/>
                <w:szCs w:val="20"/>
              </w:rPr>
              <w:t>rf_signal_fundamentals</w:t>
            </w:r>
          </w:p>
        </w:tc>
        <w:tc>
          <w:tcPr>
            <w:tcW w:type="dxa" w:w="4526"/>
            <w:tcMar>
              <w:top w:type="dxa" w:w="80"/>
              <w:left w:type="dxa" w:w="100"/>
              <w:bottom w:type="dxa" w:w="80"/>
              <w:right w:type="dxa" w:w="100"/>
            </w:tcMar>
            <w:vAlign w:val="center"/>
          </w:tcPr>
          <w:p>
            <w:r>
              <w:rPr>
                <w:b w:val="0"/>
                <w:bCs/>
                <w:sz w:val="17"/>
                <w:szCs w:val="20"/>
              </w:rPr>
              <w:t>0,882</w:t>
            </w:r>
          </w:p>
        </w:tc>
      </w:tr>
      <w:tr>
        <w:trPr>
          <w:tblHeader/>
        </w:trPr>
        <w:tc>
          <w:tcPr>
            <w:tcW w:type="dxa" w:w="4500"/>
            <w:tcMar>
              <w:top w:type="dxa" w:w="80"/>
              <w:left w:type="dxa" w:w="100"/>
              <w:bottom w:type="dxa" w:w="80"/>
              <w:right w:type="dxa" w:w="100"/>
            </w:tcMar>
            <w:vAlign w:val="center"/>
          </w:tcPr>
          <w:p>
            <w:r>
              <w:rPr>
                <w:b w:val="0"/>
                <w:bCs/>
                <w:sz w:val="17"/>
                <w:szCs w:val="20"/>
              </w:rPr>
              <w:t>equal_weight</w:t>
            </w:r>
          </w:p>
        </w:tc>
        <w:tc>
          <w:tcPr>
            <w:tcW w:type="dxa" w:w="4526"/>
            <w:tcMar>
              <w:top w:type="dxa" w:w="80"/>
              <w:left w:type="dxa" w:w="100"/>
              <w:bottom w:type="dxa" w:w="80"/>
              <w:right w:type="dxa" w:w="100"/>
            </w:tcMar>
            <w:vAlign w:val="center"/>
          </w:tcPr>
          <w:p>
            <w:r>
              <w:rPr>
                <w:b w:val="0"/>
                <w:bCs/>
                <w:sz w:val="17"/>
                <w:szCs w:val="20"/>
              </w:rPr>
              <w:t>0,866</w:t>
            </w:r>
          </w:p>
        </w:tc>
      </w:tr>
    </w:tbl>
    <w:p>
      <w:pPr>
        <w:spacing w:after="160"/>
      </w:pPr>
      <w:r/>
    </w:p>
    <w:p>
      <w:pPr>
        <w:spacing w:after="160"/>
      </w:pPr>
      <w:r>
        <w:rPr>
          <w:color w:val="000000"/>
        </w:rPr>
        <w:t>Verdict, et il est frappant : l'apport des fondamentaux au signal F7 vaut -0,331 de Sharpe — NÉGATIF. Non significatif (les intervalles se chevauchent), mais toutes les estimations ponctuelles vont dans le mauvais sens, pour une feature qui a DOUBLÉ l'IC. Les fondamentaux réduisent le turnover de moitié, comme on l'attend d'un signal plus lent — et la stabilisation tue l'alpha dans la même proportion.</w:t>
      </w:r>
    </w:p>
    <w:p>
      <w:pPr>
        <w:spacing w:after="160"/>
      </w:pPr>
      <w:r>
        <w:rPr>
          <w:color w:val="000000"/>
        </w:rPr>
        <w:t>Deuxième confirmation du même plafond : précision de prédiction ≠ performance de portefeuille. Ce n'est plus une observation isolée, c'est un motif.</w:t>
      </w:r>
    </w:p>
    <w:p>
      <w:pPr>
        <w:pStyle w:val="Heading1"/>
        <w:spacing w:after="120" w:before="240"/>
      </w:pPr>
      <w:r>
        <w:rPr>
          <w:b/>
        </w:rPr>
        <w:t>5. Étude 3 — Et si le problème était l'ÉVALUATION ? (P4)</w:t>
      </w:r>
    </w:p>
    <w:p>
      <w:pPr>
        <w:spacing w:after="160"/>
      </w:pPr>
      <w:r>
        <w:rPr>
          <w:color w:val="000000"/>
        </w:rPr>
        <w:t>Hypothèse. La Phase 5 avait elle-même désigné cette étape : sur `full_2021`, la fenêtre de test gelée ne fait que ~1,75 an et TOUS les intervalles dépassent 2,2 de Sharpe. Ce n'est pas un problème de modèle mais de TAILLE D'ÉCHANTILLON, qu'aucun meilleur modèle ne corrige. Le walk-forward imbriqué ré-sélectionne la configuration à 6 frontières successives et concatène chaque segment hors échantillon : 793 lignes (2023-07-12 → 2026-07-24) contre 455, la sélection ne voyant jamais sa propre fenêtre d'évaluation.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500"/>
        <w:gridCol w:w="1150"/>
        <w:gridCol w:w="1700"/>
        <w:gridCol w:w="1150"/>
        <w:gridCol w:w="1426"/>
      </w:tblGrid>
      <w:tr>
        <w:trPr>
          <w:tblHeader/>
        </w:trPr>
        <w:tc>
          <w:tcPr>
            <w:tcW w:type="dxa" w:w="2100"/>
            <w:shd w:val="clear" w:fill="DCE6F1"/>
            <w:tcMar>
              <w:top w:type="dxa" w:w="80"/>
              <w:left w:type="dxa" w:w="100"/>
              <w:bottom w:type="dxa" w:w="80"/>
              <w:right w:type="dxa" w:w="100"/>
            </w:tcMar>
            <w:vAlign w:val="center"/>
          </w:tcPr>
          <w:p>
            <w:r>
              <w:rPr>
                <w:b/>
                <w:bCs/>
                <w:sz w:val="17"/>
                <w:szCs w:val="20"/>
              </w:rPr>
              <w:t>Stratégie</w:t>
            </w:r>
          </w:p>
        </w:tc>
        <w:tc>
          <w:tcPr>
            <w:tcW w:type="dxa" w:w="1500"/>
            <w:shd w:val="clear" w:fill="DCE6F1"/>
            <w:tcMar>
              <w:top w:type="dxa" w:w="80"/>
              <w:left w:type="dxa" w:w="100"/>
              <w:bottom w:type="dxa" w:w="80"/>
              <w:right w:type="dxa" w:w="100"/>
            </w:tcMar>
            <w:vAlign w:val="center"/>
          </w:tcPr>
          <w:p>
            <w:r>
              <w:rPr>
                <w:b/>
                <w:bCs/>
                <w:sz w:val="17"/>
                <w:szCs w:val="20"/>
              </w:rPr>
              <w:t>Sharpe (unique)</w:t>
            </w:r>
          </w:p>
        </w:tc>
        <w:tc>
          <w:tcPr>
            <w:tcW w:type="dxa" w:w="1150"/>
            <w:shd w:val="clear" w:fill="DCE6F1"/>
            <w:tcMar>
              <w:top w:type="dxa" w:w="80"/>
              <w:left w:type="dxa" w:w="100"/>
              <w:bottom w:type="dxa" w:w="80"/>
              <w:right w:type="dxa" w:w="100"/>
            </w:tcMar>
            <w:vAlign w:val="center"/>
          </w:tcPr>
          <w:p>
            <w:r>
              <w:rPr>
                <w:b/>
                <w:bCs/>
                <w:sz w:val="17"/>
                <w:szCs w:val="20"/>
              </w:rPr>
              <w:t>largeur</w:t>
            </w:r>
          </w:p>
        </w:tc>
        <w:tc>
          <w:tcPr>
            <w:tcW w:type="dxa" w:w="1700"/>
            <w:shd w:val="clear" w:fill="DCE6F1"/>
            <w:tcMar>
              <w:top w:type="dxa" w:w="80"/>
              <w:left w:type="dxa" w:w="100"/>
              <w:bottom w:type="dxa" w:w="80"/>
              <w:right w:type="dxa" w:w="100"/>
            </w:tcMar>
            <w:vAlign w:val="center"/>
          </w:tcPr>
          <w:p>
            <w:r>
              <w:rPr>
                <w:b/>
                <w:bCs/>
                <w:sz w:val="17"/>
                <w:szCs w:val="20"/>
              </w:rPr>
              <w:t>Sharpe (imbriqué)</w:t>
            </w:r>
          </w:p>
        </w:tc>
        <w:tc>
          <w:tcPr>
            <w:tcW w:type="dxa" w:w="1150"/>
            <w:shd w:val="clear" w:fill="DCE6F1"/>
            <w:tcMar>
              <w:top w:type="dxa" w:w="80"/>
              <w:left w:type="dxa" w:w="100"/>
              <w:bottom w:type="dxa" w:w="80"/>
              <w:right w:type="dxa" w:w="100"/>
            </w:tcMar>
            <w:vAlign w:val="center"/>
          </w:tcPr>
          <w:p>
            <w:r>
              <w:rPr>
                <w:b/>
                <w:bCs/>
                <w:sz w:val="17"/>
                <w:szCs w:val="20"/>
              </w:rPr>
              <w:t>largeur</w:t>
            </w:r>
          </w:p>
        </w:tc>
        <w:tc>
          <w:tcPr>
            <w:tcW w:type="dxa" w:w="1426"/>
            <w:shd w:val="clear" w:fill="DCE6F1"/>
            <w:tcMar>
              <w:top w:type="dxa" w:w="80"/>
              <w:left w:type="dxa" w:w="100"/>
              <w:bottom w:type="dxa" w:w="80"/>
              <w:right w:type="dxa" w:w="100"/>
            </w:tcMar>
            <w:vAlign w:val="center"/>
          </w:tcPr>
          <w:p>
            <w:r>
              <w:rPr>
                <w:b/>
                <w:bCs/>
                <w:sz w:val="17"/>
                <w:szCs w:val="20"/>
              </w:rPr>
              <w:t>resserrement</w:t>
            </w:r>
          </w:p>
        </w:tc>
      </w:tr>
      <w:tr>
        <w:trPr>
          <w:tblHeader/>
        </w:trPr>
        <w:tc>
          <w:tcPr>
            <w:tcW w:type="dxa" w:w="2100"/>
            <w:tcMar>
              <w:top w:type="dxa" w:w="80"/>
              <w:left w:type="dxa" w:w="100"/>
              <w:bottom w:type="dxa" w:w="80"/>
              <w:right w:type="dxa" w:w="100"/>
            </w:tcMar>
            <w:vAlign w:val="center"/>
          </w:tcPr>
          <w:p>
            <w:r>
              <w:rPr>
                <w:b w:val="0"/>
                <w:bCs/>
                <w:sz w:val="17"/>
                <w:szCs w:val="20"/>
              </w:rPr>
              <w:t>regime_conditional</w:t>
            </w:r>
          </w:p>
        </w:tc>
        <w:tc>
          <w:tcPr>
            <w:tcW w:type="dxa" w:w="1500"/>
            <w:tcMar>
              <w:top w:type="dxa" w:w="80"/>
              <w:left w:type="dxa" w:w="100"/>
              <w:bottom w:type="dxa" w:w="80"/>
              <w:right w:type="dxa" w:w="100"/>
            </w:tcMar>
            <w:vAlign w:val="center"/>
          </w:tcPr>
          <w:p>
            <w:r>
              <w:rPr>
                <w:b w:val="0"/>
                <w:bCs/>
                <w:sz w:val="17"/>
                <w:szCs w:val="20"/>
              </w:rPr>
              <w:t>1,213</w:t>
            </w:r>
          </w:p>
        </w:tc>
        <w:tc>
          <w:tcPr>
            <w:tcW w:type="dxa" w:w="1150"/>
            <w:tcMar>
              <w:top w:type="dxa" w:w="80"/>
              <w:left w:type="dxa" w:w="100"/>
              <w:bottom w:type="dxa" w:w="80"/>
              <w:right w:type="dxa" w:w="100"/>
            </w:tcMar>
            <w:vAlign w:val="center"/>
          </w:tcPr>
          <w:p>
            <w:r>
              <w:rPr>
                <w:b w:val="0"/>
                <w:bCs/>
                <w:sz w:val="17"/>
                <w:szCs w:val="20"/>
              </w:rPr>
              <w:t>2,167</w:t>
            </w:r>
          </w:p>
        </w:tc>
        <w:tc>
          <w:tcPr>
            <w:tcW w:type="dxa" w:w="1700"/>
            <w:tcMar>
              <w:top w:type="dxa" w:w="80"/>
              <w:left w:type="dxa" w:w="100"/>
              <w:bottom w:type="dxa" w:w="80"/>
              <w:right w:type="dxa" w:w="100"/>
            </w:tcMar>
            <w:vAlign w:val="center"/>
          </w:tcPr>
          <w:p>
            <w:r>
              <w:rPr>
                <w:b w:val="0"/>
                <w:bCs/>
                <w:sz w:val="17"/>
                <w:szCs w:val="20"/>
              </w:rPr>
              <w:t>1,672</w:t>
            </w:r>
          </w:p>
        </w:tc>
        <w:tc>
          <w:tcPr>
            <w:tcW w:type="dxa" w:w="1150"/>
            <w:tcMar>
              <w:top w:type="dxa" w:w="80"/>
              <w:left w:type="dxa" w:w="100"/>
              <w:bottom w:type="dxa" w:w="80"/>
              <w:right w:type="dxa" w:w="100"/>
            </w:tcMar>
            <w:vAlign w:val="center"/>
          </w:tcPr>
          <w:p>
            <w:r>
              <w:rPr>
                <w:b w:val="0"/>
                <w:bCs/>
                <w:sz w:val="17"/>
                <w:szCs w:val="20"/>
              </w:rPr>
              <w:t>1,612</w:t>
            </w:r>
          </w:p>
        </w:tc>
        <w:tc>
          <w:tcPr>
            <w:tcW w:type="dxa" w:w="1426"/>
            <w:tcMar>
              <w:top w:type="dxa" w:w="80"/>
              <w:left w:type="dxa" w:w="100"/>
              <w:bottom w:type="dxa" w:w="80"/>
              <w:right w:type="dxa" w:w="100"/>
            </w:tcMar>
            <w:vAlign w:val="center"/>
          </w:tcPr>
          <w:p>
            <w:r>
              <w:rPr>
                <w:b w:val="0"/>
                <w:bCs/>
                <w:sz w:val="17"/>
                <w:szCs w:val="20"/>
              </w:rPr>
              <w:t>25.6 %</w:t>
            </w:r>
          </w:p>
        </w:tc>
      </w:tr>
      <w:tr>
        <w:trPr>
          <w:tblHeader/>
        </w:trPr>
        <w:tc>
          <w:tcPr>
            <w:tcW w:type="dxa" w:w="2100"/>
            <w:tcMar>
              <w:top w:type="dxa" w:w="80"/>
              <w:left w:type="dxa" w:w="100"/>
              <w:bottom w:type="dxa" w:w="80"/>
              <w:right w:type="dxa" w:w="100"/>
            </w:tcMar>
            <w:vAlign w:val="center"/>
          </w:tcPr>
          <w:p>
            <w:r>
              <w:rPr>
                <w:b w:val="0"/>
                <w:bCs/>
                <w:sz w:val="17"/>
                <w:szCs w:val="20"/>
              </w:rPr>
              <w:t>xgb_signal_tuned</w:t>
            </w:r>
          </w:p>
        </w:tc>
        <w:tc>
          <w:tcPr>
            <w:tcW w:type="dxa" w:w="1500"/>
            <w:tcMar>
              <w:top w:type="dxa" w:w="80"/>
              <w:left w:type="dxa" w:w="100"/>
              <w:bottom w:type="dxa" w:w="80"/>
              <w:right w:type="dxa" w:w="100"/>
            </w:tcMar>
            <w:vAlign w:val="center"/>
          </w:tcPr>
          <w:p>
            <w:r>
              <w:rPr>
                <w:b w:val="0"/>
                <w:bCs/>
                <w:sz w:val="17"/>
                <w:szCs w:val="20"/>
              </w:rPr>
              <w:t>1,308</w:t>
            </w:r>
          </w:p>
        </w:tc>
        <w:tc>
          <w:tcPr>
            <w:tcW w:type="dxa" w:w="1150"/>
            <w:tcMar>
              <w:top w:type="dxa" w:w="80"/>
              <w:left w:type="dxa" w:w="100"/>
              <w:bottom w:type="dxa" w:w="80"/>
              <w:right w:type="dxa" w:w="100"/>
            </w:tcMar>
            <w:vAlign w:val="center"/>
          </w:tcPr>
          <w:p>
            <w:r>
              <w:rPr>
                <w:b w:val="0"/>
                <w:bCs/>
                <w:sz w:val="17"/>
                <w:szCs w:val="20"/>
              </w:rPr>
              <w:t>2,260</w:t>
            </w:r>
          </w:p>
        </w:tc>
        <w:tc>
          <w:tcPr>
            <w:tcW w:type="dxa" w:w="1700"/>
            <w:tcMar>
              <w:top w:type="dxa" w:w="80"/>
              <w:left w:type="dxa" w:w="100"/>
              <w:bottom w:type="dxa" w:w="80"/>
              <w:right w:type="dxa" w:w="100"/>
            </w:tcMar>
            <w:vAlign w:val="center"/>
          </w:tcPr>
          <w:p>
            <w:r>
              <w:rPr>
                <w:b w:val="0"/>
                <w:bCs/>
                <w:sz w:val="17"/>
                <w:szCs w:val="20"/>
              </w:rPr>
              <w:t>1,436</w:t>
            </w:r>
          </w:p>
        </w:tc>
        <w:tc>
          <w:tcPr>
            <w:tcW w:type="dxa" w:w="1150"/>
            <w:tcMar>
              <w:top w:type="dxa" w:w="80"/>
              <w:left w:type="dxa" w:w="100"/>
              <w:bottom w:type="dxa" w:w="80"/>
              <w:right w:type="dxa" w:w="100"/>
            </w:tcMar>
            <w:vAlign w:val="center"/>
          </w:tcPr>
          <w:p>
            <w:r>
              <w:rPr>
                <w:b w:val="0"/>
                <w:bCs/>
                <w:sz w:val="17"/>
                <w:szCs w:val="20"/>
              </w:rPr>
              <w:t>1,558</w:t>
            </w:r>
          </w:p>
        </w:tc>
        <w:tc>
          <w:tcPr>
            <w:tcW w:type="dxa" w:w="1426"/>
            <w:tcMar>
              <w:top w:type="dxa" w:w="80"/>
              <w:left w:type="dxa" w:w="100"/>
              <w:bottom w:type="dxa" w:w="80"/>
              <w:right w:type="dxa" w:w="100"/>
            </w:tcMar>
            <w:vAlign w:val="center"/>
          </w:tcPr>
          <w:p>
            <w:r>
              <w:rPr>
                <w:b w:val="0"/>
                <w:bCs/>
                <w:sz w:val="17"/>
                <w:szCs w:val="20"/>
              </w:rPr>
              <w:t>31.1 %</w:t>
            </w:r>
          </w:p>
        </w:tc>
      </w:tr>
      <w:tr>
        <w:trPr>
          <w:tblHeader/>
        </w:trPr>
        <w:tc>
          <w:tcPr>
            <w:tcW w:type="dxa" w:w="2100"/>
            <w:tcMar>
              <w:top w:type="dxa" w:w="80"/>
              <w:left w:type="dxa" w:w="100"/>
              <w:bottom w:type="dxa" w:w="80"/>
              <w:right w:type="dxa" w:w="100"/>
            </w:tcMar>
            <w:vAlign w:val="center"/>
          </w:tcPr>
          <w:p>
            <w:r>
              <w:rPr>
                <w:b w:val="0"/>
                <w:bCs/>
                <w:sz w:val="17"/>
                <w:szCs w:val="20"/>
              </w:rPr>
              <w:t>rf_signal_tuned</w:t>
            </w:r>
          </w:p>
        </w:tc>
        <w:tc>
          <w:tcPr>
            <w:tcW w:type="dxa" w:w="1500"/>
            <w:tcMar>
              <w:top w:type="dxa" w:w="80"/>
              <w:left w:type="dxa" w:w="100"/>
              <w:bottom w:type="dxa" w:w="80"/>
              <w:right w:type="dxa" w:w="100"/>
            </w:tcMar>
            <w:vAlign w:val="center"/>
          </w:tcPr>
          <w:p>
            <w:r>
              <w:rPr>
                <w:b w:val="0"/>
                <w:bCs/>
                <w:sz w:val="17"/>
                <w:szCs w:val="20"/>
              </w:rPr>
              <w:t>1,040</w:t>
            </w:r>
          </w:p>
        </w:tc>
        <w:tc>
          <w:tcPr>
            <w:tcW w:type="dxa" w:w="1150"/>
            <w:tcMar>
              <w:top w:type="dxa" w:w="80"/>
              <w:left w:type="dxa" w:w="100"/>
              <w:bottom w:type="dxa" w:w="80"/>
              <w:right w:type="dxa" w:w="100"/>
            </w:tcMar>
            <w:vAlign w:val="center"/>
          </w:tcPr>
          <w:p>
            <w:r>
              <w:rPr>
                <w:b w:val="0"/>
                <w:bCs/>
                <w:sz w:val="17"/>
                <w:szCs w:val="20"/>
              </w:rPr>
              <w:t>2,125</w:t>
            </w:r>
          </w:p>
        </w:tc>
        <w:tc>
          <w:tcPr>
            <w:tcW w:type="dxa" w:w="1700"/>
            <w:tcMar>
              <w:top w:type="dxa" w:w="80"/>
              <w:left w:type="dxa" w:w="100"/>
              <w:bottom w:type="dxa" w:w="80"/>
              <w:right w:type="dxa" w:w="100"/>
            </w:tcMar>
            <w:vAlign w:val="center"/>
          </w:tcPr>
          <w:p>
            <w:r>
              <w:rPr>
                <w:b w:val="0"/>
                <w:bCs/>
                <w:sz w:val="17"/>
                <w:szCs w:val="20"/>
              </w:rPr>
              <w:t>1,256</w:t>
            </w:r>
          </w:p>
        </w:tc>
        <w:tc>
          <w:tcPr>
            <w:tcW w:type="dxa" w:w="1150"/>
            <w:tcMar>
              <w:top w:type="dxa" w:w="80"/>
              <w:left w:type="dxa" w:w="100"/>
              <w:bottom w:type="dxa" w:w="80"/>
              <w:right w:type="dxa" w:w="100"/>
            </w:tcMar>
            <w:vAlign w:val="center"/>
          </w:tcPr>
          <w:p>
            <w:r>
              <w:rPr>
                <w:b w:val="0"/>
                <w:bCs/>
                <w:sz w:val="17"/>
                <w:szCs w:val="20"/>
              </w:rPr>
              <w:t>1,472</w:t>
            </w:r>
          </w:p>
        </w:tc>
        <w:tc>
          <w:tcPr>
            <w:tcW w:type="dxa" w:w="1426"/>
            <w:tcMar>
              <w:top w:type="dxa" w:w="80"/>
              <w:left w:type="dxa" w:w="100"/>
              <w:bottom w:type="dxa" w:w="80"/>
              <w:right w:type="dxa" w:w="100"/>
            </w:tcMar>
            <w:vAlign w:val="center"/>
          </w:tcPr>
          <w:p>
            <w:r>
              <w:rPr>
                <w:b w:val="0"/>
                <w:bCs/>
                <w:sz w:val="17"/>
                <w:szCs w:val="20"/>
              </w:rPr>
              <w:t>30.7 %</w:t>
            </w:r>
          </w:p>
        </w:tc>
      </w:tr>
      <w:tr>
        <w:trPr>
          <w:tblHeader/>
        </w:trPr>
        <w:tc>
          <w:tcPr>
            <w:tcW w:type="dxa" w:w="2100"/>
            <w:tcMar>
              <w:top w:type="dxa" w:w="80"/>
              <w:left w:type="dxa" w:w="100"/>
              <w:bottom w:type="dxa" w:w="80"/>
              <w:right w:type="dxa" w:w="100"/>
            </w:tcMar>
            <w:vAlign w:val="center"/>
          </w:tcPr>
          <w:p>
            <w:r>
              <w:rPr>
                <w:b w:val="0"/>
                <w:bCs/>
                <w:sz w:val="17"/>
                <w:szCs w:val="20"/>
              </w:rPr>
              <w:t>equal_weight</w:t>
            </w:r>
          </w:p>
        </w:tc>
        <w:tc>
          <w:tcPr>
            <w:tcW w:type="dxa" w:w="1500"/>
            <w:tcMar>
              <w:top w:type="dxa" w:w="80"/>
              <w:left w:type="dxa" w:w="100"/>
              <w:bottom w:type="dxa" w:w="80"/>
              <w:right w:type="dxa" w:w="100"/>
            </w:tcMar>
            <w:vAlign w:val="center"/>
          </w:tcPr>
          <w:p>
            <w:r>
              <w:rPr>
                <w:b w:val="0"/>
                <w:bCs/>
                <w:sz w:val="17"/>
                <w:szCs w:val="20"/>
              </w:rPr>
              <w:t>1,003</w:t>
            </w:r>
          </w:p>
        </w:tc>
        <w:tc>
          <w:tcPr>
            <w:tcW w:type="dxa" w:w="1150"/>
            <w:tcMar>
              <w:top w:type="dxa" w:w="80"/>
              <w:left w:type="dxa" w:w="100"/>
              <w:bottom w:type="dxa" w:w="80"/>
              <w:right w:type="dxa" w:w="100"/>
            </w:tcMar>
            <w:vAlign w:val="center"/>
          </w:tcPr>
          <w:p>
            <w:r>
              <w:rPr>
                <w:b w:val="0"/>
                <w:bCs/>
                <w:sz w:val="17"/>
                <w:szCs w:val="20"/>
              </w:rPr>
              <w:t>2,333</w:t>
            </w:r>
          </w:p>
        </w:tc>
        <w:tc>
          <w:tcPr>
            <w:tcW w:type="dxa" w:w="1700"/>
            <w:tcMar>
              <w:top w:type="dxa" w:w="80"/>
              <w:left w:type="dxa" w:w="100"/>
              <w:bottom w:type="dxa" w:w="80"/>
              <w:right w:type="dxa" w:w="100"/>
            </w:tcMar>
            <w:vAlign w:val="center"/>
          </w:tcPr>
          <w:p>
            <w:r>
              <w:rPr>
                <w:b w:val="0"/>
                <w:bCs/>
                <w:sz w:val="17"/>
                <w:szCs w:val="20"/>
              </w:rPr>
              <w:t>1,284</w:t>
            </w:r>
          </w:p>
        </w:tc>
        <w:tc>
          <w:tcPr>
            <w:tcW w:type="dxa" w:w="1150"/>
            <w:tcMar>
              <w:top w:type="dxa" w:w="80"/>
              <w:left w:type="dxa" w:w="100"/>
              <w:bottom w:type="dxa" w:w="80"/>
              <w:right w:type="dxa" w:w="100"/>
            </w:tcMar>
            <w:vAlign w:val="center"/>
          </w:tcPr>
          <w:p>
            <w:r>
              <w:rPr>
                <w:b w:val="0"/>
                <w:bCs/>
                <w:sz w:val="17"/>
                <w:szCs w:val="20"/>
              </w:rPr>
              <w:t>1,705</w:t>
            </w:r>
          </w:p>
        </w:tc>
        <w:tc>
          <w:tcPr>
            <w:tcW w:type="dxa" w:w="1426"/>
            <w:tcMar>
              <w:top w:type="dxa" w:w="80"/>
              <w:left w:type="dxa" w:w="100"/>
              <w:bottom w:type="dxa" w:w="80"/>
              <w:right w:type="dxa" w:w="100"/>
            </w:tcMar>
            <w:vAlign w:val="center"/>
          </w:tcPr>
          <w:p>
            <w:r>
              <w:rPr>
                <w:b w:val="0"/>
                <w:bCs/>
                <w:sz w:val="17"/>
                <w:szCs w:val="20"/>
              </w:rPr>
              <w:t>26.9 %</w:t>
            </w:r>
          </w:p>
        </w:tc>
      </w:tr>
    </w:tbl>
    <w:p>
      <w:pPr>
        <w:spacing w:after="160"/>
      </w:pPr>
      <w:r/>
    </w:p>
    <w:p>
      <w:pPr>
        <w:spacing w:after="160"/>
      </w:pPr>
      <w:r>
        <w:rPr>
          <w:color w:val="000000"/>
        </w:rPr>
        <w:t>Trois lectures à garder distinctes. (1) Le RESSERREMENT est le résultat robuste : largeur moyenne réduite de 28,6 %, mieux que les 24,3 % qu'un simple effet de taille prédirait ; Sharpe déflaté 0,835 sur 198 configurations contre 0,67 sur 36. (2) Toutes les bornes inférieures deviennent positives — au découpage unique celle de l'équipondéré descendait à −0,090 ; sur cet univers, chaque stratégie examinée est désormais crédiblement positive hors échantillon. (3) La hausse des NIVEAUX est un effet de période, PAS une amélioration : le Sharpe de toutes les stratégies monte, la fenêtre imbriquée commençant en 2023-07 et non en 2024-10. Seules les comparaisons internes à un même passage ont un sens.</w:t>
      </w:r>
    </w:p>
    <w:p>
      <w:pPr>
        <w:spacing w:after="160"/>
      </w:pPr>
      <w:r>
        <w:rPr>
          <w:color w:val="000000"/>
        </w:rPr>
        <w:t>Le classement repasse à `regime_conditional` — soit un TROISIÈME ordre différent en trois évaluations de `full_2021`. La lecture honnête n'est pas « le régime l'emporte finalement » mais que l'ordre ponctuel est INSTABLE AU PROTOCOLE D'ÉVALUATION, ce que la Phase 5 concluait déjà. L'estimation imbriquée mérite le plus de poids, mais les intervalles se chevauchent presque intégralement : aucune significativité, dans aucun sens.</w:t>
      </w:r>
    </w:p>
    <w:p>
      <w:pPr>
        <w:pStyle w:val="Heading1"/>
        <w:spacing w:after="120" w:before="240"/>
      </w:pPr>
      <w:r>
        <w:rPr>
          <w:b/>
        </w:rPr>
        <w:t>6. Étude 4 — Et si l'on conditionnait la CONTRAINTE au régime ? (P1, P3)</w:t>
      </w:r>
    </w:p>
    <w:p>
      <w:pPr>
        <w:spacing w:after="160"/>
      </w:pPr>
      <w:r>
        <w:rPr>
          <w:color w:val="000000"/>
        </w:rPr>
        <w:t>Hypothèse, motivée par nos propres données. Le balayage du plafond (section 8) montre que la contrainte régularise mieux que tout modèle de covariance essayé. La Phase 4 conditionne la COVARIANCE au régime ; le geste non testé est de conditionner LE PLAFOND — le resserrer en régime baissier (davantage de rétrécissement quand les corrélations explosent : P1 + P3), le relâcher en régime haussier. Aucune ligne de code de production n'a été nécessaire : `RegimeConditionalStrategy` accepte déjà des sous-stratégies.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3100"/>
        <w:gridCol w:w="1500"/>
        <w:gridCol w:w="1426"/>
      </w:tblGrid>
      <w:tr>
        <w:trPr>
          <w:tblHeader/>
        </w:trPr>
        <w:tc>
          <w:tcPr>
            <w:tcW w:type="dxa" w:w="1500"/>
            <w:shd w:val="clear" w:fill="DCE6F1"/>
            <w:tcMar>
              <w:top w:type="dxa" w:w="80"/>
              <w:left w:type="dxa" w:w="100"/>
              <w:bottom w:type="dxa" w:w="80"/>
              <w:right w:type="dxa" w:w="100"/>
            </w:tcMar>
            <w:vAlign w:val="center"/>
          </w:tcPr>
          <w:p>
            <w:r>
              <w:rPr>
                <w:b/>
                <w:bCs/>
                <w:sz w:val="17"/>
                <w:szCs w:val="20"/>
              </w:rPr>
              <w:t>Univers</w:t>
            </w:r>
          </w:p>
        </w:tc>
        <w:tc>
          <w:tcPr>
            <w:tcW w:type="dxa" w:w="1500"/>
            <w:shd w:val="clear" w:fill="DCE6F1"/>
            <w:tcMar>
              <w:top w:type="dxa" w:w="80"/>
              <w:left w:type="dxa" w:w="100"/>
              <w:bottom w:type="dxa" w:w="80"/>
              <w:right w:type="dxa" w:w="100"/>
            </w:tcMar>
            <w:vAlign w:val="center"/>
          </w:tcPr>
          <w:p>
            <w:r>
              <w:rPr>
                <w:b/>
                <w:bCs/>
                <w:sz w:val="17"/>
                <w:szCs w:val="20"/>
              </w:rPr>
              <w:t>Référence 25/25</w:t>
            </w:r>
          </w:p>
        </w:tc>
        <w:tc>
          <w:tcPr>
            <w:tcW w:type="dxa" w:w="3100"/>
            <w:shd w:val="clear" w:fill="DCE6F1"/>
            <w:tcMar>
              <w:top w:type="dxa" w:w="80"/>
              <w:left w:type="dxa" w:w="100"/>
              <w:bottom w:type="dxa" w:w="80"/>
              <w:right w:type="dxa" w:w="100"/>
            </w:tcMar>
            <w:vAlign w:val="center"/>
          </w:tcPr>
          <w:p>
            <w:r>
              <w:rPr>
                <w:b/>
                <w:bCs/>
                <w:sz w:val="17"/>
                <w:szCs w:val="20"/>
              </w:rPr>
              <w:t>Meilleur candidat</w:t>
            </w:r>
          </w:p>
        </w:tc>
        <w:tc>
          <w:tcPr>
            <w:tcW w:type="dxa" w:w="1500"/>
            <w:shd w:val="clear" w:fill="DCE6F1"/>
            <w:tcMar>
              <w:top w:type="dxa" w:w="80"/>
              <w:left w:type="dxa" w:w="100"/>
              <w:bottom w:type="dxa" w:w="80"/>
              <w:right w:type="dxa" w:w="100"/>
            </w:tcMar>
            <w:vAlign w:val="center"/>
          </w:tcPr>
          <w:p>
            <w:r>
              <w:rPr>
                <w:b/>
                <w:bCs/>
                <w:sz w:val="17"/>
                <w:szCs w:val="20"/>
              </w:rPr>
              <w:t>Contrôle INVERSÉ</w:t>
            </w:r>
          </w:p>
        </w:tc>
        <w:tc>
          <w:tcPr>
            <w:tcW w:type="dxa" w:w="1426"/>
            <w:shd w:val="clear" w:fill="DCE6F1"/>
            <w:tcMar>
              <w:top w:type="dxa" w:w="80"/>
              <w:left w:type="dxa" w:w="100"/>
              <w:bottom w:type="dxa" w:w="80"/>
              <w:right w:type="dxa" w:w="100"/>
            </w:tcMar>
            <w:vAlign w:val="center"/>
          </w:tcPr>
          <w:p>
            <w:r>
              <w:rPr>
                <w:b/>
                <w:bCs/>
                <w:sz w:val="17"/>
                <w:szCs w:val="20"/>
              </w:rPr>
              <w:t>Verdict</w:t>
            </w:r>
          </w:p>
        </w:tc>
      </w:tr>
      <w:tr>
        <w:trPr>
          <w:tblHeader/>
        </w:trPr>
        <w:tc>
          <w:tcPr>
            <w:tcW w:type="dxa" w:w="1500"/>
            <w:tcMar>
              <w:top w:type="dxa" w:w="80"/>
              <w:left w:type="dxa" w:w="100"/>
              <w:bottom w:type="dxa" w:w="80"/>
              <w:right w:type="dxa" w:w="100"/>
            </w:tcMar>
            <w:vAlign w:val="center"/>
          </w:tcPr>
          <w:p>
            <w:r>
              <w:rPr>
                <w:b w:val="0"/>
                <w:bCs/>
                <w:sz w:val="17"/>
                <w:szCs w:val="20"/>
              </w:rPr>
              <w:t>full_2021</w:t>
            </w:r>
          </w:p>
        </w:tc>
        <w:tc>
          <w:tcPr>
            <w:tcW w:type="dxa" w:w="1500"/>
            <w:tcMar>
              <w:top w:type="dxa" w:w="80"/>
              <w:left w:type="dxa" w:w="100"/>
              <w:bottom w:type="dxa" w:w="80"/>
              <w:right w:type="dxa" w:w="100"/>
            </w:tcMar>
            <w:vAlign w:val="center"/>
          </w:tcPr>
          <w:p>
            <w:r>
              <w:rPr>
                <w:b w:val="0"/>
                <w:bCs/>
                <w:sz w:val="17"/>
                <w:szCs w:val="20"/>
              </w:rPr>
              <w:t>1,236</w:t>
            </w:r>
          </w:p>
        </w:tc>
        <w:tc>
          <w:tcPr>
            <w:tcW w:type="dxa" w:w="3100"/>
            <w:tcMar>
              <w:top w:type="dxa" w:w="80"/>
              <w:left w:type="dxa" w:w="100"/>
              <w:bottom w:type="dxa" w:w="80"/>
              <w:right w:type="dxa" w:w="100"/>
            </w:tcMar>
            <w:vAlign w:val="center"/>
          </w:tcPr>
          <w:p>
            <w:r>
              <w:rPr>
                <w:b w:val="0"/>
                <w:bCs/>
                <w:sz w:val="17"/>
                <w:szCs w:val="20"/>
              </w:rPr>
              <w:t>both_40_15 1,266 (+0,030)</w:t>
            </w:r>
          </w:p>
        </w:tc>
        <w:tc>
          <w:tcPr>
            <w:tcW w:type="dxa" w:w="1500"/>
            <w:tcMar>
              <w:top w:type="dxa" w:w="80"/>
              <w:left w:type="dxa" w:w="100"/>
              <w:bottom w:type="dxa" w:w="80"/>
              <w:right w:type="dxa" w:w="100"/>
            </w:tcMar>
            <w:vAlign w:val="center"/>
          </w:tcPr>
          <w:p>
            <w:r>
              <w:rPr>
                <w:b w:val="0"/>
                <w:bCs/>
                <w:sz w:val="17"/>
                <w:szCs w:val="20"/>
              </w:rPr>
              <w:t>1,143</w:t>
            </w:r>
          </w:p>
        </w:tc>
        <w:tc>
          <w:tcPr>
            <w:tcW w:type="dxa" w:w="1426"/>
            <w:tcMar>
              <w:top w:type="dxa" w:w="80"/>
              <w:left w:type="dxa" w:w="100"/>
              <w:bottom w:type="dxa" w:w="80"/>
              <w:right w:type="dxa" w:w="100"/>
            </w:tcMar>
            <w:vAlign w:val="center"/>
          </w:tcPr>
          <w:p>
            <w:r>
              <w:rPr>
                <w:b w:val="0"/>
                <w:bCs/>
                <w:sz w:val="17"/>
                <w:szCs w:val="20"/>
              </w:rPr>
              <w:t>C</w:t>
            </w:r>
          </w:p>
        </w:tc>
      </w:tr>
      <w:tr>
        <w:trPr>
          <w:tblHeader/>
        </w:trPr>
        <w:tc>
          <w:tcPr>
            <w:tcW w:type="dxa" w:w="1500"/>
            <w:tcMar>
              <w:top w:type="dxa" w:w="80"/>
              <w:left w:type="dxa" w:w="100"/>
              <w:bottom w:type="dxa" w:w="80"/>
              <w:right w:type="dxa" w:w="100"/>
            </w:tcMar>
            <w:vAlign w:val="center"/>
          </w:tcPr>
          <w:p>
            <w:r>
              <w:rPr>
                <w:b w:val="0"/>
                <w:bCs/>
                <w:sz w:val="17"/>
                <w:szCs w:val="20"/>
              </w:rPr>
              <w:t>etf_2017</w:t>
            </w:r>
          </w:p>
        </w:tc>
        <w:tc>
          <w:tcPr>
            <w:tcW w:type="dxa" w:w="1500"/>
            <w:tcMar>
              <w:top w:type="dxa" w:w="80"/>
              <w:left w:type="dxa" w:w="100"/>
              <w:bottom w:type="dxa" w:w="80"/>
              <w:right w:type="dxa" w:w="100"/>
            </w:tcMar>
            <w:vAlign w:val="center"/>
          </w:tcPr>
          <w:p>
            <w:r>
              <w:rPr>
                <w:b w:val="0"/>
                <w:bCs/>
                <w:sz w:val="17"/>
                <w:szCs w:val="20"/>
              </w:rPr>
              <w:t>0,937</w:t>
            </w:r>
          </w:p>
        </w:tc>
        <w:tc>
          <w:tcPr>
            <w:tcW w:type="dxa" w:w="3100"/>
            <w:tcMar>
              <w:top w:type="dxa" w:w="80"/>
              <w:left w:type="dxa" w:w="100"/>
              <w:bottom w:type="dxa" w:w="80"/>
              <w:right w:type="dxa" w:w="100"/>
            </w:tcMar>
            <w:vAlign w:val="center"/>
          </w:tcPr>
          <w:p>
            <w:r>
              <w:rPr>
                <w:b w:val="0"/>
                <w:bCs/>
                <w:sz w:val="17"/>
                <w:szCs w:val="20"/>
              </w:rPr>
              <w:t>aggressive_40_25 0,853 (-0,085)</w:t>
            </w:r>
          </w:p>
        </w:tc>
        <w:tc>
          <w:tcPr>
            <w:tcW w:type="dxa" w:w="1500"/>
            <w:tcMar>
              <w:top w:type="dxa" w:w="80"/>
              <w:left w:type="dxa" w:w="100"/>
              <w:bottom w:type="dxa" w:w="80"/>
              <w:right w:type="dxa" w:w="100"/>
            </w:tcMar>
            <w:vAlign w:val="center"/>
          </w:tcPr>
          <w:p>
            <w:r>
              <w:rPr>
                <w:b w:val="0"/>
                <w:bCs/>
                <w:sz w:val="17"/>
                <w:szCs w:val="20"/>
              </w:rPr>
              <w:t>0,890</w:t>
            </w:r>
          </w:p>
        </w:tc>
        <w:tc>
          <w:tcPr>
            <w:tcW w:type="dxa" w:w="1426"/>
            <w:tcMar>
              <w:top w:type="dxa" w:w="80"/>
              <w:left w:type="dxa" w:w="100"/>
              <w:bottom w:type="dxa" w:w="80"/>
              <w:right w:type="dxa" w:w="100"/>
            </w:tcMar>
            <w:vAlign w:val="center"/>
          </w:tcPr>
          <w:p>
            <w:r>
              <w:rPr>
                <w:b w:val="0"/>
                <w:bCs/>
                <w:sz w:val="17"/>
                <w:szCs w:val="20"/>
              </w:rPr>
              <w:t>C</w:t>
            </w:r>
          </w:p>
        </w:tc>
      </w:tr>
    </w:tbl>
    <w:p>
      <w:pPr>
        <w:spacing w:after="160"/>
      </w:pPr>
      <w:r/>
    </w:p>
    <w:p>
      <w:pPr>
        <w:spacing w:after="160"/>
      </w:pPr>
      <w:r>
        <w:rPr>
          <w:color w:val="000000"/>
        </w:rPr>
        <w:t>Verdict (C) sur les deux univers : aucune variante ne dépasse la référence de façon matérielle. Le mécanisme supposé échoue franchement — resserrer en régime baissier n'apporte rien (+0,0016 sur `full_2021`, −0,117 sur `etf_2017`) ; le peu de mouvement positif vient de RELÂCHER le plafond haussier, soit la moitié opposée de l'idée.</w:t>
      </w:r>
    </w:p>
    <w:p>
      <w:pPr>
        <w:spacing w:after="160"/>
      </w:pPr>
      <w:r>
        <w:rPr>
          <w:color w:val="000000"/>
        </w:rPr>
        <w:t>C'est le CONTRÔLE qui tranche, et il est instructif. Sur `full_2021` la variante INVERSÉE est la pire, ce qui semblerait confirmer un vrai signal de régime. Mais sur `etf_2017` elle BAT le meilleur candidat « dans le bon sens » (−0,047 contre −0,085). Un effet de régime qui change de signe selon l'univers n'est pas un effet de régime. N'avoir exécuté que `full_2021` aurait fait passer ce contrôle pour une preuve à l'appui.</w:t>
      </w:r>
    </w:p>
    <w:p>
      <w:pPr>
        <w:spacing w:after="160"/>
      </w:pPr>
      <w:r>
        <w:rPr>
          <w:color w:val="000000"/>
        </w:rPr>
        <w:t>Une hypothèse bien motivée, issue de notre propre résultat le plus fort, pré-enregistrée, contrôlée — et réfutée. C'est un bon résultat pour le livrable : la piste est fermée proprement et par écrit, plutôt que laissée en « on aurait pu essayer ».</w:t>
      </w:r>
    </w:p>
    <w:p>
      <w:pPr>
        <w:pStyle w:val="Heading1"/>
        <w:spacing w:after="120" w:before="240"/>
      </w:pPr>
      <w:r>
        <w:rPr>
          <w:b/>
        </w:rPr>
        <w:t>7. Étude 5 — Mesurions-nous seulement la bonne chose ? (P3) ⭐</w:t>
      </w:r>
    </w:p>
    <w:p>
      <w:pPr>
        <w:spacing w:after="160"/>
      </w:pPr>
      <w:r>
        <w:rPr>
          <w:color w:val="000000"/>
        </w:rPr>
        <w:t>Hypothèse. P3 — la rupture de la diversification en crise — était le problème le moins directement étayé du projet : toutes les phases rapportaient un Sharpe et un drawdown sur période complète, aucune ne mesurait le comportement PENDANT les crises. Or le cahier des charges demande la « pertinence financière » : pour un allocataire, c'est le comportement en drawdown. Coût de l'étude : zéro calcul — les données étaient déjà dans les artefacts.</w:t>
      </w:r>
    </w:p>
    <w:p>
      <w:pPr>
        <w:pStyle w:val="Heading1"/>
        <w:spacing w:after="120" w:before="240"/>
      </w:pPr>
      <w:r>
        <w:rPr>
          <w:b/>
        </w:rPr>
        <w:t>7.1 Résultat A — la contrainte protège ; le 1/N non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500"/>
        <w:gridCol w:w="1500"/>
        <w:gridCol w:w="1300"/>
        <w:gridCol w:w="2226"/>
      </w:tblGrid>
      <w:tr>
        <w:trPr>
          <w:tblHeader/>
        </w:trPr>
        <w:tc>
          <w:tcPr>
            <w:tcW w:type="dxa" w:w="2500"/>
            <w:shd w:val="clear" w:fill="DCE6F1"/>
            <w:tcMar>
              <w:top w:type="dxa" w:w="80"/>
              <w:left w:type="dxa" w:w="100"/>
              <w:bottom w:type="dxa" w:w="80"/>
              <w:right w:type="dxa" w:w="100"/>
            </w:tcMar>
            <w:vAlign w:val="center"/>
          </w:tcPr>
          <w:p>
            <w:r>
              <w:rPr>
                <w:b/>
                <w:bCs/>
                <w:sz w:val="17"/>
                <w:szCs w:val="20"/>
              </w:rPr>
              <w:t>Crise</w:t>
            </w:r>
          </w:p>
        </w:tc>
        <w:tc>
          <w:tcPr>
            <w:tcW w:type="dxa" w:w="1500"/>
            <w:shd w:val="clear" w:fill="DCE6F1"/>
            <w:tcMar>
              <w:top w:type="dxa" w:w="80"/>
              <w:left w:type="dxa" w:w="100"/>
              <w:bottom w:type="dxa" w:w="80"/>
              <w:right w:type="dxa" w:w="100"/>
            </w:tcMar>
            <w:vAlign w:val="center"/>
          </w:tcPr>
          <w:p>
            <w:r>
              <w:rPr>
                <w:b/>
                <w:bCs/>
                <w:sz w:val="17"/>
                <w:szCs w:val="20"/>
              </w:rPr>
              <w:t>Optimiseurs</w:t>
            </w:r>
          </w:p>
        </w:tc>
        <w:tc>
          <w:tcPr>
            <w:tcW w:type="dxa" w:w="1500"/>
            <w:shd w:val="clear" w:fill="DCE6F1"/>
            <w:tcMar>
              <w:top w:type="dxa" w:w="80"/>
              <w:left w:type="dxa" w:w="100"/>
              <w:bottom w:type="dxa" w:w="80"/>
              <w:right w:type="dxa" w:w="100"/>
            </w:tcMar>
            <w:vAlign w:val="center"/>
          </w:tcPr>
          <w:p>
            <w:r>
              <w:rPr>
                <w:b/>
                <w:bCs/>
                <w:sz w:val="17"/>
                <w:szCs w:val="20"/>
              </w:rPr>
              <w:t>Équipondéré</w:t>
            </w:r>
          </w:p>
        </w:tc>
        <w:tc>
          <w:tcPr>
            <w:tcW w:type="dxa" w:w="1300"/>
            <w:shd w:val="clear" w:fill="DCE6F1"/>
            <w:tcMar>
              <w:top w:type="dxa" w:w="80"/>
              <w:left w:type="dxa" w:w="100"/>
              <w:bottom w:type="dxa" w:w="80"/>
              <w:right w:type="dxa" w:w="100"/>
            </w:tcMar>
            <w:vAlign w:val="center"/>
          </w:tcPr>
          <w:p>
            <w:r>
              <w:rPr>
                <w:b/>
                <w:bCs/>
                <w:sz w:val="17"/>
                <w:szCs w:val="20"/>
              </w:rPr>
              <w:t>Écart</w:t>
            </w:r>
          </w:p>
        </w:tc>
        <w:tc>
          <w:tcPr>
            <w:tcW w:type="dxa" w:w="2226"/>
            <w:shd w:val="clear" w:fill="DCE6F1"/>
            <w:tcMar>
              <w:top w:type="dxa" w:w="80"/>
              <w:left w:type="dxa" w:w="100"/>
              <w:bottom w:type="dxa" w:w="80"/>
              <w:right w:type="dxa" w:w="100"/>
            </w:tcMar>
            <w:vAlign w:val="center"/>
          </w:tcPr>
          <w:p>
            <w:r>
              <w:rPr>
                <w:b/>
                <w:bCs/>
                <w:sz w:val="17"/>
                <w:szCs w:val="20"/>
              </w:rPr>
              <w:t>Récupération (opt./1N)</w:t>
            </w:r>
          </w:p>
        </w:tc>
      </w:tr>
      <w:tr>
        <w:trPr>
          <w:tblHeader/>
        </w:trPr>
        <w:tc>
          <w:tcPr>
            <w:tcW w:type="dxa" w:w="2500"/>
            <w:tcMar>
              <w:top w:type="dxa" w:w="80"/>
              <w:left w:type="dxa" w:w="100"/>
              <w:bottom w:type="dxa" w:w="80"/>
              <w:right w:type="dxa" w:w="100"/>
            </w:tcMar>
            <w:vAlign w:val="center"/>
          </w:tcPr>
          <w:p>
            <w:r>
              <w:rPr>
                <w:b w:val="0"/>
                <w:bCs/>
                <w:sz w:val="17"/>
                <w:szCs w:val="20"/>
              </w:rPr>
              <w:t>Global Financial Crisis</w:t>
            </w:r>
          </w:p>
        </w:tc>
        <w:tc>
          <w:tcPr>
            <w:tcW w:type="dxa" w:w="1500"/>
            <w:tcMar>
              <w:top w:type="dxa" w:w="80"/>
              <w:left w:type="dxa" w:w="100"/>
              <w:bottom w:type="dxa" w:w="80"/>
              <w:right w:type="dxa" w:w="100"/>
            </w:tcMar>
            <w:vAlign w:val="center"/>
          </w:tcPr>
          <w:p>
            <w:r>
              <w:rPr>
                <w:b w:val="0"/>
                <w:bCs/>
                <w:sz w:val="17"/>
                <w:szCs w:val="20"/>
              </w:rPr>
              <w:t>-21,2 %</w:t>
            </w:r>
          </w:p>
        </w:tc>
        <w:tc>
          <w:tcPr>
            <w:tcW w:type="dxa" w:w="1500"/>
            <w:tcMar>
              <w:top w:type="dxa" w:w="80"/>
              <w:left w:type="dxa" w:w="100"/>
              <w:bottom w:type="dxa" w:w="80"/>
              <w:right w:type="dxa" w:w="100"/>
            </w:tcMar>
            <w:vAlign w:val="center"/>
          </w:tcPr>
          <w:p>
            <w:r>
              <w:rPr>
                <w:b w:val="0"/>
                <w:bCs/>
                <w:sz w:val="17"/>
                <w:szCs w:val="20"/>
              </w:rPr>
              <w:t>-30,2 %</w:t>
            </w:r>
          </w:p>
        </w:tc>
        <w:tc>
          <w:tcPr>
            <w:tcW w:type="dxa" w:w="1300"/>
            <w:tcMar>
              <w:top w:type="dxa" w:w="80"/>
              <w:left w:type="dxa" w:w="100"/>
              <w:bottom w:type="dxa" w:w="80"/>
              <w:right w:type="dxa" w:w="100"/>
            </w:tcMar>
            <w:vAlign w:val="center"/>
          </w:tcPr>
          <w:p>
            <w:r>
              <w:rPr>
                <w:b w:val="0"/>
                <w:bCs/>
                <w:sz w:val="17"/>
                <w:szCs w:val="20"/>
              </w:rPr>
              <w:t>9,0 pts</w:t>
            </w:r>
          </w:p>
        </w:tc>
        <w:tc>
          <w:tcPr>
            <w:tcW w:type="dxa" w:w="2226"/>
            <w:tcMar>
              <w:top w:type="dxa" w:w="80"/>
              <w:left w:type="dxa" w:w="100"/>
              <w:bottom w:type="dxa" w:w="80"/>
              <w:right w:type="dxa" w:w="100"/>
            </w:tcMar>
            <w:vAlign w:val="center"/>
          </w:tcPr>
          <w:p>
            <w:r>
              <w:rPr>
                <w:b w:val="0"/>
                <w:bCs/>
                <w:sz w:val="17"/>
                <w:szCs w:val="20"/>
              </w:rPr>
              <w:t>186 j / 219 j</w:t>
            </w:r>
          </w:p>
        </w:tc>
      </w:tr>
      <w:tr>
        <w:trPr>
          <w:tblHeader/>
        </w:trPr>
        <w:tc>
          <w:tcPr>
            <w:tcW w:type="dxa" w:w="2500"/>
            <w:tcMar>
              <w:top w:type="dxa" w:w="80"/>
              <w:left w:type="dxa" w:w="100"/>
              <w:bottom w:type="dxa" w:w="80"/>
              <w:right w:type="dxa" w:w="100"/>
            </w:tcMar>
            <w:vAlign w:val="center"/>
          </w:tcPr>
          <w:p>
            <w:r>
              <w:rPr>
                <w:b w:val="0"/>
                <w:bCs/>
                <w:sz w:val="17"/>
                <w:szCs w:val="20"/>
              </w:rPr>
              <w:t>EU sovereign debt crisis</w:t>
            </w:r>
          </w:p>
        </w:tc>
        <w:tc>
          <w:tcPr>
            <w:tcW w:type="dxa" w:w="1500"/>
            <w:tcMar>
              <w:top w:type="dxa" w:w="80"/>
              <w:left w:type="dxa" w:w="100"/>
              <w:bottom w:type="dxa" w:w="80"/>
              <w:right w:type="dxa" w:w="100"/>
            </w:tcMar>
            <w:vAlign w:val="center"/>
          </w:tcPr>
          <w:p>
            <w:r>
              <w:rPr>
                <w:b w:val="0"/>
                <w:bCs/>
                <w:sz w:val="17"/>
                <w:szCs w:val="20"/>
              </w:rPr>
              <w:t>1,6 %</w:t>
            </w:r>
          </w:p>
        </w:tc>
        <w:tc>
          <w:tcPr>
            <w:tcW w:type="dxa" w:w="1500"/>
            <w:tcMar>
              <w:top w:type="dxa" w:w="80"/>
              <w:left w:type="dxa" w:w="100"/>
              <w:bottom w:type="dxa" w:w="80"/>
              <w:right w:type="dxa" w:w="100"/>
            </w:tcMar>
            <w:vAlign w:val="center"/>
          </w:tcPr>
          <w:p>
            <w:r>
              <w:rPr>
                <w:b w:val="0"/>
                <w:bCs/>
                <w:sz w:val="17"/>
                <w:szCs w:val="20"/>
              </w:rPr>
              <w:t>-5,4 %</w:t>
            </w:r>
          </w:p>
        </w:tc>
        <w:tc>
          <w:tcPr>
            <w:tcW w:type="dxa" w:w="1300"/>
            <w:tcMar>
              <w:top w:type="dxa" w:w="80"/>
              <w:left w:type="dxa" w:w="100"/>
              <w:bottom w:type="dxa" w:w="80"/>
              <w:right w:type="dxa" w:w="100"/>
            </w:tcMar>
            <w:vAlign w:val="center"/>
          </w:tcPr>
          <w:p>
            <w:r>
              <w:rPr>
                <w:b w:val="0"/>
                <w:bCs/>
                <w:sz w:val="17"/>
                <w:szCs w:val="20"/>
              </w:rPr>
              <w:t>7,0 pts</w:t>
            </w:r>
          </w:p>
        </w:tc>
        <w:tc>
          <w:tcPr>
            <w:tcW w:type="dxa" w:w="2226"/>
            <w:tcMar>
              <w:top w:type="dxa" w:w="80"/>
              <w:left w:type="dxa" w:w="100"/>
              <w:bottom w:type="dxa" w:w="80"/>
              <w:right w:type="dxa" w:w="100"/>
            </w:tcMar>
            <w:vAlign w:val="center"/>
          </w:tcPr>
          <w:p>
            <w:r>
              <w:rPr>
                <w:b w:val="0"/>
                <w:bCs/>
                <w:sz w:val="17"/>
                <w:szCs w:val="20"/>
              </w:rPr>
              <w:t>1 j / 11 j</w:t>
            </w:r>
          </w:p>
        </w:tc>
      </w:tr>
      <w:tr>
        <w:trPr>
          <w:tblHeader/>
        </w:trPr>
        <w:tc>
          <w:tcPr>
            <w:tcW w:type="dxa" w:w="2500"/>
            <w:tcMar>
              <w:top w:type="dxa" w:w="80"/>
              <w:left w:type="dxa" w:w="100"/>
              <w:bottom w:type="dxa" w:w="80"/>
              <w:right w:type="dxa" w:w="100"/>
            </w:tcMar>
            <w:vAlign w:val="center"/>
          </w:tcPr>
          <w:p>
            <w:r>
              <w:rPr>
                <w:b w:val="0"/>
                <w:bCs/>
                <w:sz w:val="17"/>
                <w:szCs w:val="20"/>
              </w:rPr>
              <w:t>Q4 2018 selloff</w:t>
            </w:r>
          </w:p>
        </w:tc>
        <w:tc>
          <w:tcPr>
            <w:tcW w:type="dxa" w:w="1500"/>
            <w:tcMar>
              <w:top w:type="dxa" w:w="80"/>
              <w:left w:type="dxa" w:w="100"/>
              <w:bottom w:type="dxa" w:w="80"/>
              <w:right w:type="dxa" w:w="100"/>
            </w:tcMar>
            <w:vAlign w:val="center"/>
          </w:tcPr>
          <w:p>
            <w:r>
              <w:rPr>
                <w:b w:val="0"/>
                <w:bCs/>
                <w:sz w:val="17"/>
                <w:szCs w:val="20"/>
              </w:rPr>
              <w:t>-7,6 %</w:t>
            </w:r>
          </w:p>
        </w:tc>
        <w:tc>
          <w:tcPr>
            <w:tcW w:type="dxa" w:w="1500"/>
            <w:tcMar>
              <w:top w:type="dxa" w:w="80"/>
              <w:left w:type="dxa" w:w="100"/>
              <w:bottom w:type="dxa" w:w="80"/>
              <w:right w:type="dxa" w:w="100"/>
            </w:tcMar>
            <w:vAlign w:val="center"/>
          </w:tcPr>
          <w:p>
            <w:r>
              <w:rPr>
                <w:b w:val="0"/>
                <w:bCs/>
                <w:sz w:val="17"/>
                <w:szCs w:val="20"/>
              </w:rPr>
              <w:t>-7,9 %</w:t>
            </w:r>
          </w:p>
        </w:tc>
        <w:tc>
          <w:tcPr>
            <w:tcW w:type="dxa" w:w="1300"/>
            <w:tcMar>
              <w:top w:type="dxa" w:w="80"/>
              <w:left w:type="dxa" w:w="100"/>
              <w:bottom w:type="dxa" w:w="80"/>
              <w:right w:type="dxa" w:w="100"/>
            </w:tcMar>
            <w:vAlign w:val="center"/>
          </w:tcPr>
          <w:p>
            <w:r>
              <w:rPr>
                <w:b w:val="0"/>
                <w:bCs/>
                <w:sz w:val="17"/>
                <w:szCs w:val="20"/>
              </w:rPr>
              <w:t>0,2 pts</w:t>
            </w:r>
          </w:p>
        </w:tc>
        <w:tc>
          <w:tcPr>
            <w:tcW w:type="dxa" w:w="2226"/>
            <w:tcMar>
              <w:top w:type="dxa" w:w="80"/>
              <w:left w:type="dxa" w:w="100"/>
              <w:bottom w:type="dxa" w:w="80"/>
              <w:right w:type="dxa" w:w="100"/>
            </w:tcMar>
            <w:vAlign w:val="center"/>
          </w:tcPr>
          <w:p>
            <w:r>
              <w:rPr>
                <w:b w:val="0"/>
                <w:bCs/>
                <w:sz w:val="17"/>
                <w:szCs w:val="20"/>
              </w:rPr>
              <w:t>53 j / 105 j</w:t>
            </w:r>
          </w:p>
        </w:tc>
      </w:tr>
      <w:tr>
        <w:trPr>
          <w:tblHeader/>
        </w:trPr>
        <w:tc>
          <w:tcPr>
            <w:tcW w:type="dxa" w:w="2500"/>
            <w:tcMar>
              <w:top w:type="dxa" w:w="80"/>
              <w:left w:type="dxa" w:w="100"/>
              <w:bottom w:type="dxa" w:w="80"/>
              <w:right w:type="dxa" w:w="100"/>
            </w:tcMar>
            <w:vAlign w:val="center"/>
          </w:tcPr>
          <w:p>
            <w:r>
              <w:rPr>
                <w:b w:val="0"/>
                <w:bCs/>
                <w:sz w:val="17"/>
                <w:szCs w:val="20"/>
              </w:rPr>
              <w:t>COVID-19 crash</w:t>
            </w:r>
          </w:p>
        </w:tc>
        <w:tc>
          <w:tcPr>
            <w:tcW w:type="dxa" w:w="1500"/>
            <w:tcMar>
              <w:top w:type="dxa" w:w="80"/>
              <w:left w:type="dxa" w:w="100"/>
              <w:bottom w:type="dxa" w:w="80"/>
              <w:right w:type="dxa" w:w="100"/>
            </w:tcMar>
            <w:vAlign w:val="center"/>
          </w:tcPr>
          <w:p>
            <w:r>
              <w:rPr>
                <w:b w:val="0"/>
                <w:bCs/>
                <w:sz w:val="17"/>
                <w:szCs w:val="20"/>
              </w:rPr>
              <w:t>-13,5 %</w:t>
            </w:r>
          </w:p>
        </w:tc>
        <w:tc>
          <w:tcPr>
            <w:tcW w:type="dxa" w:w="1500"/>
            <w:tcMar>
              <w:top w:type="dxa" w:w="80"/>
              <w:left w:type="dxa" w:w="100"/>
              <w:bottom w:type="dxa" w:w="80"/>
              <w:right w:type="dxa" w:w="100"/>
            </w:tcMar>
            <w:vAlign w:val="center"/>
          </w:tcPr>
          <w:p>
            <w:r>
              <w:rPr>
                <w:b w:val="0"/>
                <w:bCs/>
                <w:sz w:val="17"/>
                <w:szCs w:val="20"/>
              </w:rPr>
              <w:t>-16,9 %</w:t>
            </w:r>
          </w:p>
        </w:tc>
        <w:tc>
          <w:tcPr>
            <w:tcW w:type="dxa" w:w="1300"/>
            <w:tcMar>
              <w:top w:type="dxa" w:w="80"/>
              <w:left w:type="dxa" w:w="100"/>
              <w:bottom w:type="dxa" w:w="80"/>
              <w:right w:type="dxa" w:w="100"/>
            </w:tcMar>
            <w:vAlign w:val="center"/>
          </w:tcPr>
          <w:p>
            <w:r>
              <w:rPr>
                <w:b w:val="0"/>
                <w:bCs/>
                <w:sz w:val="17"/>
                <w:szCs w:val="20"/>
              </w:rPr>
              <w:t>3,4 pts</w:t>
            </w:r>
          </w:p>
        </w:tc>
        <w:tc>
          <w:tcPr>
            <w:tcW w:type="dxa" w:w="2226"/>
            <w:tcMar>
              <w:top w:type="dxa" w:w="80"/>
              <w:left w:type="dxa" w:w="100"/>
              <w:bottom w:type="dxa" w:w="80"/>
              <w:right w:type="dxa" w:w="100"/>
            </w:tcMar>
            <w:vAlign w:val="center"/>
          </w:tcPr>
          <w:p>
            <w:r>
              <w:rPr>
                <w:b w:val="0"/>
                <w:bCs/>
                <w:sz w:val="17"/>
                <w:szCs w:val="20"/>
              </w:rPr>
              <w:t>37 j / 71 j</w:t>
            </w:r>
          </w:p>
        </w:tc>
      </w:tr>
      <w:tr>
        <w:trPr>
          <w:tblHeader/>
        </w:trPr>
        <w:tc>
          <w:tcPr>
            <w:tcW w:type="dxa" w:w="2500"/>
            <w:tcMar>
              <w:top w:type="dxa" w:w="80"/>
              <w:left w:type="dxa" w:w="100"/>
              <w:bottom w:type="dxa" w:w="80"/>
              <w:right w:type="dxa" w:w="100"/>
            </w:tcMar>
            <w:vAlign w:val="center"/>
          </w:tcPr>
          <w:p>
            <w:r>
              <w:rPr>
                <w:b w:val="0"/>
                <w:bCs/>
                <w:sz w:val="17"/>
                <w:szCs w:val="20"/>
              </w:rPr>
              <w:t>2022 rate shock</w:t>
            </w:r>
          </w:p>
        </w:tc>
        <w:tc>
          <w:tcPr>
            <w:tcW w:type="dxa" w:w="1500"/>
            <w:tcMar>
              <w:top w:type="dxa" w:w="80"/>
              <w:left w:type="dxa" w:w="100"/>
              <w:bottom w:type="dxa" w:w="80"/>
              <w:right w:type="dxa" w:w="100"/>
            </w:tcMar>
            <w:vAlign w:val="center"/>
          </w:tcPr>
          <w:p>
            <w:r>
              <w:rPr>
                <w:b w:val="0"/>
                <w:bCs/>
                <w:sz w:val="17"/>
                <w:szCs w:val="20"/>
              </w:rPr>
              <w:t>-24,6 %</w:t>
            </w:r>
          </w:p>
        </w:tc>
        <w:tc>
          <w:tcPr>
            <w:tcW w:type="dxa" w:w="1500"/>
            <w:tcMar>
              <w:top w:type="dxa" w:w="80"/>
              <w:left w:type="dxa" w:w="100"/>
              <w:bottom w:type="dxa" w:w="80"/>
              <w:right w:type="dxa" w:w="100"/>
            </w:tcMar>
            <w:vAlign w:val="center"/>
          </w:tcPr>
          <w:p>
            <w:r>
              <w:rPr>
                <w:b w:val="0"/>
                <w:bCs/>
                <w:sz w:val="17"/>
                <w:szCs w:val="20"/>
              </w:rPr>
              <w:t>-25,3 %</w:t>
            </w:r>
          </w:p>
        </w:tc>
        <w:tc>
          <w:tcPr>
            <w:tcW w:type="dxa" w:w="1300"/>
            <w:tcMar>
              <w:top w:type="dxa" w:w="80"/>
              <w:left w:type="dxa" w:w="100"/>
              <w:bottom w:type="dxa" w:w="80"/>
              <w:right w:type="dxa" w:w="100"/>
            </w:tcMar>
            <w:vAlign w:val="center"/>
          </w:tcPr>
          <w:p>
            <w:r>
              <w:rPr>
                <w:b w:val="0"/>
                <w:bCs/>
                <w:sz w:val="17"/>
                <w:szCs w:val="20"/>
              </w:rPr>
              <w:t>0,7 pts</w:t>
            </w:r>
          </w:p>
        </w:tc>
        <w:tc>
          <w:tcPr>
            <w:tcW w:type="dxa" w:w="2226"/>
            <w:tcMar>
              <w:top w:type="dxa" w:w="80"/>
              <w:left w:type="dxa" w:w="100"/>
              <w:bottom w:type="dxa" w:w="80"/>
              <w:right w:type="dxa" w:w="100"/>
            </w:tcMar>
            <w:vAlign w:val="center"/>
          </w:tcPr>
          <w:p>
            <w:r>
              <w:rPr>
                <w:b w:val="0"/>
                <w:bCs/>
                <w:sz w:val="17"/>
                <w:szCs w:val="20"/>
              </w:rPr>
              <w:t>506 j / 545 j</w:t>
            </w:r>
          </w:p>
        </w:tc>
      </w:tr>
    </w:tbl>
    <w:p>
      <w:pPr>
        <w:spacing w:after="160"/>
      </w:pPr>
      <w:r/>
    </w:p>
    <w:p>
      <w:pPr>
        <w:spacing w:after="160"/>
      </w:pPr>
      <w:r>
        <w:rPr>
          <w:color w:val="000000"/>
        </w:rPr>
        <w:t>Sur les cinq crises, sans exception, l'optimisation sous contrainte perd moins, chute moins et récupère plus vite. Le délai de récupération est l'écart le plus régulier — environ deux fois moins de temps sous l'eau — et il n'apparaît nulle part ailleurs dans le livrable.</w:t>
      </w:r>
    </w:p>
    <w:p>
      <w:pPr>
        <w:spacing w:after="160"/>
      </w:pPr>
      <w:r>
        <w:rPr>
          <w:color w:val="000000"/>
        </w:rPr>
        <w:t>Attribution honnête, et elle est essentielle : ce gain revient à la CONTRAINTE et au modèle de covariance (P1/P3), PAS spécifiquement à la couche de régime. Sur trois des cinq fenêtres les trois optimiseurs sont identiques à la décimale près — en régime baissier `regime_conditional` EST `min_variance_lw` par construction, et le plafond de 25 % sur 5 actifs contraint fortement l'allocation. La page 1 du tableau de bord CALCULE ce compte depuis l'artefact au lieu de l'affirmer.</w:t>
      </w:r>
    </w:p>
    <w:p>
      <w:pPr>
        <w:pStyle w:val="Heading1"/>
        <w:spacing w:after="120" w:before="240"/>
      </w:pPr>
      <w:r>
        <w:rPr>
          <w:b/>
        </w:rPr>
        <w:t>7.2 Résultat B — le HMM non supervisé a détecté les cinq crises</w:t>
      </w:r>
    </w:p>
    <w:p>
      <w:pPr>
        <w:spacing w:after="160"/>
      </w:pPr>
      <w:r>
        <w:rPr>
          <w:color w:val="000000"/>
        </w:rPr>
        <w:t>Le détecteur est non supervisé : aucune date de crise, aucun label de récession ne lui a jamais été fourni. Il n'observe que rendement, volatilité et corrélation moyenne, et décide EN TEMPS RÉEL, à partir du passé uniquement. Taux de régime baissier : 91,7 % pendant les crises contre 29,2 % hors crise — rapport 3,13×, avec 5/5 crises au-dessus du taux de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00"/>
        <w:gridCol w:w="5026"/>
      </w:tblGrid>
      <w:tr>
        <w:trPr>
          <w:tblHeader/>
        </w:trPr>
        <w:tc>
          <w:tcPr>
            <w:tcW w:type="dxa" w:w="2400"/>
            <w:shd w:val="clear" w:fill="DCE6F1"/>
            <w:tcMar>
              <w:top w:type="dxa" w:w="80"/>
              <w:left w:type="dxa" w:w="100"/>
              <w:bottom w:type="dxa" w:w="80"/>
              <w:right w:type="dxa" w:w="100"/>
            </w:tcMar>
            <w:vAlign w:val="center"/>
          </w:tcPr>
          <w:p>
            <w:r>
              <w:rPr>
                <w:b/>
                <w:bCs/>
                <w:sz w:val="17"/>
                <w:szCs w:val="20"/>
              </w:rPr>
              <w:t>Test</w:t>
            </w:r>
          </w:p>
        </w:tc>
        <w:tc>
          <w:tcPr>
            <w:tcW w:type="dxa" w:w="1600"/>
            <w:shd w:val="clear" w:fill="DCE6F1"/>
            <w:tcMar>
              <w:top w:type="dxa" w:w="80"/>
              <w:left w:type="dxa" w:w="100"/>
              <w:bottom w:type="dxa" w:w="80"/>
              <w:right w:type="dxa" w:w="100"/>
            </w:tcMar>
            <w:vAlign w:val="center"/>
          </w:tcPr>
          <w:p>
            <w:r>
              <w:rPr>
                <w:b/>
                <w:bCs/>
                <w:sz w:val="17"/>
                <w:szCs w:val="20"/>
              </w:rPr>
              <w:t>Résultat</w:t>
            </w:r>
          </w:p>
        </w:tc>
        <w:tc>
          <w:tcPr>
            <w:tcW w:type="dxa" w:w="5026"/>
            <w:shd w:val="clear" w:fill="DCE6F1"/>
            <w:tcMar>
              <w:top w:type="dxa" w:w="80"/>
              <w:left w:type="dxa" w:w="100"/>
              <w:bottom w:type="dxa" w:w="80"/>
              <w:right w:type="dxa" w:w="100"/>
            </w:tcMar>
            <w:vAlign w:val="center"/>
          </w:tcPr>
          <w:p>
            <w:r>
              <w:rPr>
                <w:b/>
                <w:bCs/>
                <w:sz w:val="17"/>
                <w:szCs w:val="20"/>
              </w:rPr>
              <w:t>Lecture</w:t>
            </w:r>
          </w:p>
        </w:tc>
      </w:tr>
      <w:tr>
        <w:trPr>
          <w:tblHeader/>
        </w:trPr>
        <w:tc>
          <w:tcPr>
            <w:tcW w:type="dxa" w:w="2400"/>
            <w:tcMar>
              <w:top w:type="dxa" w:w="80"/>
              <w:left w:type="dxa" w:w="100"/>
              <w:bottom w:type="dxa" w:w="80"/>
              <w:right w:type="dxa" w:w="100"/>
            </w:tcMar>
            <w:vAlign w:val="center"/>
          </w:tcPr>
          <w:p>
            <w:r>
              <w:rPr>
                <w:b w:val="0"/>
                <w:bCs/>
                <w:sz w:val="17"/>
                <w:szCs w:val="20"/>
              </w:rPr>
              <w:t>Test des signes (conservateur)</w:t>
            </w:r>
          </w:p>
        </w:tc>
        <w:tc>
          <w:tcPr>
            <w:tcW w:type="dxa" w:w="1600"/>
            <w:tcMar>
              <w:top w:type="dxa" w:w="80"/>
              <w:left w:type="dxa" w:w="100"/>
              <w:bottom w:type="dxa" w:w="80"/>
              <w:right w:type="dxa" w:w="100"/>
            </w:tcMar>
            <w:vAlign w:val="center"/>
          </w:tcPr>
          <w:p>
            <w:r>
              <w:rPr>
                <w:b w:val="0"/>
                <w:bCs/>
                <w:sz w:val="17"/>
                <w:szCs w:val="20"/>
              </w:rPr>
              <w:t>p = 0,03125</w:t>
            </w:r>
          </w:p>
        </w:tc>
        <w:tc>
          <w:tcPr>
            <w:tcW w:type="dxa" w:w="5026"/>
            <w:tcMar>
              <w:top w:type="dxa" w:w="80"/>
              <w:left w:type="dxa" w:w="100"/>
              <w:bottom w:type="dxa" w:w="80"/>
              <w:right w:type="dxa" w:w="100"/>
            </w:tcMar>
            <w:vAlign w:val="center"/>
          </w:tcPr>
          <w:p>
            <w:r>
              <w:rPr>
                <w:b w:val="0"/>
                <w:bCs/>
                <w:sz w:val="17"/>
                <w:szCs w:val="20"/>
              </w:rPr>
              <w:t>Chaque crise = 1 observation (n=5). La corrélation sérielle intra-fenêtre ne peut pas le gonfler. À CITER EN PREMIER.</w:t>
            </w:r>
          </w:p>
        </w:tc>
      </w:tr>
      <w:tr>
        <w:trPr>
          <w:tblHeader/>
        </w:trPr>
        <w:tc>
          <w:tcPr>
            <w:tcW w:type="dxa" w:w="2400"/>
            <w:tcMar>
              <w:top w:type="dxa" w:w="80"/>
              <w:left w:type="dxa" w:w="100"/>
              <w:bottom w:type="dxa" w:w="80"/>
              <w:right w:type="dxa" w:w="100"/>
            </w:tcMar>
            <w:vAlign w:val="center"/>
          </w:tcPr>
          <w:p>
            <w:r>
              <w:rPr>
                <w:b w:val="0"/>
                <w:bCs/>
                <w:sz w:val="17"/>
                <w:szCs w:val="20"/>
              </w:rPr>
              <w:t>Fisher exact (libéral)</w:t>
            </w:r>
          </w:p>
        </w:tc>
        <w:tc>
          <w:tcPr>
            <w:tcW w:type="dxa" w:w="1600"/>
            <w:tcMar>
              <w:top w:type="dxa" w:w="80"/>
              <w:left w:type="dxa" w:w="100"/>
              <w:bottom w:type="dxa" w:w="80"/>
              <w:right w:type="dxa" w:w="100"/>
            </w:tcMar>
            <w:vAlign w:val="center"/>
          </w:tcPr>
          <w:p>
            <w:r>
              <w:rPr>
                <w:b w:val="0"/>
                <w:bCs/>
                <w:sz w:val="17"/>
                <w:szCs w:val="20"/>
              </w:rPr>
              <w:t>p = 7,78e-13</w:t>
            </w:r>
          </w:p>
        </w:tc>
        <w:tc>
          <w:tcPr>
            <w:tcW w:type="dxa" w:w="5026"/>
            <w:tcMar>
              <w:top w:type="dxa" w:w="80"/>
              <w:left w:type="dxa" w:w="100"/>
              <w:bottom w:type="dxa" w:w="80"/>
              <w:right w:type="dxa" w:w="100"/>
            </w:tcMar>
            <w:vAlign w:val="center"/>
          </w:tcPr>
          <w:p>
            <w:r>
              <w:rPr>
                <w:b w:val="0"/>
                <w:bCs/>
                <w:sz w:val="17"/>
                <w:szCs w:val="20"/>
              </w:rPr>
              <w:t>Traite 248 rééquilibrages mensuels corrélés comme indépendants. Optimiste — ne jamais citer seul.</w:t>
            </w:r>
          </w:p>
        </w:tc>
      </w:tr>
    </w:tbl>
    <w:p>
      <w:pPr>
        <w:spacing w:after="160"/>
      </w:pPr>
      <w:r/>
    </w:p>
    <w:p>
      <w:pPr>
        <w:spacing w:after="160"/>
      </w:pPr>
      <w:r>
        <w:rPr>
          <w:color w:val="000000"/>
        </w:rPr>
        <w:t>C'est le SEUL résultat statistiquement significatif du projet : toutes nos comparaisons de ratio de Sharpe ont des intervalles qui se chevauchent.</w:t>
      </w:r>
    </w:p>
    <w:p>
      <w:pPr>
        <w:spacing w:after="160"/>
      </w:pPr>
      <w:r>
        <w:rPr>
          <w:color w:val="000000"/>
        </w:rPr>
        <w:t>Réserve qui doit voyager avec ce résultat : « baissier » est DÉFINI comme l'état à plus faible rendement moyen, et une crise est par nature une période de faible rendement — une part de l'association est donc définitionnelle. Ce qui ne l'est pas : la détection est causale et en temps réel ; le modèle ignore qu'une crise commence et la signale tout de même à trois fois son taux de base, SANS crier au loup en permanence (29 % hors crise, pas 80 %).</w:t>
      </w:r>
    </w:p>
    <w:p>
      <w:pPr>
        <w:spacing w:after="160"/>
      </w:pPr>
      <w:r>
        <w:rPr>
          <w:color w:val="000000"/>
        </w:rPr>
        <w:t>Deux affirmations à ne jamais confondre, et à garder dans des phrases séparées : le détecteur VOIT démonstrativement ce qu'il prétend voir ; le fait d'AGIR dessus reste statistiquement indiscernable des lignes de base (Phase 5, étude 3).</w:t>
      </w:r>
    </w:p>
    <w:p>
      <w:pPr>
        <w:pStyle w:val="Heading1"/>
        <w:spacing w:after="120" w:before="240"/>
      </w:pPr>
      <w:r>
        <w:rPr>
          <w:b/>
        </w:rPr>
        <w:t>8. Résultat transversal — le plafond fait plus que les modèles (P1)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226"/>
      </w:tblGrid>
      <w:tr>
        <w:trPr>
          <w:tblHeader/>
        </w:trPr>
        <w:tc>
          <w:tcPr>
            <w:tcW w:type="dxa" w:w="2600"/>
            <w:shd w:val="clear" w:fill="DCE6F1"/>
            <w:tcMar>
              <w:top w:type="dxa" w:w="80"/>
              <w:left w:type="dxa" w:w="100"/>
              <w:bottom w:type="dxa" w:w="80"/>
              <w:right w:type="dxa" w:w="100"/>
            </w:tcMar>
            <w:vAlign w:val="center"/>
          </w:tcPr>
          <w:p>
            <w:r>
              <w:rPr>
                <w:b/>
                <w:bCs/>
                <w:sz w:val="17"/>
                <w:szCs w:val="20"/>
              </w:rPr>
              <w:t>Plafond `max_weight`</w:t>
            </w:r>
          </w:p>
        </w:tc>
        <w:tc>
          <w:tcPr>
            <w:tcW w:type="dxa" w:w="3200"/>
            <w:shd w:val="clear" w:fill="DCE6F1"/>
            <w:tcMar>
              <w:top w:type="dxa" w:w="80"/>
              <w:left w:type="dxa" w:w="100"/>
              <w:bottom w:type="dxa" w:w="80"/>
              <w:right w:type="dxa" w:w="100"/>
            </w:tcMar>
            <w:vAlign w:val="center"/>
          </w:tcPr>
          <w:p>
            <w:r>
              <w:rPr>
                <w:b/>
                <w:bCs/>
                <w:sz w:val="17"/>
                <w:szCs w:val="20"/>
              </w:rPr>
              <w:t>Meilleur Sharpe net classique</w:t>
            </w:r>
          </w:p>
        </w:tc>
        <w:tc>
          <w:tcPr>
            <w:tcW w:type="dxa" w:w="3226"/>
            <w:shd w:val="clear" w:fill="DCE6F1"/>
            <w:tcMar>
              <w:top w:type="dxa" w:w="80"/>
              <w:left w:type="dxa" w:w="100"/>
              <w:bottom w:type="dxa" w:w="80"/>
              <w:right w:type="dxa" w:w="100"/>
            </w:tcMar>
            <w:vAlign w:val="center"/>
          </w:tcPr>
          <w:p>
            <w:r>
              <w:rPr>
                <w:b/>
                <w:bCs/>
                <w:sz w:val="17"/>
                <w:szCs w:val="20"/>
              </w:rPr>
              <w:t>Allocations distinctes / 248</w:t>
            </w:r>
          </w:p>
        </w:tc>
      </w:tr>
      <w:tr>
        <w:trPr>
          <w:tblHeader/>
        </w:trPr>
        <w:tc>
          <w:tcPr>
            <w:tcW w:type="dxa" w:w="2600"/>
            <w:tcMar>
              <w:top w:type="dxa" w:w="80"/>
              <w:left w:type="dxa" w:w="100"/>
              <w:bottom w:type="dxa" w:w="80"/>
              <w:right w:type="dxa" w:w="100"/>
            </w:tcMar>
            <w:vAlign w:val="center"/>
          </w:tcPr>
          <w:p>
            <w:r>
              <w:rPr>
                <w:b w:val="0"/>
                <w:bCs/>
                <w:sz w:val="17"/>
                <w:szCs w:val="20"/>
              </w:rPr>
              <w:t>25 %</w:t>
            </w:r>
          </w:p>
        </w:tc>
        <w:tc>
          <w:tcPr>
            <w:tcW w:type="dxa" w:w="3200"/>
            <w:tcMar>
              <w:top w:type="dxa" w:w="80"/>
              <w:left w:type="dxa" w:w="100"/>
              <w:bottom w:type="dxa" w:w="80"/>
              <w:right w:type="dxa" w:w="100"/>
            </w:tcMar>
            <w:vAlign w:val="center"/>
          </w:tcPr>
          <w:p>
            <w:r>
              <w:rPr>
                <w:b w:val="0"/>
                <w:bCs/>
                <w:sz w:val="17"/>
                <w:szCs w:val="20"/>
              </w:rPr>
              <w:t>0,9525</w:t>
            </w:r>
          </w:p>
        </w:tc>
        <w:tc>
          <w:tcPr>
            <w:tcW w:type="dxa" w:w="3226"/>
            <w:tcMar>
              <w:top w:type="dxa" w:w="80"/>
              <w:left w:type="dxa" w:w="100"/>
              <w:bottom w:type="dxa" w:w="80"/>
              <w:right w:type="dxa" w:w="100"/>
            </w:tcMar>
            <w:vAlign w:val="center"/>
          </w:tcPr>
          <w:p>
            <w:r>
              <w:rPr>
                <w:b w:val="0"/>
                <w:bCs/>
                <w:sz w:val="17"/>
                <w:szCs w:val="20"/>
              </w:rPr>
              <w:t>1</w:t>
            </w:r>
          </w:p>
        </w:tc>
      </w:tr>
      <w:tr>
        <w:trPr>
          <w:tblHeader/>
        </w:trPr>
        <w:tc>
          <w:tcPr>
            <w:tcW w:type="dxa" w:w="2600"/>
            <w:tcMar>
              <w:top w:type="dxa" w:w="80"/>
              <w:left w:type="dxa" w:w="100"/>
              <w:bottom w:type="dxa" w:w="80"/>
              <w:right w:type="dxa" w:w="100"/>
            </w:tcMar>
            <w:vAlign w:val="center"/>
          </w:tcPr>
          <w:p>
            <w:r>
              <w:rPr>
                <w:b w:val="0"/>
                <w:bCs/>
                <w:sz w:val="17"/>
                <w:szCs w:val="20"/>
              </w:rPr>
              <w:t>30 %</w:t>
            </w:r>
          </w:p>
        </w:tc>
        <w:tc>
          <w:tcPr>
            <w:tcW w:type="dxa" w:w="3200"/>
            <w:tcMar>
              <w:top w:type="dxa" w:w="80"/>
              <w:left w:type="dxa" w:w="100"/>
              <w:bottom w:type="dxa" w:w="80"/>
              <w:right w:type="dxa" w:w="100"/>
            </w:tcMar>
            <w:vAlign w:val="center"/>
          </w:tcPr>
          <w:p>
            <w:r>
              <w:rPr>
                <w:b w:val="0"/>
                <w:bCs/>
                <w:sz w:val="17"/>
                <w:szCs w:val="20"/>
              </w:rPr>
              <w:t>0,9394</w:t>
            </w:r>
          </w:p>
        </w:tc>
        <w:tc>
          <w:tcPr>
            <w:tcW w:type="dxa" w:w="3226"/>
            <w:tcMar>
              <w:top w:type="dxa" w:w="80"/>
              <w:left w:type="dxa" w:w="100"/>
              <w:bottom w:type="dxa" w:w="80"/>
              <w:right w:type="dxa" w:w="100"/>
            </w:tcMar>
            <w:vAlign w:val="center"/>
          </w:tcPr>
          <w:p>
            <w:r>
              <w:rPr>
                <w:b w:val="0"/>
                <w:bCs/>
                <w:sz w:val="17"/>
                <w:szCs w:val="20"/>
              </w:rPr>
              <w:t>171</w:t>
            </w:r>
          </w:p>
        </w:tc>
      </w:tr>
      <w:tr>
        <w:trPr>
          <w:tblHeader/>
        </w:trPr>
        <w:tc>
          <w:tcPr>
            <w:tcW w:type="dxa" w:w="2600"/>
            <w:tcMar>
              <w:top w:type="dxa" w:w="80"/>
              <w:left w:type="dxa" w:w="100"/>
              <w:bottom w:type="dxa" w:w="80"/>
              <w:right w:type="dxa" w:w="100"/>
            </w:tcMar>
            <w:vAlign w:val="center"/>
          </w:tcPr>
          <w:p>
            <w:r>
              <w:rPr>
                <w:b w:val="0"/>
                <w:bCs/>
                <w:sz w:val="17"/>
                <w:szCs w:val="20"/>
              </w:rPr>
              <w:t>35 %</w:t>
            </w:r>
          </w:p>
        </w:tc>
        <w:tc>
          <w:tcPr>
            <w:tcW w:type="dxa" w:w="3200"/>
            <w:tcMar>
              <w:top w:type="dxa" w:w="80"/>
              <w:left w:type="dxa" w:w="100"/>
              <w:bottom w:type="dxa" w:w="80"/>
              <w:right w:type="dxa" w:w="100"/>
            </w:tcMar>
            <w:vAlign w:val="center"/>
          </w:tcPr>
          <w:p>
            <w:r>
              <w:rPr>
                <w:b w:val="0"/>
                <w:bCs/>
                <w:sz w:val="17"/>
                <w:szCs w:val="20"/>
              </w:rPr>
              <w:t>0,9325</w:t>
            </w:r>
          </w:p>
        </w:tc>
        <w:tc>
          <w:tcPr>
            <w:tcW w:type="dxa" w:w="3226"/>
            <w:tcMar>
              <w:top w:type="dxa" w:w="80"/>
              <w:left w:type="dxa" w:w="100"/>
              <w:bottom w:type="dxa" w:w="80"/>
              <w:right w:type="dxa" w:w="100"/>
            </w:tcMar>
            <w:vAlign w:val="center"/>
          </w:tcPr>
          <w:p>
            <w:r>
              <w:rPr>
                <w:b w:val="0"/>
                <w:bCs/>
                <w:sz w:val="17"/>
                <w:szCs w:val="20"/>
              </w:rPr>
              <w:t>248</w:t>
            </w:r>
          </w:p>
        </w:tc>
      </w:tr>
      <w:tr>
        <w:trPr>
          <w:tblHeader/>
        </w:trPr>
        <w:tc>
          <w:tcPr>
            <w:tcW w:type="dxa" w:w="2600"/>
            <w:tcMar>
              <w:top w:type="dxa" w:w="80"/>
              <w:left w:type="dxa" w:w="100"/>
              <w:bottom w:type="dxa" w:w="80"/>
              <w:right w:type="dxa" w:w="100"/>
            </w:tcMar>
            <w:vAlign w:val="center"/>
          </w:tcPr>
          <w:p>
            <w:r>
              <w:rPr>
                <w:b w:val="0"/>
                <w:bCs/>
                <w:sz w:val="17"/>
                <w:szCs w:val="20"/>
              </w:rPr>
              <w:t>40 %</w:t>
            </w:r>
          </w:p>
        </w:tc>
        <w:tc>
          <w:tcPr>
            <w:tcW w:type="dxa" w:w="3200"/>
            <w:tcMar>
              <w:top w:type="dxa" w:w="80"/>
              <w:left w:type="dxa" w:w="100"/>
              <w:bottom w:type="dxa" w:w="80"/>
              <w:right w:type="dxa" w:w="100"/>
            </w:tcMar>
            <w:vAlign w:val="center"/>
          </w:tcPr>
          <w:p>
            <w:r>
              <w:rPr>
                <w:b w:val="0"/>
                <w:bCs/>
                <w:sz w:val="17"/>
                <w:szCs w:val="20"/>
              </w:rPr>
              <w:t>0,9122</w:t>
            </w:r>
          </w:p>
        </w:tc>
        <w:tc>
          <w:tcPr>
            <w:tcW w:type="dxa" w:w="3226"/>
            <w:tcMar>
              <w:top w:type="dxa" w:w="80"/>
              <w:left w:type="dxa" w:w="100"/>
              <w:bottom w:type="dxa" w:w="80"/>
              <w:right w:type="dxa" w:w="100"/>
            </w:tcMar>
            <w:vAlign w:val="center"/>
          </w:tcPr>
          <w:p>
            <w:r>
              <w:rPr>
                <w:b w:val="0"/>
                <w:bCs/>
                <w:sz w:val="17"/>
                <w:szCs w:val="20"/>
              </w:rPr>
              <w:t>248</w:t>
            </w:r>
          </w:p>
        </w:tc>
      </w:tr>
      <w:tr>
        <w:trPr>
          <w:tblHeader/>
        </w:trPr>
        <w:tc>
          <w:tcPr>
            <w:tcW w:type="dxa" w:w="2600"/>
            <w:tcMar>
              <w:top w:type="dxa" w:w="80"/>
              <w:left w:type="dxa" w:w="100"/>
              <w:bottom w:type="dxa" w:w="80"/>
              <w:right w:type="dxa" w:w="100"/>
            </w:tcMar>
            <w:vAlign w:val="center"/>
          </w:tcPr>
          <w:p>
            <w:r>
              <w:rPr>
                <w:b w:val="0"/>
                <w:bCs/>
                <w:sz w:val="17"/>
                <w:szCs w:val="20"/>
              </w:rPr>
              <w:t>sans plafond</w:t>
            </w:r>
          </w:p>
        </w:tc>
        <w:tc>
          <w:tcPr>
            <w:tcW w:type="dxa" w:w="3200"/>
            <w:tcMar>
              <w:top w:type="dxa" w:w="80"/>
              <w:left w:type="dxa" w:w="100"/>
              <w:bottom w:type="dxa" w:w="80"/>
              <w:right w:type="dxa" w:w="100"/>
            </w:tcMar>
            <w:vAlign w:val="center"/>
          </w:tcPr>
          <w:p>
            <w:r>
              <w:rPr>
                <w:b w:val="0"/>
                <w:bCs/>
                <w:sz w:val="17"/>
                <w:szCs w:val="20"/>
              </w:rPr>
              <w:t>0,8650</w:t>
            </w:r>
          </w:p>
        </w:tc>
        <w:tc>
          <w:tcPr>
            <w:tcW w:type="dxa" w:w="3226"/>
            <w:tcMar>
              <w:top w:type="dxa" w:w="80"/>
              <w:left w:type="dxa" w:w="100"/>
              <w:bottom w:type="dxa" w:w="80"/>
              <w:right w:type="dxa" w:w="100"/>
            </w:tcMar>
            <w:vAlign w:val="center"/>
          </w:tcPr>
          <w:p>
            <w:r>
              <w:rPr>
                <w:b w:val="0"/>
                <w:bCs/>
                <w:sz w:val="17"/>
                <w:szCs w:val="20"/>
              </w:rPr>
              <w:t>248</w:t>
            </w:r>
          </w:p>
        </w:tc>
      </w:tr>
    </w:tbl>
    <w:p>
      <w:pPr>
        <w:spacing w:after="160"/>
      </w:pPr>
      <w:r/>
    </w:p>
    <w:p>
      <w:pPr>
        <w:spacing w:after="160"/>
      </w:pPr>
      <w:r>
        <w:rPr>
          <w:color w:val="000000"/>
        </w:rPr>
        <w:t>Un écart de 10,1 % de Sharpe dû à la SEULE contrainte (0,9525 → 0,8650), décroissant de façon monotone. C'est davantage que l'écart entre deux modèles quelconques sur cet univers : Ledoit-Wolf, EWMA, DCC-GARCH et la commutation de régime HMM réunis le déplacent moins. C'est le résultat de Jagannathan &amp; Ma (2003) reproduit sur nos données — une contrainte de poids active équivaut mathématiquement à un rétrécissement de la covariance. La contrainte réalisait donc le contrôle d'erreur d'estimation (P1) que le ML devait apporter.</w:t>
      </w:r>
    </w:p>
    <w:p>
      <w:pPr>
        <w:spacing w:after="160"/>
      </w:pPr>
      <w:r>
        <w:rPr>
          <w:color w:val="000000"/>
        </w:rPr>
        <w:t>À présenter comme un résultat, pas comme une limite : le contrôle du risque le plus efficace de ce système s'est révélé être la limite de position qu'un mandat réel imposerait de toute façon — exactement ce que le cadrage « contraintes réalistes de gestion » du cahier des charges invite à découvrir.</w:t>
      </w:r>
    </w:p>
    <w:p>
      <w:pPr>
        <w:pStyle w:val="Heading1"/>
        <w:spacing w:after="120" w:before="240"/>
      </w:pPr>
      <w:r>
        <w:rPr>
          <w:b/>
        </w:rPr>
        <w:t>9. Synthèse — cinq routes testées, et ce que leur convergence démontre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3826"/>
      </w:tblGrid>
      <w:tr>
        <w:trPr>
          <w:tblHeader/>
        </w:trPr>
        <w:tc>
          <w:tcPr>
            <w:tcW w:type="dxa" w:w="5200"/>
            <w:shd w:val="clear" w:fill="DCE6F1"/>
            <w:tcMar>
              <w:top w:type="dxa" w:w="80"/>
              <w:left w:type="dxa" w:w="100"/>
              <w:bottom w:type="dxa" w:w="80"/>
              <w:right w:type="dxa" w:w="100"/>
            </w:tcMar>
            <w:vAlign w:val="center"/>
          </w:tcPr>
          <w:p>
            <w:r>
              <w:rPr>
                <w:b/>
                <w:bCs/>
                <w:sz w:val="17"/>
                <w:szCs w:val="20"/>
              </w:rPr>
              <w:t>Route testée</w:t>
            </w:r>
          </w:p>
        </w:tc>
        <w:tc>
          <w:tcPr>
            <w:tcW w:type="dxa" w:w="3826"/>
            <w:shd w:val="clear" w:fill="DCE6F1"/>
            <w:tcMar>
              <w:top w:type="dxa" w:w="80"/>
              <w:left w:type="dxa" w:w="100"/>
              <w:bottom w:type="dxa" w:w="80"/>
              <w:right w:type="dxa" w:w="100"/>
            </w:tcMar>
            <w:vAlign w:val="center"/>
          </w:tcPr>
          <w:p>
            <w:r>
              <w:rPr>
                <w:b/>
                <w:bCs/>
                <w:sz w:val="17"/>
                <w:szCs w:val="20"/>
              </w:rPr>
              <w:t>Verdict</w:t>
            </w:r>
          </w:p>
        </w:tc>
      </w:tr>
      <w:tr>
        <w:trPr>
          <w:tblHeader/>
        </w:trPr>
        <w:tc>
          <w:tcPr>
            <w:tcW w:type="dxa" w:w="5200"/>
            <w:tcMar>
              <w:top w:type="dxa" w:w="80"/>
              <w:left w:type="dxa" w:w="100"/>
              <w:bottom w:type="dxa" w:w="80"/>
              <w:right w:type="dxa" w:w="100"/>
            </w:tcMar>
            <w:vAlign w:val="center"/>
          </w:tcPr>
          <w:p>
            <w:r>
              <w:rPr>
                <w:b w:val="0"/>
                <w:bCs/>
                <w:sz w:val="17"/>
                <w:szCs w:val="20"/>
              </w:rPr>
              <w:t>Prédiction de rendement F7, calibrée honnêtement (Phase 5)</w:t>
            </w:r>
          </w:p>
        </w:tc>
        <w:tc>
          <w:tcPr>
            <w:tcW w:type="dxa" w:w="3826"/>
            <w:tcMar>
              <w:top w:type="dxa" w:w="80"/>
              <w:left w:type="dxa" w:w="100"/>
              <w:bottom w:type="dxa" w:w="80"/>
              <w:right w:type="dxa" w:w="100"/>
            </w:tcMar>
            <w:vAlign w:val="center"/>
          </w:tcPr>
          <w:p>
            <w:r>
              <w:rPr>
                <w:b w:val="0"/>
                <w:bCs/>
                <w:sz w:val="17"/>
                <w:szCs w:val="20"/>
              </w:rPr>
              <w:t>indiscernable de la ligne de base</w:t>
            </w:r>
          </w:p>
        </w:tc>
      </w:tr>
      <w:tr>
        <w:trPr>
          <w:tblHeader/>
        </w:trPr>
        <w:tc>
          <w:tcPr>
            <w:tcW w:type="dxa" w:w="5200"/>
            <w:tcMar>
              <w:top w:type="dxa" w:w="80"/>
              <w:left w:type="dxa" w:w="100"/>
              <w:bottom w:type="dxa" w:w="80"/>
              <w:right w:type="dxa" w:w="100"/>
            </w:tcMar>
            <w:vAlign w:val="center"/>
          </w:tcPr>
          <w:p>
            <w:r>
              <w:rPr>
                <w:b w:val="0"/>
                <w:bCs/>
                <w:sz w:val="17"/>
                <w:szCs w:val="20"/>
              </w:rPr>
              <w:t>5× plus d'historique de prix (étude 1)</w:t>
            </w:r>
          </w:p>
        </w:tc>
        <w:tc>
          <w:tcPr>
            <w:tcW w:type="dxa" w:w="3826"/>
            <w:tcMar>
              <w:top w:type="dxa" w:w="80"/>
              <w:left w:type="dxa" w:w="100"/>
              <w:bottom w:type="dxa" w:w="80"/>
              <w:right w:type="dxa" w:w="100"/>
            </w:tcMar>
            <w:vAlign w:val="center"/>
          </w:tcPr>
          <w:p>
            <w:r>
              <w:rPr>
                <w:b w:val="0"/>
                <w:bCs/>
                <w:sz w:val="17"/>
                <w:szCs w:val="20"/>
              </w:rPr>
              <w:t>IC ×2–4, aucun avantage de portefeuille</w:t>
            </w:r>
          </w:p>
        </w:tc>
      </w:tr>
      <w:tr>
        <w:trPr>
          <w:tblHeader/>
        </w:trPr>
        <w:tc>
          <w:tcPr>
            <w:tcW w:type="dxa" w:w="5200"/>
            <w:tcMar>
              <w:top w:type="dxa" w:w="80"/>
              <w:left w:type="dxa" w:w="100"/>
              <w:bottom w:type="dxa" w:w="80"/>
              <w:right w:type="dxa" w:w="100"/>
            </w:tcMar>
            <w:vAlign w:val="center"/>
          </w:tcPr>
          <w:p>
            <w:r>
              <w:rPr>
                <w:b w:val="0"/>
                <w:bCs/>
                <w:sz w:val="17"/>
                <w:szCs w:val="20"/>
              </w:rPr>
              <w:t>Fondamentaux point-in-time (étude 2)</w:t>
            </w:r>
          </w:p>
        </w:tc>
        <w:tc>
          <w:tcPr>
            <w:tcW w:type="dxa" w:w="3826"/>
            <w:tcMar>
              <w:top w:type="dxa" w:w="80"/>
              <w:left w:type="dxa" w:w="100"/>
              <w:bottom w:type="dxa" w:w="80"/>
              <w:right w:type="dxa" w:w="100"/>
            </w:tcMar>
            <w:vAlign w:val="center"/>
          </w:tcPr>
          <w:p>
            <w:r>
              <w:rPr>
                <w:b w:val="0"/>
                <w:bCs/>
                <w:sz w:val="17"/>
                <w:szCs w:val="20"/>
              </w:rPr>
              <w:t>IC ×2, Sharpe en BAISSE</w:t>
            </w:r>
          </w:p>
        </w:tc>
      </w:tr>
      <w:tr>
        <w:trPr>
          <w:tblHeader/>
        </w:trPr>
        <w:tc>
          <w:tcPr>
            <w:tcW w:type="dxa" w:w="5200"/>
            <w:tcMar>
              <w:top w:type="dxa" w:w="80"/>
              <w:left w:type="dxa" w:w="100"/>
              <w:bottom w:type="dxa" w:w="80"/>
              <w:right w:type="dxa" w:w="100"/>
            </w:tcMar>
            <w:vAlign w:val="center"/>
          </w:tcPr>
          <w:p>
            <w:r>
              <w:rPr>
                <w:b w:val="0"/>
                <w:bCs/>
                <w:sz w:val="17"/>
                <w:szCs w:val="20"/>
              </w:rPr>
              <w:t>Ré-sélection par pli, 74 % de données OOS en plus (étude 3)</w:t>
            </w:r>
          </w:p>
        </w:tc>
        <w:tc>
          <w:tcPr>
            <w:tcW w:type="dxa" w:w="3826"/>
            <w:tcMar>
              <w:top w:type="dxa" w:w="80"/>
              <w:left w:type="dxa" w:w="100"/>
              <w:bottom w:type="dxa" w:w="80"/>
              <w:right w:type="dxa" w:w="100"/>
            </w:tcMar>
            <w:vAlign w:val="center"/>
          </w:tcPr>
          <w:p>
            <w:r>
              <w:rPr>
                <w:b w:val="0"/>
                <w:bCs/>
                <w:sz w:val="17"/>
                <w:szCs w:val="20"/>
              </w:rPr>
              <w:t>intervalles −28,6 %, classement instable</w:t>
            </w:r>
          </w:p>
        </w:tc>
      </w:tr>
      <w:tr>
        <w:trPr>
          <w:tblHeader/>
        </w:trPr>
        <w:tc>
          <w:tcPr>
            <w:tcW w:type="dxa" w:w="5200"/>
            <w:tcMar>
              <w:top w:type="dxa" w:w="80"/>
              <w:left w:type="dxa" w:w="100"/>
              <w:bottom w:type="dxa" w:w="80"/>
              <w:right w:type="dxa" w:w="100"/>
            </w:tcMar>
            <w:vAlign w:val="center"/>
          </w:tcPr>
          <w:p>
            <w:r>
              <w:rPr>
                <w:b w:val="0"/>
                <w:bCs/>
                <w:sz w:val="17"/>
                <w:szCs w:val="20"/>
              </w:rPr>
              <w:t>Contrainte conditionnée au régime (étude 4)</w:t>
            </w:r>
          </w:p>
        </w:tc>
        <w:tc>
          <w:tcPr>
            <w:tcW w:type="dxa" w:w="3826"/>
            <w:tcMar>
              <w:top w:type="dxa" w:w="80"/>
              <w:left w:type="dxa" w:w="100"/>
              <w:bottom w:type="dxa" w:w="80"/>
              <w:right w:type="dxa" w:w="100"/>
            </w:tcMar>
            <w:vAlign w:val="center"/>
          </w:tcPr>
          <w:p>
            <w:r>
              <w:rPr>
                <w:b w:val="0"/>
                <w:bCs/>
                <w:sz w:val="17"/>
                <w:szCs w:val="20"/>
              </w:rPr>
              <w:t>réfutée ; le contrôle change de signe</w:t>
            </w:r>
          </w:p>
        </w:tc>
      </w:tr>
    </w:tbl>
    <w:p>
      <w:pPr>
        <w:spacing w:after="160"/>
      </w:pPr>
      <w:r/>
    </w:p>
    <w:p>
      <w:pPr>
        <w:spacing w:after="160"/>
      </w:pPr>
      <w:r>
        <w:rPr>
          <w:color w:val="000000"/>
        </w:rPr>
        <w:t>Le constat n'est pas que chaque idée a échoué individuellement — c'est qu'à cette taille d'échantillon, l'évaluation NE PEUT PAS RÉSOUDRE des différences de l'ordre de grandeur que ces idées produisent. C'est l'affirmation scientifique la plus défendable du projet, et elle n'est disponible que parce que cinq tentatives indépendantes ont été menées avec le même protocole.</w:t>
      </w:r>
    </w:p>
    <w:p>
      <w:pPr>
        <w:spacing w:after="160"/>
      </w:pPr>
      <w:r>
        <w:rPr>
          <w:color w:val="000000"/>
        </w:rPr>
        <w:t>Ce que le projet peut affirmer, en revanche : la détection de régime fonctionne (étude 5, p = 0,03125), l'optimisation sous contrainte protège en crise (étude 5), et le plafond de position est le régulariseur le plus efficace mesuré (section 8). Trois résultats positifs — dont aucun ne porte sur la prédiction de rendement.</w:t>
      </w:r>
    </w:p>
    <w:p>
      <w:pPr>
        <w:pStyle w:val="Heading1"/>
        <w:spacing w:after="120" w:before="240"/>
      </w:pPr>
      <w:r>
        <w:rPr>
          <w:b/>
        </w:rPr>
        <w:t>10. Traçabilité P1–P4</w:t>
      </w:r>
    </w:p>
    <w:p>
      <w:pPr>
        <w:pStyle w:val="ListParagraph"/>
        <w:numPr>
          <w:ilvl w:val="0"/>
          <w:numId w:val="2"/>
        </w:numPr>
        <w:spacing w:after="100"/>
      </w:pPr>
      <w:r>
        <w:rPr>
          <w:bCs/>
          <w:color w:val="000000"/>
        </w:rPr>
        <w:t>P1 (covariance bruitée) — la section 8 démontre que la contrainte de poids réalise le contrôle d'erreur d'estimation attribué au ML ; l'étude 4 teste, et réfute, l'idée de la conditionner au régime.</w:t>
      </w:r>
    </w:p>
    <w:p>
      <w:pPr>
        <w:pStyle w:val="ListParagraph"/>
        <w:numPr>
          <w:ilvl w:val="0"/>
          <w:numId w:val="2"/>
        </w:numPr>
        <w:spacing w:after="100"/>
      </w:pPr>
      <w:r>
        <w:rPr>
          <w:bCs/>
          <w:color w:val="000000"/>
        </w:rPr>
        <w:t>P2 (non-stationnarité) — l'étude 5 valide indépendamment le détecteur de régime : un modèle entraîné uniquement sur rendement, volatilité et corrélation redécouvre cinq crises sans qu'aucune date ne lui soit fournie.</w:t>
      </w:r>
    </w:p>
    <w:p>
      <w:pPr>
        <w:pStyle w:val="ListParagraph"/>
        <w:numPr>
          <w:ilvl w:val="0"/>
          <w:numId w:val="2"/>
        </w:numPr>
        <w:spacing w:after="100"/>
      </w:pPr>
      <w:r>
        <w:rPr>
          <w:bCs/>
          <w:color w:val="000000"/>
        </w:rPr>
        <w:t>P3 (rupture de la diversification) — l'étude 5 fournit la première mesure directe du comportement en crise du projet ; jusque-là, P3 n'était étayé que par un drawdown sur période complète.</w:t>
      </w:r>
    </w:p>
    <w:p>
      <w:pPr>
        <w:pStyle w:val="ListParagraph"/>
        <w:numPr>
          <w:ilvl w:val="0"/>
          <w:numId w:val="2"/>
        </w:numPr>
        <w:spacing w:after="100"/>
      </w:pPr>
      <w:r>
        <w:rPr>
          <w:bCs/>
          <w:color w:val="000000"/>
        </w:rPr>
        <w:t>P4 (surapprentissage) — l'étude 3 attaque la largeur des intervalles, cause racine de l'indécision de la Phase 5 ; les études 1, 2 et 4 sont des tentatives pré-enregistrées de réfuter notre propre résultat nul, ce qui est la forme la plus directe de contrôle du surapprentissage.</w:t>
      </w:r>
    </w:p>
    <w:p>
      <w:pPr>
        <w:pStyle w:val="Heading1"/>
        <w:spacing w:after="120" w:before="240"/>
      </w:pPr>
      <w:r>
        <w:rPr>
          <w:b/>
        </w:rPr>
        <w:t>11. Limites (restées explicites)</w:t>
      </w:r>
    </w:p>
    <w:p>
      <w:pPr>
        <w:pStyle w:val="ListParagraph"/>
        <w:numPr>
          <w:ilvl w:val="0"/>
          <w:numId w:val="2"/>
        </w:numPr>
        <w:spacing w:after="100"/>
      </w:pPr>
      <w:r>
        <w:rPr>
          <w:bCs/>
          <w:color w:val="000000"/>
        </w:rPr>
        <w:t>Cinq fenêtres de crise sont cinq observations. Les comparaisons de portefeuille de l'étude 5 ne portent AUCUN test de significativité et sont descriptives ; seule la fréquence de détection de régime est testée.</w:t>
      </w:r>
    </w:p>
    <w:p>
      <w:pPr>
        <w:pStyle w:val="ListParagraph"/>
        <w:numPr>
          <w:ilvl w:val="0"/>
          <w:numId w:val="2"/>
        </w:numPr>
        <w:spacing w:after="100"/>
      </w:pPr>
      <w:r>
        <w:rPr>
          <w:bCs/>
          <w:color w:val="000000"/>
        </w:rPr>
        <w:t>L'étude 5 ne couvre que `etf_2017` : `full_2021` commence mi-2022 et n'inclut qu'une crise partielle. Les fenêtres sont définies sur le S&amp;P 500, référence correcte pour un univers majoritairement ETF mais pas pour les valeurs BVC.</w:t>
      </w:r>
    </w:p>
    <w:p>
      <w:pPr>
        <w:pStyle w:val="ListParagraph"/>
        <w:numPr>
          <w:ilvl w:val="0"/>
          <w:numId w:val="2"/>
        </w:numPr>
        <w:spacing w:after="100"/>
      </w:pPr>
      <w:r>
        <w:rPr>
          <w:bCs/>
          <w:color w:val="000000"/>
        </w:rPr>
        <w:t>L'étude 3 concatène six segments ; le bootstrap par blocs les traite comme une série unique, ce qui sous-estime légèrement l'incertitude aux jointures.</w:t>
      </w:r>
    </w:p>
    <w:p>
      <w:pPr>
        <w:pStyle w:val="ListParagraph"/>
        <w:numPr>
          <w:ilvl w:val="0"/>
          <w:numId w:val="2"/>
        </w:numPr>
        <w:spacing w:after="100"/>
      </w:pPr>
      <w:r>
        <w:rPr>
          <w:bCs/>
          <w:color w:val="000000"/>
        </w:rPr>
        <w:t>L'étude 1 repose sur un univers marocain profond assemblé à la main depuis investing.com, non intégré au pipeline médaillon et non ajusté des dividendes — il sert à tester une hypothèse, pas à produire un résultat de production.</w:t>
      </w:r>
    </w:p>
    <w:p>
      <w:pPr>
        <w:pStyle w:val="ListParagraph"/>
        <w:numPr>
          <w:ilvl w:val="0"/>
          <w:numId w:val="2"/>
        </w:numPr>
        <w:spacing w:after="100"/>
      </w:pPr>
      <w:r>
        <w:rPr>
          <w:bCs/>
          <w:color w:val="000000"/>
        </w:rPr>
        <w:t>Le LSTM (troisième famille F7) reste reporté depuis la Phase 4B après un segfault torch+xgboost. Compte tenu des cinq résultats ci-dessus, l'ajouter attaquerait la précision de prédiction — précisément le levier dont ce livrable démontre qu'il n'est pas le goulot d'étranglement.</w:t>
      </w:r>
    </w:p>
    <w:p>
      <w:pPr>
        <w:pStyle w:val="Heading1"/>
        <w:spacing w:after="120" w:before="240"/>
      </w:pPr>
      <w:r>
        <w:rPr>
          <w:b/>
        </w:rPr>
        <w:t>Références</w:t>
      </w:r>
    </w:p>
    <w:p>
      <w:pPr>
        <w:pStyle w:val="ListParagraph"/>
        <w:numPr>
          <w:ilvl w:val="0"/>
          <w:numId w:val="2"/>
        </w:numPr>
        <w:spacing w:after="100"/>
      </w:pPr>
      <w:r>
        <w:rPr>
          <w:bCs/>
          <w:color w:val="000000"/>
        </w:rPr>
        <w:t>Jagannathan, R. &amp; Ma, T. (2003). Risk Reduction in Large Portfolios: Why Imposing the Wrong Constraints Helps. Journal of Finance — la contrainte comme rétrécissement.</w:t>
      </w:r>
    </w:p>
    <w:p>
      <w:pPr>
        <w:pStyle w:val="ListParagraph"/>
        <w:numPr>
          <w:ilvl w:val="0"/>
          <w:numId w:val="2"/>
        </w:numPr>
        <w:spacing w:after="100"/>
      </w:pPr>
      <w:r>
        <w:rPr>
          <w:bCs/>
          <w:color w:val="000000"/>
        </w:rPr>
        <w:t>Bailey, D. &amp; López de Prado, M. (2014). The Deflated Sharpe Ratio. Journal of Portfolio Management.</w:t>
      </w:r>
    </w:p>
    <w:p>
      <w:pPr>
        <w:pStyle w:val="ListParagraph"/>
        <w:numPr>
          <w:ilvl w:val="0"/>
          <w:numId w:val="2"/>
        </w:numPr>
        <w:spacing w:after="100"/>
      </w:pPr>
      <w:r>
        <w:rPr>
          <w:bCs/>
          <w:color w:val="000000"/>
        </w:rPr>
        <w:t>López de Prado, M. (2018). Advances in Financial Machine Learning. Wiley — ch. 7 (K-Fold purgé), ch. 8 (importance des features).</w:t>
      </w:r>
    </w:p>
    <w:p>
      <w:pPr>
        <w:pStyle w:val="ListParagraph"/>
        <w:numPr>
          <w:ilvl w:val="0"/>
          <w:numId w:val="2"/>
        </w:numPr>
        <w:spacing w:after="100"/>
      </w:pPr>
      <w:r>
        <w:rPr>
          <w:bCs/>
          <w:color w:val="000000"/>
        </w:rPr>
        <w:t>Chopra, V. &amp; Ziemba, W. (1993). The Effect of Errors in Means, Variances, and Covariances on Optimal Portfolio Choice.</w:t>
      </w:r>
    </w:p>
    <w:p>
      <w:pPr>
        <w:pStyle w:val="ListParagraph"/>
        <w:numPr>
          <w:ilvl w:val="0"/>
          <w:numId w:val="2"/>
        </w:numPr>
        <w:spacing w:after="100"/>
      </w:pPr>
      <w:r>
        <w:rPr>
          <w:bCs/>
          <w:color w:val="000000"/>
        </w:rPr>
        <w:t>Notes de recherche détaillées : docs/DEEP_MOROCCO_EXPERIMENT.md · docs/FUNDAMENTALS_EXPERIMENT.md · docs/NESTED_WALKFORWARD_EXPERIMENT.md · docs/REGIME_CONDITIONAL_CAP_EXPERIMENT.md · docs/CRISIS_WINDOWS_EXPERIMENT.md · docs/ETF_DEEP_HISTORY_EXPERIMENT.md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EURAFRIC Information — PFA INPT — Page </w:t>
    </w:r>
    <w:r>
      <w:rPr>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Phase 8 — Études de robustesse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Livrable Phase 5 — Évaluation Hors-Échantillon</dc:title>
  <dc:creator>Souhail Bourhim</dc:creator>
  <cp:lastModifiedBy>Un-named</cp:lastModifiedBy>
  <cp:revision>1</cp:revision>
  <dcterms:created xsi:type="dcterms:W3CDTF">2026-07-22T00:40:00.167Z</dcterms:created>
  <dcterms:modified xsi:type="dcterms:W3CDTF">2026-07-22T00:40:00.175Z</dcterms:modified>
</cp:coreProperties>
</file>

<file path=docProps/custom.xml><?xml version="1.0" encoding="utf-8"?>
<Properties xmlns="http://schemas.openxmlformats.org/officeDocument/2006/custom-properties" xmlns:vt="http://schemas.openxmlformats.org/officeDocument/2006/docPropsVTypes"/>
</file>