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b/>
          <w:bCs/>
          <w:color w:val="1F3864"/>
          <w:sz w:val="32"/>
          <w:szCs w:val="32"/>
        </w:rPr>
        <w:t xml:space="preserve">Système d'Optimisation de Portefeuille par Machine Learning</w:t>
      </w:r>
    </w:p>
    <w:p>
      <w:pPr>
        <w:spacing w:after="200"/>
        <w:jc w:val="center"/>
      </w:pPr>
      <w:r>
        <w:rPr>
          <w:b/>
          <w:bCs/>
          <w:sz w:val="26"/>
          <w:szCs w:val="26"/>
        </w:rPr>
        <w:t xml:space="preserve">Livrable de la Phase 4C — Optimisation Sensible aux Coûts et Régularisation de μ</w:t>
      </w:r>
    </w:p>
    <w:p>
      <w:pPr>
        <w:spacing w:after="600"/>
        <w:jc w:val="center"/>
      </w:pPr>
      <w:r>
        <w:rPr>
          <w:i/>
          <w:iCs/>
          <w:color w:val="595959"/>
          <w:sz w:val="22"/>
          <w:szCs w:val="22"/>
        </w:rPr>
        <w:t xml:space="preserve">F7 — Modèles ML Adaptatifs (suite) : rendre le signal négociable</w:t>
      </w:r>
    </w:p>
    <w:p>
      <w:pPr>
        <w:spacing w:after="120"/>
        <w:jc w:val="center"/>
      </w:pPr>
      <w:r>
        <w:rPr>
          <w:sz w:val="22"/>
          <w:szCs w:val="22"/>
        </w:rPr>
        <w:t xml:space="preserve">EURAFRIC Information — Projet de Fin d'Année (PFA)</w:t>
      </w:r>
    </w:p>
    <w:p>
      <w:pPr>
        <w:spacing w:after="120"/>
        <w:jc w:val="center"/>
      </w:pPr>
      <w:r>
        <w:rPr>
          <w:sz w:val="22"/>
          <w:szCs w:val="22"/>
        </w:rPr>
        <w:t xml:space="preserve">Institut National des Postes et Télécommunications (INPT)</w:t>
      </w:r>
    </w:p>
    <w:p>
      <w:pPr>
        <w:spacing w:after="120"/>
        <w:jc w:val="center"/>
      </w:pPr>
      <w:r>
        <w:rPr>
          <w:color w:val="595959"/>
          <w:sz w:val="20"/>
          <w:szCs w:val="20"/>
        </w:rPr>
        <w:t xml:space="preserve">Équipe : Souhail Bourhim · Zakarya EL WALI · Yasmine BOUAJINE</w:t>
      </w:r>
    </w:p>
    <w:p>
      <w:pPr>
        <w:spacing w:after="120"/>
        <w:jc w:val="center"/>
      </w:pPr>
      <w:r>
        <w:rPr>
          <w:color w:val="595959"/>
          <w:sz w:val="20"/>
          <w:szCs w:val="20"/>
        </w:rPr>
        <w:t xml:space="preserve">Encadrant : Abdelmouttalib</w:t>
      </w:r>
    </w:p>
    <w:p>
      <w:pPr>
        <w:jc w:val="center"/>
      </w:pPr>
      <w:r>
        <w:rPr>
          <w:color w:val="595959"/>
          <w:sz w:val="20"/>
          <w:szCs w:val="20"/>
        </w:rPr>
        <w:t xml:space="preserve">Juillet 2026</w:t>
      </w:r>
    </w:p>
    <w:p>
      <w:pPr>
        <w:pageBreakBefore/>
      </w:pPr>
    </w:p>
    <w:p>
      <w:pPr>
        <w:pStyle w:val="Heading1"/>
        <w:spacing w:after="120" w:before="240"/>
      </w:pPr>
      <w:r>
        <w:t xml:space="preserve">1. Contexte et motivation</w:t>
      </w:r>
    </w:p>
    <w:p>
      <w:pPr>
        <w:pStyle w:val="Heading1"/>
        <w:spacing w:after="120" w:before="240"/>
      </w:pPr>
      <w:r>
        <w:rPr>
          <w:b/>
          <w:color w:val="B03000"/>
          <w:sz w:val="22"/>
        </w:rPr>
        <w:t>⚠️ Avertissement — chiffres antérieurs à la correction du 25/07/2026</w:t>
      </w:r>
    </w:p>
    <w:p>
      <w:pPr>
        <w:pStyle w:val="Heading1"/>
        <w:spacing w:after="120" w:before="240"/>
      </w:pPr>
      <w:r>
        <w:rPr>
          <w:i/>
          <w:sz w:val="19"/>
        </w:rPr>
        <w:t>Deux corrections de données sont intervenues après la rédaction de ce livrable. Tous les ratios de Sharpe qui suivent sont conservés comme le compte rendu honnête de ce que cette phase a mesuré à l'époque — ce ne sont plus les chiffres courants.</w:t>
      </w:r>
    </w:p>
    <w:p>
      <w:pPr>
        <w:pStyle w:val="Heading1"/>
        <w:spacing w:after="120" w:before="240"/>
      </w:pPr>
      <w:r>
        <w:rPr>
          <w:i/>
          <w:sz w:val="19"/>
        </w:rPr>
        <w:t>1. Biais de dividendes BVC. Le pipeline mélangeait deux définitions du rendement : les ETF arrivaient ajustés des dividendes (yfinance auto_adjust=True, rendement total) tandis que les actions BVC arrivaient en prix seul (BVCscrap feature="Value"), écartant 3,0 à 4,3 %/an de dividendes réels. Le biais ne s'annule pas entre stratégies : equal_weight est contraint de détenir les actifs sous-évalués alors que les optimiseurs peuvent les sous-pondérer — il gonflait donc l'avantage mesuré de tout optimiseur. Corrigé par src/dividends.py, qui applique chaque dividende à sa date de détachement.</w:t>
      </w:r>
    </w:p>
    <w:p>
      <w:pPr>
        <w:pStyle w:val="Heading1"/>
        <w:spacing w:after="120" w:before="240"/>
      </w:pPr>
      <w:r>
        <w:rPr>
          <w:i/>
          <w:sz w:val="19"/>
        </w:rPr>
        <w:t>2. Fenêtre ETF profonde. L'univers etf_2017 démarre désormais au 18/11/2004 (création de GLD) et non au 01/01/2017 — l'ancienne date était une décision de projet, pas une limite de données. Cela réduit de 38 % la largeur des intervalles de confiance bootstrap et intègre la crise de 2008.</w:t>
      </w:r>
    </w:p>
    <w:p>
      <w:pPr>
        <w:pStyle w:val="Heading1"/>
        <w:spacing w:after="120" w:before="240"/>
      </w:pPr>
      <w:r>
        <w:rPr>
          <w:i/>
          <w:sz w:val="19"/>
        </w:rPr>
        <w:t>Chiffres courants : haie etf_2017 0,936 → 0.9525 (min_variance_lw) · haie full_2021 0,975 → 1.1644 (max_sharpe) · regime_conditional sur full_2021 1,122 → 1.2363 · gain net +14,3 % → +6.2 %.</w:t>
      </w:r>
    </w:p>
    <w:p>
      <w:pPr>
        <w:pStyle w:val="Heading1"/>
        <w:spacing w:after="120" w:before="240"/>
      </w:pPr>
      <w:r>
        <w:rPr>
          <w:i/>
          <w:sz w:val="19"/>
        </w:rPr>
        <w:t>Les conclusions subsistent ; les amplitudes ont diminué. Deux affirmations sont en revanche rétractées — voir les mentions [RÉTRACTÉ] et [SUPERSÉDÉ] dans le corps du document.</w:t>
      </w:r>
    </w:p>
    <w:p>
      <w:pPr>
        <w:pStyle w:val="Heading1"/>
        <w:spacing w:after="120" w:before="240"/>
      </w:pPr>
      <w:r>
        <w:rPr>
          <w:i/>
          <w:sz w:val="19"/>
        </w:rPr>
        <w:t>Analyse complète : docs/DIVIDEND_BIAS.md et docs/ETF_DEEP_HISTORY_EXPERIMENT.md.</w:t>
      </w:r>
    </w:p>
    <w:p>
      <w:pPr>
        <w:spacing w:after="160"/>
      </w:pPr>
      <w:r>
        <w:t xml:space="preserve">La Phase 4B a livré un résultat négatif honnête : aucun des modèles de signal F7 (RandomForest, XGBoost) ne dépassait sa haie de la Phase 4. Mais cet échec avait une </w:t>
      </w:r>
      <w:r>
        <w:rPr>
          <w:b/>
          <w:bCs/>
        </w:rPr>
        <w:t xml:space="preserve">forme précise et diagnosticable</w:t>
      </w:r>
      <w:r>
        <w:t xml:space="preserve">, et non la forme d'un signal sans valeur. Sur l'univers </w:t>
      </w:r>
      <w:r>
        <w:rPr>
          <w:rFonts w:ascii="Consolas" w:cs="Consolas" w:eastAsia="Consolas" w:hAnsi="Consolas"/>
          <w:color w:val="9C2FA6"/>
          <w:sz w:val="20"/>
          <w:szCs w:val="20"/>
        </w:rPr>
        <w:t xml:space="preserve">full_2021</w:t>
      </w:r>
      <w:r>
        <w:t xml:space="preserve">, la stratégie </w:t>
      </w:r>
      <w:r>
        <w:rPr>
          <w:rFonts w:ascii="Consolas" w:cs="Consolas" w:eastAsia="Consolas" w:hAnsi="Consolas"/>
          <w:color w:val="9C2FA6"/>
          <w:sz w:val="20"/>
          <w:szCs w:val="20"/>
        </w:rPr>
        <w:t xml:space="preserve">rf_signal</w:t>
      </w:r>
      <w:r>
        <w:t xml:space="preserve"> produisait le </w:t>
      </w:r>
      <w:r>
        <w:rPr>
          <w:b/>
          <w:bCs/>
        </w:rPr>
        <w:t xml:space="preserve">meilleur ratio de Sharpe brut de toute la comparaison</w:t>
      </w:r>
      <w:r>
        <w:t xml:space="preserve"> (1,240, au-dessus du gagnant de la Phase 4 à 1,204), puis en reversait 0,178 en coûts de transaction, à cause d'un taux de rotation moyen de 0,885 — soit un renouvellement quasi total du portefeuille à chaque rééquilibrage.</w:t>
      </w:r>
    </w:p>
    <w:p>
      <w:pPr>
        <w:spacing w:after="160"/>
      </w:pPr>
      <w:r>
        <w:rPr>
          <w:b/>
          <w:bCs/>
        </w:rPr>
        <w:t xml:space="preserve">Le signal était informatif ; agir sur chacune de ses révisions ne l'était pas.</w:t>
      </w:r>
      <w:r>
        <w:t xml:space="preserve"> C'est un échec de </w:t>
      </w:r>
      <w:r>
        <w:rPr>
          <w:i/>
          <w:iCs/>
        </w:rPr>
        <w:t xml:space="preserve">construction de portefeuille</w:t>
      </w:r>
      <w:r>
        <w:t xml:space="preserve">, et non de </w:t>
      </w:r>
      <w:r>
        <w:rPr>
          <w:i/>
          <w:iCs/>
        </w:rPr>
        <w:t xml:space="preserve">prédiction</w:t>
      </w:r>
      <w:r>
        <w:t xml:space="preserve">. La Phase 4C attaque exactement cette forme.</w:t>
      </w:r>
    </w:p>
    <w:p>
      <w:pPr>
        <w:spacing w:after="160"/>
      </w:pPr>
      <w:r>
        <w:t xml:space="preserve">Ce diagnostic s'inscrit dans un résultat académique établi. </w:t>
      </w:r>
      <w:r>
        <w:rPr>
          <w:b/>
          <w:bCs/>
        </w:rPr>
        <w:t xml:space="preserve">Chopra &amp; Ziemba (1993)</w:t>
      </w:r>
      <w:r>
        <w:t xml:space="preserve"> ont montré que l'erreur d'estimation sur les </w:t>
      </w:r>
      <w:r>
        <w:rPr>
          <w:b/>
          <w:bCs/>
        </w:rPr>
        <w:t xml:space="preserve">rendements espérés</w:t>
      </w:r>
      <w:r>
        <w:t xml:space="preserve"> nuit à un optimiseur moyenne-variance environ un ordre de grandeur plus que l'erreur équivalente sur la </w:t>
      </w:r>
      <w:r>
        <w:rPr>
          <w:b/>
          <w:bCs/>
        </w:rPr>
        <w:t xml:space="preserve">covariance</w:t>
      </w:r>
      <w:r>
        <w:t xml:space="preserve">. Cela explique tout le contraste Phase 4 / Phase 4B sur nos propres données : la Phase 4 a amélioré l'entrée </w:t>
      </w:r>
      <w:r>
        <w:rPr>
          <w:i/>
          <w:iCs/>
        </w:rPr>
        <w:t xml:space="preserve">covariance</w:t>
      </w:r>
      <w:r>
        <w:t xml:space="preserve"> et a battu sa haie (+15 % sur </w:t>
      </w:r>
      <w:r>
        <w:rPr>
          <w:rFonts w:ascii="Consolas" w:cs="Consolas" w:eastAsia="Consolas" w:hAnsi="Consolas"/>
          <w:color w:val="9C2FA6"/>
          <w:sz w:val="20"/>
          <w:szCs w:val="20"/>
        </w:rPr>
        <w:t xml:space="preserve">full_2021</w:t>
      </w:r>
      <w:r>
        <w:t xml:space="preserve">) ; la Phase 4B a amélioré l'entrée </w:t>
      </w:r>
      <w:r>
        <w:rPr>
          <w:i/>
          <w:iCs/>
        </w:rPr>
        <w:t xml:space="preserve">μ</w:t>
      </w:r>
      <w:r>
        <w:t xml:space="preserve"> et a vu ce signal de premier ordre amplifié en variations de poids violentes et coûteuses.</w:t>
      </w:r>
    </w:p>
    <w:p>
      <w:pPr>
        <w:pStyle w:val="Heading1"/>
        <w:spacing w:after="120" w:before="240"/>
      </w:pPr>
      <w:r>
        <w:t xml:space="preserve">2. Les quatre leviers (chacun désactivé par défaut)</w:t>
      </w:r>
    </w:p>
    <w:p>
      <w:pPr>
        <w:spacing w:after="160"/>
      </w:pPr>
      <w:r>
        <w:t xml:space="preserve">Chaque levier est </w:t>
      </w:r>
      <w:r>
        <w:rPr>
          <w:b/>
          <w:bCs/>
        </w:rPr>
        <w:t xml:space="preserve">désactivé par défaut</w:t>
      </w:r>
      <w:r>
        <w:t xml:space="preserve">, de sorte que le résultat de la Phase 4B reste reproductible au bit près comme plancher de comparaison honnête. Chaque variante ne modifie qu'une seule chose par rapport à </w:t>
      </w:r>
      <w:r>
        <w:rPr>
          <w:rFonts w:ascii="Consolas" w:cs="Consolas" w:eastAsia="Consolas" w:hAnsi="Consolas"/>
          <w:color w:val="9C2FA6"/>
          <w:sz w:val="20"/>
          <w:szCs w:val="20"/>
        </w:rPr>
        <w:t xml:space="preserve">rf_signal</w:t>
      </w:r>
      <w:r>
        <w:t xml:space="preserve"> (sauf la combinaison délibérée </w:t>
      </w:r>
      <w:r>
        <w:rPr>
          <w:rFonts w:ascii="Consolas" w:cs="Consolas" w:eastAsia="Consolas" w:hAnsi="Consolas"/>
          <w:color w:val="9C2FA6"/>
          <w:sz w:val="20"/>
          <w:szCs w:val="20"/>
        </w:rPr>
        <w:t xml:space="preserve">rf_signal_cost_dcc</w:t>
      </w:r>
      <w:r>
        <w:t xml:space="preserve">), rendant son effet attribuable.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500"/>
      </w:tblGrid>
      <w:tr>
        <w:trPr>
          <w:tblHeader/>
        </w:trPr>
        <w:tc>
          <w:tcPr>
            <w:tcW w:type="dxa" w:w="2100"/>
            <w:shd w:fill="DCE6F1" w:val="clear"/>
            <w:tcMar>
              <w:top w:type="dxa" w:w="80"/>
              <w:left w:type="dxa" w:w="100"/>
              <w:bottom w:type="dxa" w:w="80"/>
              <w:right w:type="dxa" w:w="100"/>
            </w:tcMar>
            <w:vAlign w:val="center"/>
          </w:tcPr>
          <w:p>
            <w:r>
              <w:rPr>
                <w:b/>
                <w:bCs/>
                <w:sz w:val="20"/>
                <w:szCs w:val="20"/>
              </w:rPr>
              <w:t xml:space="preserve">Variante</w:t>
            </w:r>
          </w:p>
        </w:tc>
        <w:tc>
          <w:tcPr>
            <w:tcW w:type="dxa" w:w="3400"/>
            <w:shd w:fill="DCE6F1" w:val="clear"/>
            <w:tcMar>
              <w:top w:type="dxa" w:w="80"/>
              <w:left w:type="dxa" w:w="100"/>
              <w:bottom w:type="dxa" w:w="80"/>
              <w:right w:type="dxa" w:w="100"/>
            </w:tcMar>
            <w:vAlign w:val="center"/>
          </w:tcPr>
          <w:p>
            <w:r>
              <w:rPr>
                <w:b/>
                <w:bCs/>
                <w:sz w:val="20"/>
                <w:szCs w:val="20"/>
              </w:rPr>
              <w:t xml:space="preserve">Levier</w:t>
            </w:r>
          </w:p>
        </w:tc>
        <w:tc>
          <w:tcPr>
            <w:tcW w:type="dxa" w:w="3500"/>
            <w:shd w:fill="DCE6F1" w:val="clear"/>
            <w:tcMar>
              <w:top w:type="dxa" w:w="80"/>
              <w:left w:type="dxa" w:w="100"/>
              <w:bottom w:type="dxa" w:w="80"/>
              <w:right w:type="dxa" w:w="100"/>
            </w:tcMar>
            <w:vAlign w:val="center"/>
          </w:tcPr>
          <w:p>
            <w:r>
              <w:rPr>
                <w:b/>
                <w:bCs/>
                <w:sz w:val="20"/>
                <w:szCs w:val="20"/>
              </w:rPr>
              <w:t xml:space="preserve">Hypothèse</w:t>
            </w:r>
          </w:p>
        </w:tc>
      </w:tr>
      <w:tr>
        <w:tc>
          <w:tcPr>
            <w:tcW w:type="dxa" w:w="2100"/>
            <w:tcMar>
              <w:top w:type="dxa" w:w="80"/>
              <w:left w:type="dxa" w:w="100"/>
              <w:bottom w:type="dxa" w:w="80"/>
              <w:right w:type="dxa" w:w="100"/>
            </w:tcMar>
            <w:vAlign w:val="center"/>
          </w:tcPr>
          <w:p>
            <w:r>
              <w:rPr>
                <w:b w:val="false"/>
                <w:bCs w:val="false"/>
                <w:sz w:val="20"/>
                <w:szCs w:val="20"/>
              </w:rPr>
              <w:t xml:space="preserve">rf_signal_cost</w:t>
            </w:r>
          </w:p>
        </w:tc>
        <w:tc>
          <w:tcPr>
            <w:tcW w:type="dxa" w:w="3400"/>
            <w:tcMar>
              <w:top w:type="dxa" w:w="80"/>
              <w:left w:type="dxa" w:w="100"/>
              <w:bottom w:type="dxa" w:w="80"/>
              <w:right w:type="dxa" w:w="100"/>
            </w:tcMar>
            <w:vAlign w:val="center"/>
          </w:tcPr>
          <w:p>
            <w:r>
              <w:rPr>
                <w:b w:val="false"/>
                <w:bCs w:val="false"/>
                <w:sz w:val="20"/>
                <w:szCs w:val="20"/>
              </w:rPr>
              <w:t xml:space="preserve">Pénalité de rotation : objectif + λ·Σ|w−w_préc|</w:t>
            </w:r>
          </w:p>
        </w:tc>
        <w:tc>
          <w:tcPr>
            <w:tcW w:type="dxa" w:w="3500"/>
            <w:tcMar>
              <w:top w:type="dxa" w:w="80"/>
              <w:left w:type="dxa" w:w="100"/>
              <w:bottom w:type="dxa" w:w="80"/>
              <w:right w:type="dxa" w:w="100"/>
            </w:tcMar>
            <w:vAlign w:val="center"/>
          </w:tcPr>
          <w:p>
            <w:r>
              <w:rPr>
                <w:b w:val="false"/>
                <w:bCs w:val="false"/>
                <w:sz w:val="20"/>
                <w:szCs w:val="20"/>
              </w:rPr>
              <w:t xml:space="preserve">Facturer le trade, pas seulement la détention</w:t>
            </w:r>
          </w:p>
        </w:tc>
      </w:tr>
      <w:tr>
        <w:tc>
          <w:tcPr>
            <w:tcW w:type="dxa" w:w="2100"/>
            <w:tcMar>
              <w:top w:type="dxa" w:w="80"/>
              <w:left w:type="dxa" w:w="100"/>
              <w:bottom w:type="dxa" w:w="80"/>
              <w:right w:type="dxa" w:w="100"/>
            </w:tcMar>
            <w:vAlign w:val="center"/>
          </w:tcPr>
          <w:p>
            <w:r>
              <w:rPr>
                <w:b w:val="false"/>
                <w:bCs w:val="false"/>
                <w:sz w:val="20"/>
                <w:szCs w:val="20"/>
              </w:rPr>
              <w:t xml:space="preserve">rf_signal_shrunk</w:t>
            </w:r>
          </w:p>
        </w:tc>
        <w:tc>
          <w:tcPr>
            <w:tcW w:type="dxa" w:w="3400"/>
            <w:tcMar>
              <w:top w:type="dxa" w:w="80"/>
              <w:left w:type="dxa" w:w="100"/>
              <w:bottom w:type="dxa" w:w="80"/>
              <w:right w:type="dxa" w:w="100"/>
            </w:tcMar>
            <w:vAlign w:val="center"/>
          </w:tcPr>
          <w:p>
            <w:r>
              <w:rPr>
                <w:b w:val="false"/>
                <w:bCs w:val="false"/>
                <w:sz w:val="20"/>
                <w:szCs w:val="20"/>
              </w:rPr>
              <w:t xml:space="preserve">Rétrécir μ prédit vers la moyenne naïve</w:t>
            </w:r>
          </w:p>
        </w:tc>
        <w:tc>
          <w:tcPr>
            <w:tcW w:type="dxa" w:w="3500"/>
            <w:tcMar>
              <w:top w:type="dxa" w:w="80"/>
              <w:left w:type="dxa" w:w="100"/>
              <w:bottom w:type="dxa" w:w="80"/>
              <w:right w:type="dxa" w:w="100"/>
            </w:tcMar>
            <w:vAlign w:val="center"/>
          </w:tcPr>
          <w:p>
            <w:r>
              <w:rPr>
                <w:b w:val="false"/>
                <w:bCs w:val="false"/>
                <w:sz w:val="20"/>
                <w:szCs w:val="20"/>
              </w:rPr>
              <w:t xml:space="preserve">Amortir les magnitudes bruitées (Chopra-Ziemba)</w:t>
            </w:r>
          </w:p>
        </w:tc>
      </w:tr>
      <w:tr>
        <w:tc>
          <w:tcPr>
            <w:tcW w:type="dxa" w:w="2100"/>
            <w:tcMar>
              <w:top w:type="dxa" w:w="80"/>
              <w:left w:type="dxa" w:w="100"/>
              <w:bottom w:type="dxa" w:w="80"/>
              <w:right w:type="dxa" w:w="100"/>
            </w:tcMar>
            <w:vAlign w:val="center"/>
          </w:tcPr>
          <w:p>
            <w:r>
              <w:rPr>
                <w:b w:val="false"/>
                <w:bCs w:val="false"/>
                <w:sz w:val="20"/>
                <w:szCs w:val="20"/>
              </w:rPr>
              <w:t xml:space="preserve">rf_signal_rank</w:t>
            </w:r>
          </w:p>
        </w:tc>
        <w:tc>
          <w:tcPr>
            <w:tcW w:type="dxa" w:w="3400"/>
            <w:tcMar>
              <w:top w:type="dxa" w:w="80"/>
              <w:left w:type="dxa" w:w="100"/>
              <w:bottom w:type="dxa" w:w="80"/>
              <w:right w:type="dxa" w:w="100"/>
            </w:tcMar>
            <w:vAlign w:val="center"/>
          </w:tcPr>
          <w:p>
            <w:r>
              <w:rPr>
                <w:b w:val="false"/>
                <w:bCs w:val="false"/>
                <w:sz w:val="20"/>
                <w:szCs w:val="20"/>
              </w:rPr>
              <w:t xml:space="preserve">Ne garder que l'ordre transversal du modèle</w:t>
            </w:r>
          </w:p>
        </w:tc>
        <w:tc>
          <w:tcPr>
            <w:tcW w:type="dxa" w:w="3500"/>
            <w:tcMar>
              <w:top w:type="dxa" w:w="80"/>
              <w:left w:type="dxa" w:w="100"/>
              <w:bottom w:type="dxa" w:w="80"/>
              <w:right w:type="dxa" w:w="100"/>
            </w:tcMar>
            <w:vAlign w:val="center"/>
          </w:tcPr>
          <w:p>
            <w:r>
              <w:rPr>
                <w:b w:val="false"/>
                <w:bCs w:val="false"/>
                <w:sz w:val="20"/>
                <w:szCs w:val="20"/>
              </w:rPr>
              <w:t xml:space="preserve">Se défier entièrement des magnitudes</w:t>
            </w:r>
          </w:p>
        </w:tc>
      </w:tr>
      <w:tr>
        <w:tc>
          <w:tcPr>
            <w:tcW w:type="dxa" w:w="2100"/>
            <w:tcMar>
              <w:top w:type="dxa" w:w="80"/>
              <w:left w:type="dxa" w:w="100"/>
              <w:bottom w:type="dxa" w:w="80"/>
              <w:right w:type="dxa" w:w="100"/>
            </w:tcMar>
            <w:vAlign w:val="center"/>
          </w:tcPr>
          <w:p>
            <w:r>
              <w:rPr>
                <w:b w:val="false"/>
                <w:bCs w:val="false"/>
                <w:sz w:val="20"/>
                <w:szCs w:val="20"/>
              </w:rPr>
              <w:t xml:space="preserve">rf_signal_cost_dcc</w:t>
            </w:r>
          </w:p>
        </w:tc>
        <w:tc>
          <w:tcPr>
            <w:tcW w:type="dxa" w:w="3400"/>
            <w:tcMar>
              <w:top w:type="dxa" w:w="80"/>
              <w:left w:type="dxa" w:w="100"/>
              <w:bottom w:type="dxa" w:w="80"/>
              <w:right w:type="dxa" w:w="100"/>
            </w:tcMar>
            <w:vAlign w:val="center"/>
          </w:tcPr>
          <w:p>
            <w:r>
              <w:rPr>
                <w:b w:val="false"/>
                <w:bCs w:val="false"/>
                <w:sz w:val="20"/>
                <w:szCs w:val="20"/>
              </w:rPr>
              <w:t xml:space="preserve">Pénalité de rotation + covariance DCC-GARCH</w:t>
            </w:r>
          </w:p>
        </w:tc>
        <w:tc>
          <w:tcPr>
            <w:tcW w:type="dxa" w:w="3500"/>
            <w:tcMar>
              <w:top w:type="dxa" w:w="80"/>
              <w:left w:type="dxa" w:w="100"/>
              <w:bottom w:type="dxa" w:w="80"/>
              <w:right w:type="dxa" w:w="100"/>
            </w:tcMar>
            <w:vAlign w:val="center"/>
          </w:tcPr>
          <w:p>
            <w:r>
              <w:rPr>
                <w:b w:val="false"/>
                <w:bCs w:val="false"/>
                <w:sz w:val="20"/>
                <w:szCs w:val="20"/>
              </w:rPr>
              <w:t xml:space="preserve">Meilleur μ + meilleure covariance (report 4B)</w:t>
            </w:r>
          </w:p>
        </w:tc>
      </w:tr>
      <w:tr>
        <w:tc>
          <w:tcPr>
            <w:tcW w:type="dxa" w:w="2100"/>
            <w:tcMar>
              <w:top w:type="dxa" w:w="80"/>
              <w:left w:type="dxa" w:w="100"/>
              <w:bottom w:type="dxa" w:w="80"/>
              <w:right w:type="dxa" w:w="100"/>
            </w:tcMar>
            <w:vAlign w:val="center"/>
          </w:tcPr>
          <w:p>
            <w:r>
              <w:rPr>
                <w:b w:val="false"/>
                <w:bCs w:val="false"/>
                <w:sz w:val="20"/>
                <w:szCs w:val="20"/>
              </w:rPr>
              <w:t xml:space="preserve">xgb_signal_cost</w:t>
            </w:r>
          </w:p>
        </w:tc>
        <w:tc>
          <w:tcPr>
            <w:tcW w:type="dxa" w:w="3400"/>
            <w:tcMar>
              <w:top w:type="dxa" w:w="80"/>
              <w:left w:type="dxa" w:w="100"/>
              <w:bottom w:type="dxa" w:w="80"/>
              <w:right w:type="dxa" w:w="100"/>
            </w:tcMar>
            <w:vAlign w:val="center"/>
          </w:tcPr>
          <w:p>
            <w:r>
              <w:rPr>
                <w:b w:val="false"/>
                <w:bCs w:val="false"/>
                <w:sz w:val="20"/>
                <w:szCs w:val="20"/>
              </w:rPr>
              <w:t xml:space="preserve">Pénalité sur le pire sur-négociateur de la 4B</w:t>
            </w:r>
          </w:p>
        </w:tc>
        <w:tc>
          <w:tcPr>
            <w:tcW w:type="dxa" w:w="3500"/>
            <w:tcMar>
              <w:top w:type="dxa" w:w="80"/>
              <w:left w:type="dxa" w:w="100"/>
              <w:bottom w:type="dxa" w:w="80"/>
              <w:right w:type="dxa" w:w="100"/>
            </w:tcMar>
            <w:vAlign w:val="center"/>
          </w:tcPr>
          <w:p>
            <w:r>
              <w:rPr>
                <w:b w:val="false"/>
                <w:bCs w:val="false"/>
                <w:sz w:val="20"/>
                <w:szCs w:val="20"/>
              </w:rPr>
              <w:t xml:space="preserve">La correction sauve-t-elle le cas pathologique ?</w:t>
            </w:r>
          </w:p>
        </w:tc>
      </w:tr>
    </w:tbl>
    <w:p>
      <w:pPr>
        <w:spacing w:after="160"/>
      </w:pPr>
      <w:r>
        <w:rPr>
          <w:b/>
          <w:bCs/>
        </w:rPr>
        <w:t xml:space="preserve">Note d'ingénierie (P4). </w:t>
      </w:r>
      <w:r>
        <w:t xml:space="preserve">La pénalité de rotation exige que la stratégie connaisse le portefeuille déjà détenu. Le moteur injecte cet état (</w:t>
      </w:r>
      <w:r>
        <w:rPr>
          <w:rFonts w:ascii="Consolas" w:cs="Consolas" w:eastAsia="Consolas" w:hAnsi="Consolas"/>
          <w:color w:val="9C2FA6"/>
          <w:sz w:val="20"/>
          <w:szCs w:val="20"/>
        </w:rPr>
        <w:t xml:space="preserve">current_weights</w:t>
      </w:r>
      <w:r>
        <w:t xml:space="preserve">) uniquement pour les stratégies qui le demandent, sous forme d'une ligne datée de τ, satisfaisant </w:t>
      </w:r>
      <w:r>
        <w:rPr>
          <w:b/>
          <w:bCs/>
        </w:rPr>
        <w:t xml:space="preserve">la même invariance «index ≤ τ»</w:t>
      </w:r>
      <w:r>
        <w:t xml:space="preserve"> que toute autre trame de features — vérifiée par la même règle du test anti-anticipation, et non exemptée. L'état du portefeuille est une fonction des décisions passées et des rendements strictement antérieurs à τ : aucune information future n'y entre. Le test de corruption du futur est ré-exécuté pour ce nouveau canal.</w:t>
      </w:r>
    </w:p>
    <w:p>
      <w:pPr>
        <w:pStyle w:val="Heading1"/>
        <w:spacing w:after="120" w:before="240"/>
      </w:pPr>
      <w:r>
        <w:t xml:space="preserve">3. Résultats réels sur données Gold (full_2021)</w:t>
      </w:r>
    </w:p>
    <w:p>
      <w:pPr>
        <w:spacing w:after="160"/>
      </w:pPr>
      <w:r>
        <w:t xml:space="preserve">Exécution complète des 14 stratégies via </w:t>
      </w:r>
      <w:r>
        <w:rPr>
          <w:rFonts w:ascii="Consolas" w:cs="Consolas" w:eastAsia="Consolas" w:hAnsi="Consolas"/>
          <w:color w:val="9C2FA6"/>
          <w:sz w:val="20"/>
          <w:szCs w:val="20"/>
        </w:rPr>
        <w:t xml:space="preserve">python src/run_phase4c.py</w:t>
      </w:r>
      <w:r>
        <w:t xml:space="preserve"> (étape DVC </w:t>
      </w:r>
      <w:r>
        <w:rPr>
          <w:rFonts w:ascii="Consolas" w:cs="Consolas" w:eastAsia="Consolas" w:hAnsi="Consolas"/>
          <w:color w:val="9C2FA6"/>
          <w:sz w:val="20"/>
          <w:szCs w:val="20"/>
        </w:rPr>
        <w:t xml:space="preserve">phase4c_compare</w:t>
      </w:r>
      <w:r>
        <w:t xml:space="preserve">), un seul pool de tirages DSR par univers, fenêtre hors-échantillon 2022-07-01 → 2026-07-20. Haie de la Phase 4 sur </w:t>
      </w:r>
      <w:r>
        <w:rPr>
          <w:rFonts w:ascii="Consolas" w:cs="Consolas" w:eastAsia="Consolas" w:hAnsi="Consolas"/>
          <w:color w:val="9C2FA6"/>
          <w:sz w:val="20"/>
          <w:szCs w:val="20"/>
        </w:rPr>
        <w:t xml:space="preserve">full_2021</w:t>
      </w:r>
      <w:r>
        <w:t xml:space="preserve"> : </w:t>
      </w:r>
      <w:r>
        <w:rPr>
          <w:rFonts w:ascii="Consolas" w:cs="Consolas" w:eastAsia="Consolas" w:hAnsi="Consolas"/>
          <w:color w:val="9C2FA6"/>
          <w:sz w:val="20"/>
          <w:szCs w:val="20"/>
        </w:rPr>
        <w:t xml:space="preserve">regime_conditional</w:t>
      </w:r>
      <w:r>
        <w:t xml:space="preserve"> à </w:t>
      </w:r>
      <w:r>
        <w:rPr>
          <w:b/>
          <w:bCs/>
        </w:rPr>
        <w:t xml:space="preserve">1,1215</w:t>
      </w:r>
      <w:r>
        <w:t xml:space="preserve"> net.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700"/>
      </w:tblGrid>
      <w:tr>
        <w:trPr>
          <w:tblHeader/>
        </w:trPr>
        <w:tc>
          <w:tcPr>
            <w:tcW w:type="dxa" w:w="3600"/>
            <w:shd w:fill="DCE6F1" w:val="clear"/>
            <w:tcMar>
              <w:top w:type="dxa" w:w="80"/>
              <w:left w:type="dxa" w:w="100"/>
              <w:bottom w:type="dxa" w:w="80"/>
              <w:right w:type="dxa" w:w="100"/>
            </w:tcMar>
            <w:vAlign w:val="center"/>
          </w:tcPr>
          <w:p>
            <w:r>
              <w:rPr>
                <w:b/>
                <w:bCs/>
                <w:sz w:val="20"/>
                <w:szCs w:val="20"/>
              </w:rPr>
              <w:t xml:space="preserve">Stratégie</w:t>
            </w:r>
          </w:p>
        </w:tc>
        <w:tc>
          <w:tcPr>
            <w:tcW w:type="dxa" w:w="1900"/>
            <w:shd w:fill="DCE6F1" w:val="clear"/>
            <w:tcMar>
              <w:top w:type="dxa" w:w="80"/>
              <w:left w:type="dxa" w:w="100"/>
              <w:bottom w:type="dxa" w:w="80"/>
              <w:right w:type="dxa" w:w="100"/>
            </w:tcMar>
            <w:vAlign w:val="center"/>
          </w:tcPr>
          <w:p>
            <w:r>
              <w:rPr>
                <w:b/>
                <w:bCs/>
                <w:sz w:val="20"/>
                <w:szCs w:val="20"/>
              </w:rPr>
              <w:t xml:space="preserve">Sharpe brut</w:t>
            </w:r>
          </w:p>
        </w:tc>
        <w:tc>
          <w:tcPr>
            <w:tcW w:type="dxa" w:w="1900"/>
            <w:shd w:fill="DCE6F1" w:val="clear"/>
            <w:tcMar>
              <w:top w:type="dxa" w:w="80"/>
              <w:left w:type="dxa" w:w="100"/>
              <w:bottom w:type="dxa" w:w="80"/>
              <w:right w:type="dxa" w:w="100"/>
            </w:tcMar>
            <w:vAlign w:val="center"/>
          </w:tcPr>
          <w:p>
            <w:r>
              <w:rPr>
                <w:b/>
                <w:bCs/>
                <w:sz w:val="20"/>
                <w:szCs w:val="20"/>
              </w:rPr>
              <w:t xml:space="preserve">Sharpe net</w:t>
            </w:r>
          </w:p>
        </w:tc>
        <w:tc>
          <w:tcPr>
            <w:tcW w:type="dxa" w:w="1700"/>
            <w:shd w:fill="DCE6F1" w:val="clear"/>
            <w:tcMar>
              <w:top w:type="dxa" w:w="80"/>
              <w:left w:type="dxa" w:w="100"/>
              <w:bottom w:type="dxa" w:w="80"/>
              <w:right w:type="dxa" w:w="100"/>
            </w:tcMar>
            <w:vAlign w:val="center"/>
          </w:tcPr>
          <w:p>
            <w:r>
              <w:rPr>
                <w:b/>
                <w:bCs/>
                <w:sz w:val="20"/>
                <w:szCs w:val="20"/>
              </w:rPr>
              <w:t xml:space="preserve">Rotation</w:t>
            </w:r>
          </w:p>
        </w:tc>
      </w:tr>
      <w:tr>
        <w:tc>
          <w:tcPr>
            <w:tcW w:type="dxa" w:w="3600"/>
            <w:tcMar>
              <w:top w:type="dxa" w:w="80"/>
              <w:left w:type="dxa" w:w="100"/>
              <w:bottom w:type="dxa" w:w="80"/>
              <w:right w:type="dxa" w:w="100"/>
            </w:tcMar>
            <w:vAlign w:val="center"/>
          </w:tcPr>
          <w:p>
            <w:r>
              <w:rPr>
                <w:b w:val="false"/>
                <w:bCs w:val="false"/>
                <w:sz w:val="20"/>
                <w:szCs w:val="20"/>
              </w:rPr>
              <w:t xml:space="preserve">regime_conditional (haie)</w:t>
            </w:r>
          </w:p>
        </w:tc>
        <w:tc>
          <w:tcPr>
            <w:tcW w:type="dxa" w:w="1900"/>
            <w:tcMar>
              <w:top w:type="dxa" w:w="80"/>
              <w:left w:type="dxa" w:w="100"/>
              <w:bottom w:type="dxa" w:w="80"/>
              <w:right w:type="dxa" w:w="100"/>
            </w:tcMar>
            <w:vAlign w:val="center"/>
          </w:tcPr>
          <w:p>
            <w:r>
              <w:rPr>
                <w:b w:val="false"/>
                <w:bCs w:val="false"/>
                <w:sz w:val="20"/>
                <w:szCs w:val="20"/>
              </w:rPr>
              <w:t xml:space="preserve">1,204</w:t>
            </w:r>
          </w:p>
        </w:tc>
        <w:tc>
          <w:tcPr>
            <w:tcW w:type="dxa" w:w="1900"/>
            <w:tcMar>
              <w:top w:type="dxa" w:w="80"/>
              <w:left w:type="dxa" w:w="100"/>
              <w:bottom w:type="dxa" w:w="80"/>
              <w:right w:type="dxa" w:w="100"/>
            </w:tcMar>
            <w:vAlign w:val="center"/>
          </w:tcPr>
          <w:p>
            <w:r>
              <w:rPr>
                <w:b w:val="false"/>
                <w:bCs w:val="false"/>
                <w:sz w:val="20"/>
                <w:szCs w:val="20"/>
              </w:rPr>
              <w:t xml:space="preserve">1,1215</w:t>
            </w:r>
          </w:p>
        </w:tc>
        <w:tc>
          <w:tcPr>
            <w:tcW w:type="dxa" w:w="1700"/>
            <w:tcMar>
              <w:top w:type="dxa" w:w="80"/>
              <w:left w:type="dxa" w:w="100"/>
              <w:bottom w:type="dxa" w:w="80"/>
              <w:right w:type="dxa" w:w="100"/>
            </w:tcMar>
            <w:vAlign w:val="center"/>
          </w:tcPr>
          <w:p>
            <w:r>
              <w:rPr>
                <w:b w:val="false"/>
                <w:bCs w:val="false"/>
                <w:sz w:val="20"/>
                <w:szCs w:val="20"/>
              </w:rPr>
              <w:t xml:space="preserve">0,327</w:t>
            </w:r>
          </w:p>
        </w:tc>
      </w:tr>
      <w:tr>
        <w:tc>
          <w:tcPr>
            <w:tcW w:type="dxa" w:w="3600"/>
            <w:shd w:fill="D9EAD3" w:val="clear"/>
            <w:tcMar>
              <w:top w:type="dxa" w:w="80"/>
              <w:left w:type="dxa" w:w="100"/>
              <w:bottom w:type="dxa" w:w="80"/>
              <w:right w:type="dxa" w:w="100"/>
            </w:tcMar>
            <w:vAlign w:val="center"/>
          </w:tcPr>
          <w:p>
            <w:r>
              <w:rPr>
                <w:b w:val="false"/>
                <w:bCs w:val="false"/>
                <w:sz w:val="20"/>
                <w:szCs w:val="20"/>
              </w:rPr>
              <w:t xml:space="preserve">rf_signal_shrunk  ★</w:t>
            </w:r>
          </w:p>
        </w:tc>
        <w:tc>
          <w:tcPr>
            <w:tcW w:type="dxa" w:w="1900"/>
            <w:shd w:fill="D9EAD3" w:val="clear"/>
            <w:tcMar>
              <w:top w:type="dxa" w:w="80"/>
              <w:left w:type="dxa" w:w="100"/>
              <w:bottom w:type="dxa" w:w="80"/>
              <w:right w:type="dxa" w:w="100"/>
            </w:tcMar>
            <w:vAlign w:val="center"/>
          </w:tcPr>
          <w:p>
            <w:r>
              <w:rPr>
                <w:b w:val="false"/>
                <w:bCs w:val="false"/>
                <w:sz w:val="20"/>
                <w:szCs w:val="20"/>
              </w:rPr>
              <w:t xml:space="preserve">1,223</w:t>
            </w:r>
          </w:p>
        </w:tc>
        <w:tc>
          <w:tcPr>
            <w:tcW w:type="dxa" w:w="1900"/>
            <w:shd w:fill="D9EAD3" w:val="clear"/>
            <w:tcMar>
              <w:top w:type="dxa" w:w="80"/>
              <w:left w:type="dxa" w:w="100"/>
              <w:bottom w:type="dxa" w:w="80"/>
              <w:right w:type="dxa" w:w="100"/>
            </w:tcMar>
            <w:vAlign w:val="center"/>
          </w:tcPr>
          <w:p>
            <w:r>
              <w:rPr>
                <w:b w:val="false"/>
                <w:bCs w:val="false"/>
                <w:sz w:val="20"/>
                <w:szCs w:val="20"/>
              </w:rPr>
              <w:t xml:space="preserve">1,117</w:t>
            </w:r>
          </w:p>
        </w:tc>
        <w:tc>
          <w:tcPr>
            <w:tcW w:type="dxa" w:w="1700"/>
            <w:shd w:fill="D9EAD3" w:val="clear"/>
            <w:tcMar>
              <w:top w:type="dxa" w:w="80"/>
              <w:left w:type="dxa" w:w="100"/>
              <w:bottom w:type="dxa" w:w="80"/>
              <w:right w:type="dxa" w:w="100"/>
            </w:tcMar>
            <w:vAlign w:val="center"/>
          </w:tcPr>
          <w:p>
            <w:r>
              <w:rPr>
                <w:b w:val="false"/>
                <w:bCs w:val="false"/>
                <w:sz w:val="20"/>
                <w:szCs w:val="20"/>
              </w:rPr>
              <w:t xml:space="preserve">0,488</w:t>
            </w:r>
          </w:p>
        </w:tc>
      </w:tr>
      <w:tr>
        <w:tc>
          <w:tcPr>
            <w:tcW w:type="dxa" w:w="3600"/>
            <w:tcMar>
              <w:top w:type="dxa" w:w="80"/>
              <w:left w:type="dxa" w:w="100"/>
              <w:bottom w:type="dxa" w:w="80"/>
              <w:right w:type="dxa" w:w="100"/>
            </w:tcMar>
            <w:vAlign w:val="center"/>
          </w:tcPr>
          <w:p>
            <w:r>
              <w:rPr>
                <w:b w:val="false"/>
                <w:bCs w:val="false"/>
                <w:sz w:val="20"/>
                <w:szCs w:val="20"/>
              </w:rPr>
              <w:t xml:space="preserve">rf_signal (4B, inchangée)</w:t>
            </w:r>
          </w:p>
        </w:tc>
        <w:tc>
          <w:tcPr>
            <w:tcW w:type="dxa" w:w="1900"/>
            <w:tcMar>
              <w:top w:type="dxa" w:w="80"/>
              <w:left w:type="dxa" w:w="100"/>
              <w:bottom w:type="dxa" w:w="80"/>
              <w:right w:type="dxa" w:w="100"/>
            </w:tcMar>
            <w:vAlign w:val="center"/>
          </w:tcPr>
          <w:p>
            <w:r>
              <w:rPr>
                <w:b w:val="false"/>
                <w:bCs w:val="false"/>
                <w:sz w:val="20"/>
                <w:szCs w:val="20"/>
              </w:rPr>
              <w:t xml:space="preserve">1,240</w:t>
            </w:r>
          </w:p>
        </w:tc>
        <w:tc>
          <w:tcPr>
            <w:tcW w:type="dxa" w:w="1900"/>
            <w:tcMar>
              <w:top w:type="dxa" w:w="80"/>
              <w:left w:type="dxa" w:w="100"/>
              <w:bottom w:type="dxa" w:w="80"/>
              <w:right w:type="dxa" w:w="100"/>
            </w:tcMar>
            <w:vAlign w:val="center"/>
          </w:tcPr>
          <w:p>
            <w:r>
              <w:rPr>
                <w:b w:val="false"/>
                <w:bCs w:val="false"/>
                <w:sz w:val="20"/>
                <w:szCs w:val="20"/>
              </w:rPr>
              <w:t xml:space="preserve">1,062</w:t>
            </w:r>
          </w:p>
        </w:tc>
        <w:tc>
          <w:tcPr>
            <w:tcW w:type="dxa" w:w="1700"/>
            <w:tcMar>
              <w:top w:type="dxa" w:w="80"/>
              <w:left w:type="dxa" w:w="100"/>
              <w:bottom w:type="dxa" w:w="80"/>
              <w:right w:type="dxa" w:w="100"/>
            </w:tcMar>
            <w:vAlign w:val="center"/>
          </w:tcPr>
          <w:p>
            <w:r>
              <w:rPr>
                <w:b w:val="false"/>
                <w:bCs w:val="false"/>
                <w:sz w:val="20"/>
                <w:szCs w:val="20"/>
              </w:rPr>
              <w:t xml:space="preserve">0,885</w:t>
            </w:r>
          </w:p>
        </w:tc>
      </w:tr>
      <w:tr>
        <w:tc>
          <w:tcPr>
            <w:tcW w:type="dxa" w:w="3600"/>
            <w:tcMar>
              <w:top w:type="dxa" w:w="80"/>
              <w:left w:type="dxa" w:w="100"/>
              <w:bottom w:type="dxa" w:w="80"/>
              <w:right w:type="dxa" w:w="100"/>
            </w:tcMar>
            <w:vAlign w:val="center"/>
          </w:tcPr>
          <w:p>
            <w:r>
              <w:rPr>
                <w:b w:val="false"/>
                <w:bCs w:val="false"/>
                <w:sz w:val="20"/>
                <w:szCs w:val="20"/>
              </w:rPr>
              <w:t xml:space="preserve">dcc_garch</w:t>
            </w:r>
          </w:p>
        </w:tc>
        <w:tc>
          <w:tcPr>
            <w:tcW w:type="dxa" w:w="1900"/>
            <w:tcMar>
              <w:top w:type="dxa" w:w="80"/>
              <w:left w:type="dxa" w:w="100"/>
              <w:bottom w:type="dxa" w:w="80"/>
              <w:right w:type="dxa" w:w="100"/>
            </w:tcMar>
            <w:vAlign w:val="center"/>
          </w:tcPr>
          <w:p>
            <w:r>
              <w:rPr>
                <w:b w:val="false"/>
                <w:bCs w:val="false"/>
                <w:sz w:val="20"/>
                <w:szCs w:val="20"/>
              </w:rPr>
              <w:t xml:space="preserve">1,144</w:t>
            </w:r>
          </w:p>
        </w:tc>
        <w:tc>
          <w:tcPr>
            <w:tcW w:type="dxa" w:w="1900"/>
            <w:tcMar>
              <w:top w:type="dxa" w:w="80"/>
              <w:left w:type="dxa" w:w="100"/>
              <w:bottom w:type="dxa" w:w="80"/>
              <w:right w:type="dxa" w:w="100"/>
            </w:tcMar>
            <w:vAlign w:val="center"/>
          </w:tcPr>
          <w:p>
            <w:r>
              <w:rPr>
                <w:b w:val="false"/>
                <w:bCs w:val="false"/>
                <w:sz w:val="20"/>
                <w:szCs w:val="20"/>
              </w:rPr>
              <w:t xml:space="preserve">1,046</w:t>
            </w:r>
          </w:p>
        </w:tc>
        <w:tc>
          <w:tcPr>
            <w:tcW w:type="dxa" w:w="1700"/>
            <w:tcMar>
              <w:top w:type="dxa" w:w="80"/>
              <w:left w:type="dxa" w:w="100"/>
              <w:bottom w:type="dxa" w:w="80"/>
              <w:right w:type="dxa" w:w="100"/>
            </w:tcMar>
            <w:vAlign w:val="center"/>
          </w:tcPr>
          <w:p>
            <w:r>
              <w:rPr>
                <w:b w:val="false"/>
                <w:bCs w:val="false"/>
                <w:sz w:val="20"/>
                <w:szCs w:val="20"/>
              </w:rPr>
              <w:t xml:space="preserve">0,353</w:t>
            </w:r>
          </w:p>
        </w:tc>
      </w:tr>
      <w:tr>
        <w:tc>
          <w:tcPr>
            <w:tcW w:type="dxa" w:w="3600"/>
            <w:tcMar>
              <w:top w:type="dxa" w:w="80"/>
              <w:left w:type="dxa" w:w="100"/>
              <w:bottom w:type="dxa" w:w="80"/>
              <w:right w:type="dxa" w:w="100"/>
            </w:tcMar>
            <w:vAlign w:val="center"/>
          </w:tcPr>
          <w:p>
            <w:r>
              <w:rPr>
                <w:b w:val="false"/>
                <w:bCs w:val="false"/>
                <w:sz w:val="20"/>
                <w:szCs w:val="20"/>
              </w:rPr>
              <w:t xml:space="preserve">min_variance_ewma</w:t>
            </w:r>
          </w:p>
        </w:tc>
        <w:tc>
          <w:tcPr>
            <w:tcW w:type="dxa" w:w="1900"/>
            <w:tcMar>
              <w:top w:type="dxa" w:w="80"/>
              <w:left w:type="dxa" w:w="100"/>
              <w:bottom w:type="dxa" w:w="80"/>
              <w:right w:type="dxa" w:w="100"/>
            </w:tcMar>
            <w:vAlign w:val="center"/>
          </w:tcPr>
          <w:p>
            <w:r>
              <w:rPr>
                <w:b w:val="false"/>
                <w:bCs w:val="false"/>
                <w:sz w:val="20"/>
                <w:szCs w:val="20"/>
              </w:rPr>
              <w:t xml:space="preserve">1,087</w:t>
            </w:r>
          </w:p>
        </w:tc>
        <w:tc>
          <w:tcPr>
            <w:tcW w:type="dxa" w:w="1900"/>
            <w:tcMar>
              <w:top w:type="dxa" w:w="80"/>
              <w:left w:type="dxa" w:w="100"/>
              <w:bottom w:type="dxa" w:w="80"/>
              <w:right w:type="dxa" w:w="100"/>
            </w:tcMar>
            <w:vAlign w:val="center"/>
          </w:tcPr>
          <w:p>
            <w:r>
              <w:rPr>
                <w:b w:val="false"/>
                <w:bCs w:val="false"/>
                <w:sz w:val="20"/>
                <w:szCs w:val="20"/>
              </w:rPr>
              <w:t xml:space="preserve">1,041</w:t>
            </w:r>
          </w:p>
        </w:tc>
        <w:tc>
          <w:tcPr>
            <w:tcW w:type="dxa" w:w="1700"/>
            <w:tcMar>
              <w:top w:type="dxa" w:w="80"/>
              <w:left w:type="dxa" w:w="100"/>
              <w:bottom w:type="dxa" w:w="80"/>
              <w:right w:type="dxa" w:w="100"/>
            </w:tcMar>
            <w:vAlign w:val="center"/>
          </w:tcPr>
          <w:p>
            <w:r>
              <w:rPr>
                <w:b w:val="false"/>
                <w:bCs w:val="false"/>
                <w:sz w:val="20"/>
                <w:szCs w:val="20"/>
              </w:rPr>
              <w:t xml:space="preserve">0,177</w:t>
            </w:r>
          </w:p>
        </w:tc>
      </w:tr>
      <w:tr>
        <w:tc>
          <w:tcPr>
            <w:tcW w:type="dxa" w:w="3600"/>
            <w:tcMar>
              <w:top w:type="dxa" w:w="80"/>
              <w:left w:type="dxa" w:w="100"/>
              <w:bottom w:type="dxa" w:w="80"/>
              <w:right w:type="dxa" w:w="100"/>
            </w:tcMar>
            <w:vAlign w:val="center"/>
          </w:tcPr>
          <w:p>
            <w:r>
              <w:rPr>
                <w:b w:val="false"/>
                <w:bCs w:val="false"/>
                <w:sz w:val="20"/>
                <w:szCs w:val="20"/>
              </w:rPr>
              <w:t xml:space="preserve">rf_signal_rank  ★</w:t>
            </w:r>
          </w:p>
        </w:tc>
        <w:tc>
          <w:tcPr>
            <w:tcW w:type="dxa" w:w="1900"/>
            <w:tcMar>
              <w:top w:type="dxa" w:w="80"/>
              <w:left w:type="dxa" w:w="100"/>
              <w:bottom w:type="dxa" w:w="80"/>
              <w:right w:type="dxa" w:w="100"/>
            </w:tcMar>
            <w:vAlign w:val="center"/>
          </w:tcPr>
          <w:p>
            <w:r>
              <w:rPr>
                <w:b w:val="false"/>
                <w:bCs w:val="false"/>
                <w:sz w:val="20"/>
                <w:szCs w:val="20"/>
              </w:rPr>
              <w:t xml:space="preserve">1,180</w:t>
            </w:r>
          </w:p>
        </w:tc>
        <w:tc>
          <w:tcPr>
            <w:tcW w:type="dxa" w:w="1900"/>
            <w:tcMar>
              <w:top w:type="dxa" w:w="80"/>
              <w:left w:type="dxa" w:w="100"/>
              <w:bottom w:type="dxa" w:w="80"/>
              <w:right w:type="dxa" w:w="100"/>
            </w:tcMar>
            <w:vAlign w:val="center"/>
          </w:tcPr>
          <w:p>
            <w:r>
              <w:rPr>
                <w:b w:val="false"/>
                <w:bCs w:val="false"/>
                <w:sz w:val="20"/>
                <w:szCs w:val="20"/>
              </w:rPr>
              <w:t xml:space="preserve">0,994</w:t>
            </w:r>
          </w:p>
        </w:tc>
        <w:tc>
          <w:tcPr>
            <w:tcW w:type="dxa" w:w="1700"/>
            <w:tcMar>
              <w:top w:type="dxa" w:w="80"/>
              <w:left w:type="dxa" w:w="100"/>
              <w:bottom w:type="dxa" w:w="80"/>
              <w:right w:type="dxa" w:w="100"/>
            </w:tcMar>
            <w:vAlign w:val="center"/>
          </w:tcPr>
          <w:p>
            <w:r>
              <w:rPr>
                <w:b w:val="false"/>
                <w:bCs w:val="false"/>
                <w:sz w:val="20"/>
                <w:szCs w:val="20"/>
              </w:rPr>
              <w:t xml:space="preserve">0,977</w:t>
            </w:r>
          </w:p>
        </w:tc>
      </w:tr>
      <w:tr>
        <w:tc>
          <w:tcPr>
            <w:tcW w:type="dxa" w:w="3600"/>
            <w:tcMar>
              <w:top w:type="dxa" w:w="80"/>
              <w:left w:type="dxa" w:w="100"/>
              <w:bottom w:type="dxa" w:w="80"/>
              <w:right w:type="dxa" w:w="100"/>
            </w:tcMar>
            <w:vAlign w:val="center"/>
          </w:tcPr>
          <w:p>
            <w:r>
              <w:rPr>
                <w:b w:val="false"/>
                <w:bCs w:val="false"/>
                <w:sz w:val="20"/>
                <w:szCs w:val="20"/>
              </w:rPr>
              <w:t xml:space="preserve">equal_weight</w:t>
            </w:r>
          </w:p>
        </w:tc>
        <w:tc>
          <w:tcPr>
            <w:tcW w:type="dxa" w:w="1900"/>
            <w:tcMar>
              <w:top w:type="dxa" w:w="80"/>
              <w:left w:type="dxa" w:w="100"/>
              <w:bottom w:type="dxa" w:w="80"/>
              <w:right w:type="dxa" w:w="100"/>
            </w:tcMar>
            <w:vAlign w:val="center"/>
          </w:tcPr>
          <w:p>
            <w:r>
              <w:rPr>
                <w:b w:val="false"/>
                <w:bCs w:val="false"/>
                <w:sz w:val="20"/>
                <w:szCs w:val="20"/>
              </w:rPr>
              <w:t xml:space="preserve">0,988</w:t>
            </w:r>
          </w:p>
        </w:tc>
        <w:tc>
          <w:tcPr>
            <w:tcW w:type="dxa" w:w="1900"/>
            <w:tcMar>
              <w:top w:type="dxa" w:w="80"/>
              <w:left w:type="dxa" w:w="100"/>
              <w:bottom w:type="dxa" w:w="80"/>
              <w:right w:type="dxa" w:w="100"/>
            </w:tcMar>
            <w:vAlign w:val="center"/>
          </w:tcPr>
          <w:p>
            <w:r>
              <w:rPr>
                <w:b w:val="false"/>
                <w:bCs w:val="false"/>
                <w:sz w:val="20"/>
                <w:szCs w:val="20"/>
              </w:rPr>
              <w:t xml:space="preserve">0,975</w:t>
            </w:r>
          </w:p>
        </w:tc>
        <w:tc>
          <w:tcPr>
            <w:tcW w:type="dxa" w:w="1700"/>
            <w:tcMar>
              <w:top w:type="dxa" w:w="80"/>
              <w:left w:type="dxa" w:w="100"/>
              <w:bottom w:type="dxa" w:w="80"/>
              <w:right w:type="dxa" w:w="100"/>
            </w:tcMar>
            <w:vAlign w:val="center"/>
          </w:tcPr>
          <w:p>
            <w:r>
              <w:rPr>
                <w:b w:val="false"/>
                <w:bCs w:val="false"/>
                <w:sz w:val="20"/>
                <w:szCs w:val="20"/>
              </w:rPr>
              <w:t xml:space="preserve">0,053</w:t>
            </w:r>
          </w:p>
        </w:tc>
      </w:tr>
      <w:tr>
        <w:tc>
          <w:tcPr>
            <w:tcW w:type="dxa" w:w="3600"/>
            <w:tcMar>
              <w:top w:type="dxa" w:w="80"/>
              <w:left w:type="dxa" w:w="100"/>
              <w:bottom w:type="dxa" w:w="80"/>
              <w:right w:type="dxa" w:w="100"/>
            </w:tcMar>
            <w:vAlign w:val="center"/>
          </w:tcPr>
          <w:p>
            <w:r>
              <w:rPr>
                <w:b w:val="false"/>
                <w:bCs w:val="false"/>
                <w:sz w:val="20"/>
                <w:szCs w:val="20"/>
              </w:rPr>
              <w:t xml:space="preserve">xgb_signal_cost  ★</w:t>
            </w:r>
          </w:p>
        </w:tc>
        <w:tc>
          <w:tcPr>
            <w:tcW w:type="dxa" w:w="1900"/>
            <w:tcMar>
              <w:top w:type="dxa" w:w="80"/>
              <w:left w:type="dxa" w:w="100"/>
              <w:bottom w:type="dxa" w:w="80"/>
              <w:right w:type="dxa" w:w="100"/>
            </w:tcMar>
            <w:vAlign w:val="center"/>
          </w:tcPr>
          <w:p>
            <w:r>
              <w:rPr>
                <w:b w:val="false"/>
                <w:bCs w:val="false"/>
                <w:sz w:val="20"/>
                <w:szCs w:val="20"/>
              </w:rPr>
              <w:t xml:space="preserve">0,986</w:t>
            </w:r>
          </w:p>
        </w:tc>
        <w:tc>
          <w:tcPr>
            <w:tcW w:type="dxa" w:w="1900"/>
            <w:tcMar>
              <w:top w:type="dxa" w:w="80"/>
              <w:left w:type="dxa" w:w="100"/>
              <w:bottom w:type="dxa" w:w="80"/>
              <w:right w:type="dxa" w:w="100"/>
            </w:tcMar>
            <w:vAlign w:val="center"/>
          </w:tcPr>
          <w:p>
            <w:r>
              <w:rPr>
                <w:b w:val="false"/>
                <w:bCs w:val="false"/>
                <w:sz w:val="20"/>
                <w:szCs w:val="20"/>
              </w:rPr>
              <w:t xml:space="preserve">0,863</w:t>
            </w:r>
          </w:p>
        </w:tc>
        <w:tc>
          <w:tcPr>
            <w:tcW w:type="dxa" w:w="1700"/>
            <w:tcMar>
              <w:top w:type="dxa" w:w="80"/>
              <w:left w:type="dxa" w:w="100"/>
              <w:bottom w:type="dxa" w:w="80"/>
              <w:right w:type="dxa" w:w="100"/>
            </w:tcMar>
            <w:vAlign w:val="center"/>
          </w:tcPr>
          <w:p>
            <w:r>
              <w:rPr>
                <w:b w:val="false"/>
                <w:bCs w:val="false"/>
                <w:sz w:val="20"/>
                <w:szCs w:val="20"/>
              </w:rPr>
              <w:t xml:space="preserve">0,606</w:t>
            </w:r>
          </w:p>
        </w:tc>
      </w:tr>
      <w:tr>
        <w:tc>
          <w:tcPr>
            <w:tcW w:type="dxa" w:w="3600"/>
            <w:tcMar>
              <w:top w:type="dxa" w:w="80"/>
              <w:left w:type="dxa" w:w="100"/>
              <w:bottom w:type="dxa" w:w="80"/>
              <w:right w:type="dxa" w:w="100"/>
            </w:tcMar>
            <w:vAlign w:val="center"/>
          </w:tcPr>
          <w:p>
            <w:r>
              <w:rPr>
                <w:b w:val="false"/>
                <w:bCs w:val="false"/>
                <w:sz w:val="20"/>
                <w:szCs w:val="20"/>
              </w:rPr>
              <w:t xml:space="preserve">xgb_signal (4B)</w:t>
            </w:r>
          </w:p>
        </w:tc>
        <w:tc>
          <w:tcPr>
            <w:tcW w:type="dxa" w:w="1900"/>
            <w:tcMar>
              <w:top w:type="dxa" w:w="80"/>
              <w:left w:type="dxa" w:w="100"/>
              <w:bottom w:type="dxa" w:w="80"/>
              <w:right w:type="dxa" w:w="100"/>
            </w:tcMar>
            <w:vAlign w:val="center"/>
          </w:tcPr>
          <w:p>
            <w:r>
              <w:rPr>
                <w:b w:val="false"/>
                <w:bCs w:val="false"/>
                <w:sz w:val="20"/>
                <w:szCs w:val="20"/>
              </w:rPr>
              <w:t xml:space="preserve">0,949</w:t>
            </w:r>
          </w:p>
        </w:tc>
        <w:tc>
          <w:tcPr>
            <w:tcW w:type="dxa" w:w="1900"/>
            <w:tcMar>
              <w:top w:type="dxa" w:w="80"/>
              <w:left w:type="dxa" w:w="100"/>
              <w:bottom w:type="dxa" w:w="80"/>
              <w:right w:type="dxa" w:w="100"/>
            </w:tcMar>
            <w:vAlign w:val="center"/>
          </w:tcPr>
          <w:p>
            <w:r>
              <w:rPr>
                <w:b w:val="false"/>
                <w:bCs w:val="false"/>
                <w:sz w:val="20"/>
                <w:szCs w:val="20"/>
              </w:rPr>
              <w:t xml:space="preserve">0,743</w:t>
            </w:r>
          </w:p>
        </w:tc>
        <w:tc>
          <w:tcPr>
            <w:tcW w:type="dxa" w:w="1700"/>
            <w:tcMar>
              <w:top w:type="dxa" w:w="80"/>
              <w:left w:type="dxa" w:w="100"/>
              <w:bottom w:type="dxa" w:w="80"/>
              <w:right w:type="dxa" w:w="100"/>
            </w:tcMar>
            <w:vAlign w:val="center"/>
          </w:tcPr>
          <w:p>
            <w:r>
              <w:rPr>
                <w:b w:val="false"/>
                <w:bCs w:val="false"/>
                <w:sz w:val="20"/>
                <w:szCs w:val="20"/>
              </w:rPr>
              <w:t xml:space="preserve">1,076</w:t>
            </w:r>
          </w:p>
        </w:tc>
      </w:tr>
      <w:tr>
        <w:tc>
          <w:tcPr>
            <w:tcW w:type="dxa" w:w="3600"/>
            <w:shd w:fill="FCE4D6" w:val="clear"/>
            <w:tcMar>
              <w:top w:type="dxa" w:w="80"/>
              <w:left w:type="dxa" w:w="100"/>
              <w:bottom w:type="dxa" w:w="80"/>
              <w:right w:type="dxa" w:w="100"/>
            </w:tcMar>
            <w:vAlign w:val="center"/>
          </w:tcPr>
          <w:p>
            <w:r>
              <w:rPr>
                <w:b w:val="false"/>
                <w:bCs w:val="false"/>
                <w:sz w:val="20"/>
                <w:szCs w:val="20"/>
              </w:rPr>
              <w:t xml:space="preserve">rf_signal_cost  ★</w:t>
            </w:r>
          </w:p>
        </w:tc>
        <w:tc>
          <w:tcPr>
            <w:tcW w:type="dxa" w:w="1900"/>
            <w:shd w:fill="FCE4D6" w:val="clear"/>
            <w:tcMar>
              <w:top w:type="dxa" w:w="80"/>
              <w:left w:type="dxa" w:w="100"/>
              <w:bottom w:type="dxa" w:w="80"/>
              <w:right w:type="dxa" w:w="100"/>
            </w:tcMar>
            <w:vAlign w:val="center"/>
          </w:tcPr>
          <w:p>
            <w:r>
              <w:rPr>
                <w:b w:val="false"/>
                <w:bCs w:val="false"/>
                <w:sz w:val="20"/>
                <w:szCs w:val="20"/>
              </w:rPr>
              <w:t xml:space="preserve">0,737</w:t>
            </w:r>
          </w:p>
        </w:tc>
        <w:tc>
          <w:tcPr>
            <w:tcW w:type="dxa" w:w="1900"/>
            <w:shd w:fill="FCE4D6" w:val="clear"/>
            <w:tcMar>
              <w:top w:type="dxa" w:w="80"/>
              <w:left w:type="dxa" w:w="100"/>
              <w:bottom w:type="dxa" w:w="80"/>
              <w:right w:type="dxa" w:w="100"/>
            </w:tcMar>
            <w:vAlign w:val="center"/>
          </w:tcPr>
          <w:p>
            <w:r>
              <w:rPr>
                <w:b w:val="false"/>
                <w:bCs w:val="false"/>
                <w:sz w:val="20"/>
                <w:szCs w:val="20"/>
              </w:rPr>
              <w:t xml:space="preserve">0,704</w:t>
            </w:r>
          </w:p>
        </w:tc>
        <w:tc>
          <w:tcPr>
            <w:tcW w:type="dxa" w:w="1700"/>
            <w:shd w:fill="FCE4D6" w:val="clear"/>
            <w:tcMar>
              <w:top w:type="dxa" w:w="80"/>
              <w:left w:type="dxa" w:w="100"/>
              <w:bottom w:type="dxa" w:w="80"/>
              <w:right w:type="dxa" w:w="100"/>
            </w:tcMar>
            <w:vAlign w:val="center"/>
          </w:tcPr>
          <w:p>
            <w:r>
              <w:rPr>
                <w:b w:val="false"/>
                <w:bCs w:val="false"/>
                <w:sz w:val="20"/>
                <w:szCs w:val="20"/>
              </w:rPr>
              <w:t xml:space="preserve">0,175</w:t>
            </w:r>
          </w:p>
        </w:tc>
      </w:tr>
      <w:tr>
        <w:tc>
          <w:tcPr>
            <w:tcW w:type="dxa" w:w="3600"/>
            <w:shd w:fill="FCE4D6" w:val="clear"/>
            <w:tcMar>
              <w:top w:type="dxa" w:w="80"/>
              <w:left w:type="dxa" w:w="100"/>
              <w:bottom w:type="dxa" w:w="80"/>
              <w:right w:type="dxa" w:w="100"/>
            </w:tcMar>
            <w:vAlign w:val="center"/>
          </w:tcPr>
          <w:p>
            <w:r>
              <w:rPr>
                <w:b w:val="false"/>
                <w:bCs w:val="false"/>
                <w:sz w:val="20"/>
                <w:szCs w:val="20"/>
              </w:rPr>
              <w:t xml:space="preserve">rf_signal_cost_dcc  ★</w:t>
            </w:r>
          </w:p>
        </w:tc>
        <w:tc>
          <w:tcPr>
            <w:tcW w:type="dxa" w:w="1900"/>
            <w:shd w:fill="FCE4D6" w:val="clear"/>
            <w:tcMar>
              <w:top w:type="dxa" w:w="80"/>
              <w:left w:type="dxa" w:w="100"/>
              <w:bottom w:type="dxa" w:w="80"/>
              <w:right w:type="dxa" w:w="100"/>
            </w:tcMar>
            <w:vAlign w:val="center"/>
          </w:tcPr>
          <w:p>
            <w:r>
              <w:rPr>
                <w:b w:val="false"/>
                <w:bCs w:val="false"/>
                <w:sz w:val="20"/>
                <w:szCs w:val="20"/>
              </w:rPr>
              <w:t xml:space="preserve">0,740</w:t>
            </w:r>
          </w:p>
        </w:tc>
        <w:tc>
          <w:tcPr>
            <w:tcW w:type="dxa" w:w="1900"/>
            <w:shd w:fill="FCE4D6" w:val="clear"/>
            <w:tcMar>
              <w:top w:type="dxa" w:w="80"/>
              <w:left w:type="dxa" w:w="100"/>
              <w:bottom w:type="dxa" w:w="80"/>
              <w:right w:type="dxa" w:w="100"/>
            </w:tcMar>
            <w:vAlign w:val="center"/>
          </w:tcPr>
          <w:p>
            <w:r>
              <w:rPr>
                <w:b w:val="false"/>
                <w:bCs w:val="false"/>
                <w:sz w:val="20"/>
                <w:szCs w:val="20"/>
              </w:rPr>
              <w:t xml:space="preserve">0,701</w:t>
            </w:r>
          </w:p>
        </w:tc>
        <w:tc>
          <w:tcPr>
            <w:tcW w:type="dxa" w:w="1700"/>
            <w:shd w:fill="FCE4D6" w:val="clear"/>
            <w:tcMar>
              <w:top w:type="dxa" w:w="80"/>
              <w:left w:type="dxa" w:w="100"/>
              <w:bottom w:type="dxa" w:w="80"/>
              <w:right w:type="dxa" w:w="100"/>
            </w:tcMar>
            <w:vAlign w:val="center"/>
          </w:tcPr>
          <w:p>
            <w:r>
              <w:rPr>
                <w:b w:val="false"/>
                <w:bCs w:val="false"/>
                <w:sz w:val="20"/>
                <w:szCs w:val="20"/>
              </w:rPr>
              <w:t xml:space="preserve">0,181</w:t>
            </w:r>
          </w:p>
        </w:tc>
      </w:tr>
    </w:tbl>
    <w:p>
      <w:pPr>
        <w:spacing w:after="200"/>
      </w:pPr>
      <w:r>
        <w:rPr>
          <w:i/>
          <w:iCs/>
        </w:rPr>
        <w:t xml:space="preserve">★ = variante Phase 4C. Vert = quasi-égalité avec la haie ; orange = effondrement dû à la pénalité (voir §4).</w:t>
      </w:r>
    </w:p>
    <w:p>
      <w:pPr>
        <w:pStyle w:val="Heading1"/>
        <w:spacing w:after="120" w:before="240"/>
      </w:pPr>
      <w:r>
        <w:t xml:space="preserve">4. Trois constats — le bon levier, et pourquoi la pénalité échoue</w:t>
      </w:r>
    </w:p>
    <w:p>
      <w:pPr>
        <w:spacing w:after="160"/>
      </w:pPr>
      <w:r>
        <w:rPr>
          <w:b/>
          <w:bCs/>
        </w:rPr>
        <w:t xml:space="preserve">Constat 1 — Le rétrécissement (shrinkage) était le bon levier.</w:t>
      </w:r>
    </w:p>
    <w:p>
      <w:pPr>
        <w:spacing w:after="160"/>
      </w:pPr>
      <w:r>
        <w:rPr>
          <w:rFonts w:ascii="Consolas" w:cs="Consolas" w:eastAsia="Consolas" w:hAnsi="Consolas"/>
          <w:color w:val="9C2FA6"/>
          <w:sz w:val="20"/>
          <w:szCs w:val="20"/>
        </w:rPr>
        <w:t xml:space="preserve">rf_signal_shrunk</w:t>
      </w:r>
      <w:r>
        <w:t xml:space="preserve"> a conservé la quasi-totalité du signal brut (1,240 → 1,223) tout en réduisant la rotation de près de moitié (0,885 → 0,488), atteignant </w:t>
      </w:r>
      <w:r>
        <w:rPr>
          <w:b/>
          <w:bCs/>
        </w:rPr>
        <w:t xml:space="preserve">un net de 1,117 — à 0,4 % de la haie de 1,1215</w:t>
      </w:r>
      <w:r>
        <w:t xml:space="preserve">, avec un </w:t>
      </w:r>
      <w:r>
        <w:rPr>
          <w:rFonts w:ascii="Consolas" w:cs="Consolas" w:eastAsia="Consolas" w:hAnsi="Consolas"/>
          <w:color w:val="9C2FA6"/>
          <w:sz w:val="20"/>
          <w:szCs w:val="20"/>
        </w:rPr>
        <w:t xml:space="preserve">shrinkage_weight = 0,5</w:t>
      </w:r>
      <w:r>
        <w:t xml:space="preserve"> entièrement non-optimisé. C'est la prédiction de Chopra-Ziemba confirmée sur nos données : le problème résidait dans les </w:t>
      </w:r>
      <w:r>
        <w:rPr>
          <w:i/>
          <w:iCs/>
        </w:rPr>
        <w:t xml:space="preserve">magnitudes</w:t>
      </w:r>
      <w:r>
        <w:t xml:space="preserve"> de μ, et les amortir vers l'a priori naïf est ce dont l'optimiseur avait besoin.</w:t>
      </w:r>
    </w:p>
    <w:p>
      <w:pPr>
        <w:spacing w:after="160"/>
      </w:pPr>
      <w:r>
        <w:rPr>
          <w:b/>
          <w:bCs/>
        </w:rPr>
        <w:t xml:space="preserve">Constat 2 — La pénalité de rotation a desservi le bon modèle.</w:t>
      </w:r>
    </w:p>
    <w:p>
      <w:pPr>
        <w:spacing w:after="160"/>
      </w:pPr>
      <w:r>
        <w:rPr>
          <w:rFonts w:ascii="Consolas" w:cs="Consolas" w:eastAsia="Consolas" w:hAnsi="Consolas"/>
          <w:color w:val="9C2FA6"/>
          <w:sz w:val="20"/>
          <w:szCs w:val="20"/>
        </w:rPr>
        <w:t xml:space="preserve">rf_signal_cost</w:t>
      </w:r>
      <w:r>
        <w:t xml:space="preserve"> a écrasé la rotation à 0,175 mais son Sharpe net s'est </w:t>
      </w:r>
      <w:r>
        <w:rPr>
          <w:i/>
          <w:iCs/>
        </w:rPr>
        <w:t xml:space="preserve">effondré</w:t>
      </w:r>
      <w:r>
        <w:t xml:space="preserve"> à 0,704 — à λ=1,0 l'optimiseur a refusé de négocier même quand il l'aurait fallu, jetant un signal réellement bon. La combiner à DCC-GARCH (</w:t>
      </w:r>
      <w:r>
        <w:rPr>
          <w:rFonts w:ascii="Consolas" w:cs="Consolas" w:eastAsia="Consolas" w:hAnsi="Consolas"/>
          <w:color w:val="9C2FA6"/>
          <w:sz w:val="20"/>
          <w:szCs w:val="20"/>
        </w:rPr>
        <w:t xml:space="preserve">rf_signal_cost_dcc</w:t>
      </w:r>
      <w:r>
        <w:t xml:space="preserve">, 0,701) ne l'a pas sauvée : le dommage était en amont, dans le peu de latitude laissée au modèle pour agir.</w:t>
      </w:r>
    </w:p>
    <w:p>
      <w:pPr>
        <w:spacing w:after="160"/>
      </w:pPr>
      <w:r>
        <w:rPr>
          <w:b/>
          <w:bCs/>
        </w:rPr>
        <w:t xml:space="preserve">Constat 3 — Mais la même pénalité a aidé le modèle qui sur-négociait.</w:t>
      </w:r>
    </w:p>
    <w:p>
      <w:pPr>
        <w:spacing w:after="160"/>
      </w:pPr>
      <w:r>
        <w:rPr>
          <w:rFonts w:ascii="Consolas" w:cs="Consolas" w:eastAsia="Consolas" w:hAnsi="Consolas"/>
          <w:color w:val="9C2FA6"/>
          <w:sz w:val="20"/>
          <w:szCs w:val="20"/>
        </w:rPr>
        <w:t xml:space="preserve">xgb_signal</w:t>
      </w:r>
      <w:r>
        <w:t xml:space="preserve"> affichait une rotation de 1,076 pour un net de 0,743 ; </w:t>
      </w:r>
      <w:r>
        <w:rPr>
          <w:rFonts w:ascii="Consolas" w:cs="Consolas" w:eastAsia="Consolas" w:hAnsi="Consolas"/>
          <w:color w:val="9C2FA6"/>
          <w:sz w:val="20"/>
          <w:szCs w:val="20"/>
        </w:rPr>
        <w:t xml:space="preserve">xgb_signal_cost</w:t>
      </w:r>
      <w:r>
        <w:t xml:space="preserve"> a ramené la rotation à 0,606 et relevé le net à 0,863. Une </w:t>
      </w:r>
      <w:r>
        <w:rPr>
          <w:b/>
          <w:bCs/>
        </w:rPr>
        <w:t xml:space="preserve">unique valeur globale de λ était trop brutale pour le modèle bien élevé et à peu près juste pour le modèle pathologique</w:t>
      </w:r>
      <w:r>
        <w:t xml:space="preserve"> — soit précisément la mise en garde «choisi, non optimisé» de l'introduction, désormais </w:t>
      </w:r>
      <w:r>
        <w:rPr>
          <w:i/>
          <w:iCs/>
        </w:rPr>
        <w:t xml:space="preserve">démontrée</w:t>
      </w:r>
      <w:r>
        <w:t xml:space="preserve"> et non plus affirmée. Le λ correct est spécifique au modèle, et son choix relève de la Phase 5 (validation croisée purgée), non d'une lecture à l'œil de cette exécution.</w:t>
      </w:r>
    </w:p>
    <w:p>
      <w:pPr>
        <w:pStyle w:val="Heading1"/>
        <w:spacing w:after="120" w:before="240"/>
      </w:pPr>
      <w:r>
        <w:t xml:space="preserve">5. Traçabilité P1–P4</w:t>
      </w:r>
    </w:p>
    <w:p>
      <w:pPr>
        <w:pStyle w:val="ListParagraph"/>
        <w:numPr>
          <w:ilvl w:val="0"/>
          <w:numId w:val="2"/>
        </w:numPr>
        <w:spacing w:after="100"/>
      </w:pPr>
      <w:r>
        <w:rPr>
          <w:b/>
          <w:bCs/>
        </w:rPr>
        <w:t xml:space="preserve">P1 (covariance bruitée / erreur d'estimation) : </w:t>
      </w:r>
      <w:r>
        <w:t xml:space="preserve">les deux remèdes ciblent l'amplification de l'erreur d'estimation — la pénalité empêche un μ bruité de devenir des variations de poids violentes ; les transformations amortissent le bruit avant que l'optimiseur ne le voie.</w:t>
      </w:r>
    </w:p>
    <w:p>
      <w:pPr>
        <w:pStyle w:val="ListParagraph"/>
        <w:numPr>
          <w:ilvl w:val="0"/>
          <w:numId w:val="2"/>
        </w:numPr>
        <w:spacing w:after="100"/>
      </w:pPr>
      <w:r>
        <w:rPr>
          <w:b/>
          <w:bCs/>
        </w:rPr>
        <w:t xml:space="preserve">P2 (non-stationnarité) : </w:t>
      </w:r>
      <w:r>
        <w:t xml:space="preserve">la variante </w:t>
      </w:r>
      <w:r>
        <w:rPr>
          <w:rFonts w:ascii="Consolas" w:cs="Consolas" w:eastAsia="Consolas" w:hAnsi="Consolas"/>
          <w:color w:val="9C2FA6"/>
          <w:sz w:val="20"/>
          <w:szCs w:val="20"/>
        </w:rPr>
        <w:t xml:space="preserve">rf_signal_cost_dcc</w:t>
      </w:r>
      <w:r>
        <w:t xml:space="preserve"> appaire le μ prédit à une covariance DCC-GARCH dynamique, réactive aux régimes.</w:t>
      </w:r>
    </w:p>
    <w:p>
      <w:pPr>
        <w:pStyle w:val="ListParagraph"/>
        <w:numPr>
          <w:ilvl w:val="0"/>
          <w:numId w:val="2"/>
        </w:numPr>
        <w:spacing w:after="100"/>
      </w:pPr>
      <w:r>
        <w:rPr>
          <w:b/>
          <w:bCs/>
        </w:rPr>
        <w:t xml:space="preserve">P3 (rupture de diversification) : </w:t>
      </w:r>
      <w:r>
        <w:t xml:space="preserve">le signal reste conditionné au régime via la probabilité de marché haussier en entrée, comme en Phase 4B.</w:t>
      </w:r>
    </w:p>
    <w:p>
      <w:pPr>
        <w:pStyle w:val="ListParagraph"/>
        <w:numPr>
          <w:ilvl w:val="0"/>
          <w:numId w:val="2"/>
        </w:numPr>
        <w:spacing w:after="100"/>
      </w:pPr>
      <w:r>
        <w:rPr>
          <w:b/>
          <w:bCs/>
        </w:rPr>
        <w:t xml:space="preserve">P4 (surapprentissage du backtest) : </w:t>
      </w:r>
      <w:r>
        <w:t xml:space="preserve">chaque configuration essayée est un tirage dans un pool DSR partagé par univers (n_trials = 14) ; ajouter des tirages </w:t>
      </w:r>
      <w:r>
        <w:rPr>
          <w:i/>
          <w:iCs/>
        </w:rPr>
        <w:t xml:space="preserve">déflate</w:t>
      </w:r>
      <w:r>
        <w:t xml:space="preserve"> le pool, et n_trials est reporté pour rendre cette comptabilité visible. Les hyperparamètres sont </w:t>
      </w:r>
      <w:r>
        <w:rPr>
          <w:b/>
          <w:bCs/>
        </w:rPr>
        <w:t xml:space="preserve">choisis, non optimisés</w:t>
      </w:r>
      <w:r>
        <w:t xml:space="preserve"> — les optimiser en regardant ce résultat hors-échantillon serait exactement le surapprentissage que le projet interdit.</w:t>
      </w:r>
    </w:p>
    <w:p>
      <w:pPr>
        <w:pStyle w:val="Heading1"/>
        <w:spacing w:after="120" w:before="240"/>
      </w:pPr>
      <w:r>
        <w:t xml:space="preserve">6. Limites (restées explicites)</w:t>
      </w:r>
    </w:p>
    <w:p>
      <w:pPr>
        <w:pStyle w:val="ListParagraph"/>
        <w:numPr>
          <w:ilvl w:val="0"/>
          <w:numId w:val="2"/>
        </w:numPr>
        <w:spacing w:after="100"/>
      </w:pPr>
      <w:r>
        <w:rPr>
          <w:rFonts w:ascii="Consolas" w:cs="Consolas" w:eastAsia="Consolas" w:hAnsi="Consolas"/>
          <w:color w:val="9C2FA6"/>
          <w:sz w:val="20"/>
          <w:szCs w:val="20"/>
        </w:rPr>
        <w:t xml:space="preserve">turnover_penalty</w:t>
      </w:r>
      <w:r>
        <w:t xml:space="preserve"> et </w:t>
      </w:r>
      <w:r>
        <w:rPr>
          <w:rFonts w:ascii="Consolas" w:cs="Consolas" w:eastAsia="Consolas" w:hAnsi="Consolas"/>
          <w:color w:val="9C2FA6"/>
          <w:sz w:val="20"/>
          <w:szCs w:val="20"/>
        </w:rPr>
        <w:t xml:space="preserve">shrinkage_weight</w:t>
      </w:r>
      <w:r>
        <w:t xml:space="preserve"> sont </w:t>
      </w:r>
      <w:r>
        <w:rPr>
          <w:b/>
          <w:bCs/>
        </w:rPr>
        <w:t xml:space="preserve">choisis, non optimisés</w:t>
      </w:r>
      <w:r>
        <w:t xml:space="preserve"> — l'asymétrie du §4 est la preuve directe qu'une valeur globale unique est inadéquate.</w:t>
      </w:r>
    </w:p>
    <w:p>
      <w:pPr>
        <w:pStyle w:val="ListParagraph"/>
        <w:numPr>
          <w:ilvl w:val="0"/>
          <w:numId w:val="2"/>
        </w:numPr>
        <w:spacing w:after="100"/>
      </w:pPr>
      <w:r>
        <w:t xml:space="preserve">La covariance est maintenue à Ledoit-Wolf pour chaque levier-μ sauf l'appairage délibéré </w:t>
      </w:r>
      <w:r>
        <w:rPr>
          <w:rFonts w:ascii="Consolas" w:cs="Consolas" w:eastAsia="Consolas" w:hAnsi="Consolas"/>
          <w:color w:val="9C2FA6"/>
          <w:sz w:val="20"/>
          <w:szCs w:val="20"/>
        </w:rPr>
        <w:t xml:space="preserve">_cost_dcc</w:t>
      </w:r>
      <w:r>
        <w:t xml:space="preserve">, qui n'a pas aidé (le dommage était en amont, dans la pénalité, non dans la covariance).</w:t>
      </w:r>
    </w:p>
    <w:p>
      <w:pPr>
        <w:pStyle w:val="ListParagraph"/>
        <w:numPr>
          <w:ilvl w:val="0"/>
          <w:numId w:val="2"/>
        </w:numPr>
        <w:spacing w:after="100"/>
      </w:pPr>
      <w:r>
        <w:t xml:space="preserve">Le DSR utilise n_trials = 14 </w:t>
      </w:r>
      <w:r>
        <w:rPr>
          <w:i/>
          <w:iCs/>
        </w:rPr>
        <w:t xml:space="preserve">dans cette exécution</w:t>
      </w:r>
      <w:r>
        <w:t xml:space="preserve"> ; il ne s'accumule pas entre sessions (décision Phase 5, inchangée).</w:t>
      </w:r>
    </w:p>
    <w:p>
      <w:pPr>
        <w:pStyle w:val="ListParagraph"/>
        <w:numPr>
          <w:ilvl w:val="0"/>
          <w:numId w:val="2"/>
        </w:numPr>
        <w:spacing w:after="100"/>
      </w:pPr>
      <w:r>
        <w:t xml:space="preserve">Le LSTM (troisième famille F7) reste reporté depuis la Phase 4B après un segfault torch+xgboost — non abandonné, déféré à un matériel plus capable.</w:t>
      </w:r>
    </w:p>
    <w:p>
      <w:pPr>
        <w:pStyle w:val="Heading1"/>
        <w:spacing w:after="120" w:before="240"/>
      </w:pPr>
      <w:r>
        <w:t xml:space="preserve">7. Conclusion — ce que la Phase 5 hérite</w:t>
      </w:r>
    </w:p>
    <w:p>
      <w:pPr>
        <w:spacing w:after="160"/>
      </w:pPr>
      <w:r>
        <w:rPr>
          <w:b/>
          <w:bCs/>
        </w:rPr>
        <w:t xml:space="preserve">Le résultat honnête, énoncé une fois pour qu'il ne dérive pas : </w:t>
      </w:r>
      <w:r>
        <w:t xml:space="preserve">aucune variante Phase 4C ne bat sa haie. Sur </w:t>
      </w:r>
      <w:r>
        <w:rPr>
          <w:rFonts w:ascii="Consolas" w:cs="Consolas" w:eastAsia="Consolas" w:hAnsi="Consolas"/>
          <w:color w:val="9C2FA6"/>
          <w:sz w:val="20"/>
          <w:szCs w:val="20"/>
        </w:rPr>
        <w:t xml:space="preserve">full_2021</w:t>
      </w:r>
      <w:r>
        <w:t xml:space="preserve">, </w:t>
      </w:r>
      <w:r>
        <w:rPr>
          <w:rFonts w:ascii="Consolas" w:cs="Consolas" w:eastAsia="Consolas" w:hAnsi="Consolas"/>
          <w:color w:val="9C2FA6"/>
          <w:sz w:val="20"/>
          <w:szCs w:val="20"/>
        </w:rPr>
        <w:t xml:space="preserve">rf_signal_shrunk</w:t>
      </w:r>
      <w:r>
        <w:t xml:space="preserve"> atteint 1,117 contre la haie de 1,1215 — </w:t>
      </w:r>
      <w:r>
        <w:rPr>
          <w:b/>
          <w:bCs/>
        </w:rPr>
        <w:t xml:space="preserve">une quasi-égalité (à 0,4 %), non une victoire</w:t>
      </w:r>
      <w:r>
        <w:t xml:space="preserve"> — et l'atteint avec un poids de rétrécissement non-optimisé. Sur </w:t>
      </w:r>
      <w:r>
        <w:rPr>
          <w:rFonts w:ascii="Consolas" w:cs="Consolas" w:eastAsia="Consolas" w:hAnsi="Consolas"/>
          <w:color w:val="9C2FA6"/>
          <w:sz w:val="20"/>
          <w:szCs w:val="20"/>
        </w:rPr>
        <w:t xml:space="preserve">etf_2017</w:t>
      </w:r>
      <w:r>
        <w:t xml:space="preserve">, rien ne dépasse </w:t>
      </w:r>
      <w:r>
        <w:rPr>
          <w:rFonts w:ascii="Consolas" w:cs="Consolas" w:eastAsia="Consolas" w:hAnsi="Consolas"/>
          <w:color w:val="9C2FA6"/>
          <w:sz w:val="20"/>
          <w:szCs w:val="20"/>
        </w:rPr>
        <w:t xml:space="preserve">max_sharpe</w:t>
      </w:r>
      <w:r>
        <w:t xml:space="preserve"> (0,936), inchangé depuis toutes les phases précédentes.</w:t>
      </w:r>
    </w:p>
    <w:p>
      <w:pPr>
        <w:spacing w:after="160"/>
      </w:pPr>
      <w:r>
        <w:rPr>
          <w:b/>
          <w:bCs/>
        </w:rPr>
        <w:t xml:space="preserve">Mais le diagnostic était correct, et c'est là le livrable :</w:t>
      </w:r>
    </w:p>
    <w:p>
      <w:pPr>
        <w:pStyle w:val="ListParagraph"/>
        <w:numPr>
          <w:ilvl w:val="0"/>
          <w:numId w:val="2"/>
        </w:numPr>
        <w:spacing w:after="100"/>
      </w:pPr>
      <w:r>
        <w:t xml:space="preserve">Le signal F7 est réel — meilleur Sharpe brut de toute la comparaison (1,240).</w:t>
      </w:r>
    </w:p>
    <w:p>
      <w:pPr>
        <w:pStyle w:val="ListParagraph"/>
        <w:numPr>
          <w:ilvl w:val="0"/>
          <w:numId w:val="2"/>
        </w:numPr>
        <w:spacing w:after="100"/>
      </w:pPr>
      <w:r>
        <w:t xml:space="preserve">Le remède classique de son mode d'échec — rétrécir le μ prédit vers l'a priori naïf (Chopra &amp; Ziemba 1993) — le sauve presque net de coûts, sans aucun réglage.</w:t>
      </w:r>
    </w:p>
    <w:p>
      <w:pPr>
        <w:pStyle w:val="ListParagraph"/>
        <w:numPr>
          <w:ilvl w:val="0"/>
          <w:numId w:val="2"/>
        </w:numPr>
        <w:spacing w:after="100"/>
      </w:pPr>
      <w:r>
        <w:t xml:space="preserve">Le seul levier ayant échoué (la pénalité de rotation à λ=1,0) a échoué de manière informative : il a aidé le modèle sur-négociateur et desservi le modèle bien élevé, prouvant que la bonne intensité est spécifique au modèle.</w:t>
      </w:r>
    </w:p>
    <w:p>
      <w:pPr>
        <w:spacing w:after="160"/>
      </w:pPr>
      <w:r>
        <w:rPr>
          <w:b/>
          <w:bCs/>
        </w:rPr>
        <w:t xml:space="preserve">Pourquoi cette quasi-égalité compte. </w:t>
      </w:r>
      <w:r>
        <w:rPr>
          <w:rFonts w:ascii="Consolas" w:cs="Consolas" w:eastAsia="Consolas" w:hAnsi="Consolas"/>
          <w:color w:val="9C2FA6"/>
          <w:sz w:val="20"/>
          <w:szCs w:val="20"/>
        </w:rPr>
        <w:t xml:space="preserve">rf_signal_shrunk</w:t>
      </w:r>
      <w:r>
        <w:t xml:space="preserve"> atteignant 1,117 avec </w:t>
      </w:r>
      <w:r>
        <w:rPr>
          <w:rFonts w:ascii="Consolas" w:cs="Consolas" w:eastAsia="Consolas" w:hAnsi="Consolas"/>
          <w:color w:val="9C2FA6"/>
          <w:sz w:val="20"/>
          <w:szCs w:val="20"/>
        </w:rPr>
        <w:t xml:space="preserve">shrinkage_weight = 0,5</w:t>
      </w:r>
      <w:r>
        <w:t xml:space="preserve"> non-optimisé </w:t>
      </w:r>
      <w:r>
        <w:rPr>
          <w:i/>
          <w:iCs/>
        </w:rPr>
        <w:t xml:space="preserve">suggère</w:t>
      </w:r>
      <w:r>
        <w:t xml:space="preserve"> qu'un poids correctement sélectionné pourrait franchir 1,1215 — mais «suggère, en regardant l'échantillon de test» est exactement l'affirmation que la validation croisée purgée de la Phase 5 existe pour rendre légitime. La Phase 5 est là où </w:t>
      </w:r>
      <w:r>
        <w:rPr>
          <w:rFonts w:ascii="Consolas" w:cs="Consolas" w:eastAsia="Consolas" w:hAnsi="Consolas"/>
          <w:color w:val="9C2FA6"/>
          <w:sz w:val="20"/>
          <w:szCs w:val="20"/>
        </w:rPr>
        <w:t xml:space="preserve">shrinkage_weight</w:t>
      </w:r>
      <w:r>
        <w:t xml:space="preserve"> et une </w:t>
      </w:r>
      <w:r>
        <w:rPr>
          <w:rFonts w:ascii="Consolas" w:cs="Consolas" w:eastAsia="Consolas" w:hAnsi="Consolas"/>
          <w:color w:val="9C2FA6"/>
          <w:sz w:val="20"/>
          <w:szCs w:val="20"/>
        </w:rPr>
        <w:t xml:space="preserve">turnover_penalty</w:t>
      </w:r>
      <w:r>
        <w:t xml:space="preserve"> </w:t>
      </w:r>
      <w:r>
        <w:rPr>
          <w:i/>
          <w:iCs/>
        </w:rPr>
        <w:t xml:space="preserve">spécifique au modèle</w:t>
      </w:r>
      <w:r>
        <w:t xml:space="preserve"> seront sélectionnés honnêtement, hors-échantillon, et où cette quasi-égalité deviendra soit une vraie victoire, soit un plafond documenté. L'infrastructure, les garanties anti-anticipation et le diagnostic sont en place ; le travail restant est une sélection disciplinée, non davantage de machinerie.</w:t>
      </w:r>
    </w:p>
    <w:p>
      <w:pPr>
        <w:pStyle w:val="Heading1"/>
        <w:spacing w:after="120" w:before="240"/>
      </w:pPr>
      <w:r>
        <w:t xml:space="preserve">Références</w:t>
      </w:r>
    </w:p>
    <w:p>
      <w:pPr>
        <w:pStyle w:val="ListParagraph"/>
        <w:numPr>
          <w:ilvl w:val="0"/>
          <w:numId w:val="2"/>
        </w:numPr>
        <w:spacing w:after="100"/>
      </w:pPr>
      <w:r>
        <w:t xml:space="preserve">Chopra, V. K. &amp; Ziemba, W. T. (1993). The Effect of Errors in Means, Variances, and Covariances on Optimal Portfolio Choice. Journal of Portfolio Management — la justification quantitative du choix des leviers §2.</w:t>
      </w:r>
    </w:p>
    <w:p>
      <w:pPr>
        <w:pStyle w:val="ListParagraph"/>
        <w:numPr>
          <w:ilvl w:val="0"/>
          <w:numId w:val="2"/>
        </w:numPr>
        <w:spacing w:after="100"/>
      </w:pPr>
      <w:r>
        <w:t xml:space="preserve">Ledoit, O. &amp; Wolf, M. (2004). A Well-Conditioned Estimator for Large-Dimensional Covariance Matrices.</w:t>
      </w:r>
    </w:p>
    <w:p>
      <w:pPr>
        <w:pStyle w:val="ListParagraph"/>
        <w:numPr>
          <w:ilvl w:val="0"/>
          <w:numId w:val="2"/>
        </w:numPr>
        <w:spacing w:after="100"/>
      </w:pPr>
      <w:r>
        <w:t xml:space="preserve">Engle, R. (2002). Dynamic Conditional Correlation. Journal of Business &amp; Economic Statistics — covariance DCC-GARCH de la variante _cost_dcc.</w:t>
      </w:r>
    </w:p>
    <w:p>
      <w:pPr>
        <w:pStyle w:val="ListParagraph"/>
        <w:numPr>
          <w:ilvl w:val="0"/>
          <w:numId w:val="2"/>
        </w:numPr>
        <w:spacing w:after="100"/>
      </w:pPr>
      <w:r>
        <w:t xml:space="preserve">López de Prado, M. (2018). Advances in Financial Machine Learning. Wiley — Deflated Sharpe Ratio et validation croisée purgée (Phase 5).</w:t>
      </w:r>
    </w:p>
    <w:p>
      <w:pPr>
        <w:pStyle w:val="ListParagraph"/>
        <w:numPr>
          <w:ilvl w:val="0"/>
          <w:numId w:val="2"/>
        </w:numPr>
        <w:spacing w:after="100"/>
      </w:pPr>
      <w:r>
        <w:t xml:space="preserve">DeMiguel, V., Garlappi, L. &amp; Uppal, R. (2009). Optimal Versus Naive Diversification — la haie equal_weight de référence.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EURAFRIC Information — PFA INPT — Page </w:t>
    </w:r>
    <w:r>
      <w:rPr>
        <w:color w:val="8080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Phase 4C — Optimisation Sensible aux Coûts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28"/>
      <w:szCs w:val="28"/>
    </w:rPr>
  </w:style>
  <w:style w:type="paragraph" w:styleId="Heading2">
    <w:name w:val="Heading 2"/>
    <w:basedOn w:val="Normal"/>
    <w:next w:val="Normal"/>
    <w:qFormat/>
    <w:pPr>
      <w:spacing w:after="120" w:before="24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Livrable Phase 4C — Optimisation Sensible aux Coûts et Régularisation de μ</dc:title>
  <dc:creator>Souhail Bourhim</dc:creator>
  <cp:lastModifiedBy>Un-named</cp:lastModifiedBy>
  <cp:revision>1</cp:revision>
  <dcterms:created xsi:type="dcterms:W3CDTF">2026-07-21T23:08:04.377Z</dcterms:created>
  <dcterms:modified xsi:type="dcterms:W3CDTF">2026-07-21T23:08:04.378Z</dcterms:modified>
</cp:coreProperties>
</file>

<file path=docProps/custom.xml><?xml version="1.0" encoding="utf-8"?>
<Properties xmlns="http://schemas.openxmlformats.org/officeDocument/2006/custom-properties" xmlns:vt="http://schemas.openxmlformats.org/officeDocument/2006/docPropsVTypes"/>
</file>