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Livrable Phase 6+7 — Suite Portfolio ML</w:t>
      </w:r>
    </w:p>
    <w:p>
      <w:pPr>
        <w:jc w:val="center"/>
      </w:pPr>
      <w:r>
        <w:rPr>
          <w:i/>
          <w:sz w:val="24"/>
        </w:rPr>
        <w:t>Dashboard de démonstration de valeur + Outil du gestionnaire + API REST</w:t>
      </w:r>
    </w:p>
    <w:p>
      <w:pPr>
        <w:jc w:val="center"/>
      </w:pPr>
      <w:r>
        <w:rPr>
          <w:sz w:val="20"/>
        </w:rPr>
        <w:t>EURAFRIC Information · INPT · Projet de Fin d'Année</w:t>
        <w:br/>
      </w:r>
      <w:r>
        <w:rPr>
          <w:sz w:val="20"/>
        </w:rPr>
        <w:t>Souhail Bourhim · Zakarya EL WALI · Yasmine BOUAJINE</w:t>
        <w:br/>
      </w:r>
      <w:r>
        <w:rPr>
          <w:sz w:val="20"/>
        </w:rPr>
        <w:t>Encadrant : Abdelmouttalib · 25 juillet 2026</w:t>
      </w:r>
    </w:p>
    <w:p>
      <w:pPr>
        <w:pStyle w:val="Heading1"/>
      </w:pPr>
      <w:r>
        <w:t>1. Objectif et décision d'architecture</w:t>
      </w:r>
    </w:p>
    <w:p>
      <w:pPr>
        <w:pStyle w:val="Heading1"/>
      </w:pPr>
      <w:r>
        <w:rPr>
          <w:b/>
          <w:color w:val="1B5E20"/>
          <w:sz w:val="22"/>
        </w:rPr>
        <w:t>✅ Chiffres mis à jour le 25/07/2026 — conformes au tableau de bord livré</w:t>
      </w:r>
    </w:p>
    <w:p>
      <w:pPr>
        <w:pStyle w:val="Heading1"/>
      </w:pPr>
      <w:r>
        <w:rPr>
          <w:i/>
          <w:sz w:val="19"/>
        </w:rPr>
        <w:t>Contrairement aux livrables des phases antérieures, ce document décrit le produit tel qu'il est livré : ses chiffres ont donc été CORRIGÉS, et non simplement annotés. Ils correspondent exactement à ce qu'affiche le tableau de bord, dont les valeurs sont dérivées des artefacts Gold (aucun nombre n'y est saisi à la main — garanti par tests/test_run_dashboard_data.py).</w:t>
      </w:r>
    </w:p>
    <w:p>
      <w:pPr>
        <w:pStyle w:val="Heading1"/>
      </w:pPr>
      <w:r>
        <w:rPr>
          <w:i/>
          <w:sz w:val="19"/>
        </w:rPr>
        <w:t>Deux corrections sont à l'origine du changement. (1) Biais de dividendes BVC : les ETF arrivaient ajustés des dividendes tandis que les actions BVC arrivaient en prix seul, écartant 3,0 à 4,3 %/an de dividendes réels ; le biais ne s'annulait pas entre stratégies et gonflait l'avantage mesuré des optimiseurs. (2) Fenêtre ETF étendue à 2004-11 (création de GLD), réduisant de 38 % la largeur des intervalles de confiance et intégrant la crise de 2008.</w:t>
      </w:r>
    </w:p>
    <w:p>
      <w:pPr>
        <w:pStyle w:val="Heading1"/>
      </w:pPr>
      <w:r>
        <w:rPr>
          <w:i/>
          <w:sz w:val="19"/>
        </w:rPr>
        <w:t>Le gain net sur le portefeuille EURAFRIC passe ainsi de +14,3 % à +6,2 % — un avantage réel et défendable, de moitié moindre. La meilleure approche classique n'est plus l'équipondéré mais Markowitz à Sharpe maximal : la reproduction du résultat de DeMiguel, affirmée depuis la Phase 2, ne survit pas à la correction des dividendes.</w:t>
      </w:r>
    </w:p>
    <w:p>
      <w:pPr>
        <w:pStyle w:val="Heading1"/>
      </w:pPr>
      <w:r>
        <w:rPr>
          <w:i/>
          <w:sz w:val="19"/>
        </w:rPr>
        <w:t>Analyse complète : docs/DIVIDEND_BIAS.md et docs/ETF_DEEP_HISTORY_EXPERIMENT.md.</w:t>
      </w:r>
    </w:p>
    <w:p>
      <w:r>
        <w:t>Les phases 6 (outil de production) et 7 (démonstration de valeur pour les décideurs) étaient initialement planifiées séparément. Elles sont livrées ici comme une seule application Streamlit à deux pages, accompagnée d'un service REST FastAPI.</w:t>
      </w:r>
    </w:p>
    <w:p>
      <w:pPr>
        <w:pStyle w:val="IntenseQuote"/>
      </w:pPr>
      <w:r>
        <w:t>Justification de la fusion :</w:t>
      </w:r>
    </w:p>
    <w:p>
      <w:pPr>
        <w:pStyle w:val="ListBullet"/>
      </w:pPr>
      <w:r>
        <w:t>Les deux surfaces lisent exactement les mêmes artefacts Gold et ont besoin du même vocabulaire graphique : une couche de données partagée économise environ 40 % du travail.</w:t>
      </w:r>
    </w:p>
    <w:p>
      <w:pPr>
        <w:pStyle w:val="ListBullet"/>
      </w:pPr>
      <w:r>
        <w:t>Elle élimine surtout un risque réel de divergence : deux dashboards distincts pourraient afficher des ratios de Sharpe différents pour la même stratégie si l'un est régénéré et pas l'autre. Ce mode de défaillance s'est déjà produit dans ce projet (fichier phase2_hurdle.json devenu obsolète, §17.1).</w:t>
      </w:r>
    </w:p>
    <w:p>
      <w:pPr>
        <w:pStyle w:val="ListBullet"/>
      </w:pPr>
      <w:r>
        <w:t>Les pages restent distinctes car les publics et les règles d'intégrité diffèrent réellement : la page décideur exclut délibérément les signaux F7, la page métier les montre honnêtement parmi d'autres options.</w:t>
      </w:r>
    </w:p>
    <w:p>
      <w:pPr>
        <w:pStyle w:val="Heading1"/>
      </w:pPr>
      <w:r>
        <w:t>2. Page « Histoire de valeur » — destinée aux décideurs</w:t>
      </w:r>
    </w:p>
    <w:p>
      <w:r>
        <w:t>Page sans contrôle interactif, en français, structurée en six sections : le problème, la méthode classique de Markowitz, l'apport de notre système, la validation hors échantillon, le fonctionnement du modèle, et les limites.</w:t>
      </w:r>
    </w:p>
    <w:p>
      <w:pPr>
        <w:pStyle w:val="Heading2"/>
      </w:pPr>
      <w:r>
        <w:t>2.1 Le résultat mis en avant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Univers</w:t>
            </w:r>
          </w:p>
        </w:tc>
        <w:tc>
          <w:tcPr>
            <w:tcW w:type="dxa" w:w="2160"/>
          </w:tcPr>
          <w:p>
            <w:r>
              <w:rPr>
                <w:b/>
              </w:rPr>
              <w:t>Meilleur classique</w:t>
            </w:r>
          </w:p>
        </w:tc>
        <w:tc>
          <w:tcPr>
            <w:tcW w:type="dxa" w:w="2160"/>
          </w:tcPr>
          <w:p>
            <w:r>
              <w:rPr>
                <w:b/>
              </w:rPr>
              <w:t>Notre système ML</w:t>
            </w:r>
          </w:p>
        </w:tc>
        <w:tc>
          <w:tcPr>
            <w:tcW w:type="dxa" w:w="2160"/>
          </w:tcPr>
          <w:p>
            <w:r>
              <w:rPr>
                <w:b/>
              </w:rPr>
              <w:t>Écart</w:t>
            </w:r>
          </w:p>
        </w:tc>
      </w:tr>
      <w:tr>
        <w:tc>
          <w:tcPr>
            <w:tcW w:type="dxa" w:w="2160"/>
          </w:tcPr>
          <w:p>
            <w:r>
              <w:t>Portefeuille EURAFRIC (9 actifs)</w:t>
            </w:r>
          </w:p>
        </w:tc>
        <w:tc>
          <w:tcPr>
            <w:tcW w:type="dxa" w:w="2160"/>
          </w:tcPr>
          <w:p>
            <w:r>
              <w:t>Markowitz Sharpe max. — 1.164</w:t>
            </w:r>
          </w:p>
        </w:tc>
        <w:tc>
          <w:tcPr>
            <w:tcW w:type="dxa" w:w="2160"/>
          </w:tcPr>
          <w:p>
            <w:r>
              <w:t>1.236</w:t>
            </w:r>
          </w:p>
        </w:tc>
        <w:tc>
          <w:tcPr>
            <w:tcW w:type="dxa" w:w="2160"/>
          </w:tcPr>
          <w:p>
            <w:r>
              <w:t>+6.2 %</w:t>
            </w:r>
          </w:p>
        </w:tc>
      </w:tr>
      <w:tr>
        <w:tc>
          <w:tcPr>
            <w:tcW w:type="dxa" w:w="2160"/>
          </w:tcPr>
          <w:p>
            <w:r>
              <w:t>ETF internationaux (5 actifs)</w:t>
            </w:r>
          </w:p>
        </w:tc>
        <w:tc>
          <w:tcPr>
            <w:tcW w:type="dxa" w:w="2160"/>
          </w:tcPr>
          <w:p>
            <w:r>
              <w:t>Variance min. (Ledoit-Wolf) — 0.953</w:t>
            </w:r>
          </w:p>
        </w:tc>
        <w:tc>
          <w:tcPr>
            <w:tcW w:type="dxa" w:w="2160"/>
          </w:tcPr>
          <w:p>
            <w:r>
              <w:t>0.937</w:t>
            </w:r>
          </w:p>
        </w:tc>
        <w:tc>
          <w:tcPr>
            <w:tcW w:type="dxa" w:w="2160"/>
          </w:tcPr>
          <w:p>
            <w:r>
              <w:t>-1.6 %</w:t>
            </w:r>
          </w:p>
        </w:tc>
      </w:tr>
    </w:tbl>
    <w:p/>
    <w:p>
      <w:r>
        <w:rPr>
          <w:b/>
        </w:rPr>
        <w:t xml:space="preserve">Lecture honnête. </w:t>
      </w:r>
      <w:r>
        <w:t xml:space="preserve">Sur le portefeuille EURAFRIC — l'univers qui correspond à l'activité réelle — le système de régime et covariance dynamique obtient un ratio de Sharpe net de 1.236 contre 1.164 pour la meilleure approche classique, soit +6.2 %. Sur l'univers ETF seuls, en revanche, le même système </w:t>
      </w:r>
      <w:r>
        <w:rPr>
          <w:b/>
        </w:rPr>
        <w:t>perd</w:t>
      </w:r>
      <w:r>
        <w:t xml:space="preserve"> 1.6 %. Ce cas défavorable est affiché sur la page, pas dissimulé : le ML apporte de la valeur là où la diversification naïve est faible et les régimes marqués, pas universellement.</w:t>
      </w:r>
    </w:p>
    <w:p>
      <w:pPr>
        <w:pStyle w:val="Heading2"/>
      </w:pPr>
      <w:r>
        <w:t>2.2 Contraintes d'intégrité codées, non laissées à la discipline</w:t>
      </w:r>
    </w:p>
    <w:p>
      <w:pPr>
        <w:pStyle w:val="ListBullet"/>
      </w:pPr>
      <w:r>
        <w:t>« Notre système » désigne exclusivement le système régime + covariance dynamique. Une constante unique dans le code (ML_STRATEGY) l'impose. Les signaux F7 de prédiction de rendement ne sont jamais présentés comme notre apport : trois expériences indépendantes (Phase 5, historique marocain profond, fondamentaux) ont montré qu'ils n'ajoutent pas de valeur statistiquement significative.</w:t>
      </w:r>
    </w:p>
    <w:p>
      <w:pPr>
        <w:pStyle w:val="ListBullet"/>
      </w:pPr>
      <w:r>
        <w:t>Chaque chiffre mis en avant est accompagné de son intervalle de confiance à 90 %, et le texte indique explicitement que les intervalles se chevauchent — le gain est présenté comme une estimation ponctuelle favorable, jamais comme une supériorité démontrée.</w:t>
      </w:r>
    </w:p>
    <w:p>
      <w:pPr>
        <w:pStyle w:val="ListBullet"/>
      </w:pPr>
      <w:r>
        <w:t>Aucune valeur n'est saisie à la main dans le code de la page : tout provient des artefacts Gold versionnés.</w:t>
      </w:r>
    </w:p>
    <w:p>
      <w:pPr>
        <w:pStyle w:val="Heading1"/>
      </w:pPr>
      <w:r>
        <w:t>3. Page « Outil du gestionnaire » — destinée à l'usage métier</w:t>
      </w:r>
    </w:p>
    <w:p>
      <w:r>
        <w:t>Public différent, règles différentes. Un gestionnaire qui compare des options a légitimement besoin de voir toutes les stratégies, y compris les signaux F7 que la page décideur exclut. La présentation honnête ici consiste à montrer ce qu'a fait chaque stratégie avec son incertitude, et non à formuler une recommandation.</w:t>
      </w:r>
    </w:p>
    <w:p>
      <w:pPr>
        <w:pStyle w:val="ListBullet"/>
      </w:pPr>
      <w:r>
        <w:t>Sélection de l'univers et des stratégies à comparer, plage de dates, bascule performance nette / brute.</w:t>
      </w:r>
    </w:p>
    <w:p>
      <w:pPr>
        <w:pStyle w:val="ListBullet"/>
      </w:pPr>
      <w:r>
        <w:t>Tableau de métriques : Sharpe net et brut, rendement annualisé, perte maximale, Calmar, rotation moyenne — avec un avertissement rappelant que les écarts ne sont pas statistiquement significatifs.</w:t>
      </w:r>
    </w:p>
    <w:p>
      <w:pPr>
        <w:pStyle w:val="ListBullet"/>
      </w:pPr>
      <w:r>
        <w:t>Allocation cible la plus récente (graphique et tableau) et historique complet des rééquilibrages, tous deux exportables en CSV.</w:t>
      </w:r>
    </w:p>
    <w:p>
      <w:pPr>
        <w:pStyle w:val="Heading1"/>
      </w:pPr>
      <w:r>
        <w:t>4. Service REST (FastAPI)</w:t>
      </w:r>
    </w:p>
    <w:p>
      <w:r>
        <w:t>Six points d'entrée : /health, /strategies, /metrics, /equity, /weights, /compare. Le service est délibérément mince : il sert les artefacts Gold versionnés et ne ré-entraîne jamais un modèle à la demande.</w:t>
      </w:r>
    </w:p>
    <w:p>
      <w:r>
        <w:rPr>
          <w:b/>
        </w:rPr>
        <w:t xml:space="preserve">Décision de conception. </w:t>
      </w:r>
      <w:r>
        <w:t>Un backtest walk-forward de la stratégie régime prend de 4 à 13 secondes par univers. L'exécuter dans un gestionnaire de requête rendrait l'API inutilisable et consommerait du CPU à chaque interaction. Servir des artefacts reproductibles et auditables est un choix, pas une limitation.</w:t>
      </w:r>
    </w:p>
    <w:p>
      <w:r>
        <w:rPr>
          <w:b/>
        </w:rPr>
        <w:t xml:space="preserve">Intégrité côté machine. </w:t>
      </w:r>
      <w:r>
        <w:t>Le point d'entrée /compare renvoie toujours l'intervalle de confiance hors échantillon et la mise en garde avec l'écart de performance. C'est l'équivalent lisible par machine de la règle appliquée visuellement sur la page décideur : citer le gain de façon malhonnête demande de supprimer activement des champs.</w:t>
      </w:r>
    </w:p>
    <w:p>
      <w:pPr>
        <w:pStyle w:val="Heading1"/>
      </w:pPr>
      <w:r>
        <w:t>5. Vérification</w:t>
      </w:r>
    </w:p>
    <w:p>
      <w:pPr>
        <w:pStyle w:val="ListBullet"/>
      </w:pPr>
      <w:r>
        <w:t>341 tests automatisés passent (22 nouveaux pour cette phase), hors ligne, sur fixtures synthétiques.</w:t>
      </w:r>
    </w:p>
    <w:p>
      <w:pPr>
        <w:pStyle w:val="ListBullet"/>
      </w:pPr>
      <w:r>
        <w:t>Garde-fou d'intégrité (tests/test_run_dashboard_data.py, 10 tests) : vérifie que l'écart annoncé est arithmétiquement cohérent avec les métriques du même passage, que les meilleures stratégies sont de véritables maxima, que les intervalles de confiance de la Phase 5 sont recopiés à l'identique, et — par inspection du code source — qu'aucune valeur de Sharpe n'est codée en dur.</w:t>
      </w:r>
    </w:p>
    <w:p>
      <w:pPr>
        <w:pStyle w:val="ListBullet"/>
      </w:pPr>
      <w:r>
        <w:t>Contrat de l'API (tests/test_api.py, 12 tests) via TestClient, sans serveur actif.</w:t>
      </w:r>
    </w:p>
    <w:p>
      <w:pPr>
        <w:pStyle w:val="ListBullet"/>
      </w:pPr>
      <w:r>
        <w:t>Rendu vérifié dans un navigateur réel, ce qui a permis de détecter et corriger deux défauts de mise en page (collision titre / légende ; moustaches d'intervalle de confiance dépassant du graphique avec les étiquettes de valeur masquées).</w:t>
      </w:r>
    </w:p>
    <w:p>
      <w:pPr>
        <w:pStyle w:val="ListBullet"/>
      </w:pPr>
      <w:r>
        <w:t>Chemins de données de la page métier vérifiés par programme sur les deux univers : somme des poids égale à 1, plafond de 25 % respecté, export CSV fonctionnel, 9 actifs BVC + ETF présents.</w:t>
      </w:r>
    </w:p>
    <w:p>
      <w:pPr>
        <w:pStyle w:val="Heading1"/>
      </w:pPr>
      <w:r>
        <w:t>6. Mise en œuvre</w:t>
      </w:r>
    </w:p>
    <w:p>
      <w:r>
        <w:rPr>
          <w:rFonts w:ascii="Courier New" w:hAnsi="Courier New"/>
          <w:sz w:val="18"/>
        </w:rPr>
        <w:t># 1. Générer les artefacts (ou : dvc repro dashboard_data)</w:t>
        <w:br/>
        <w:t>python src/run_dashboard_data.py</w:t>
        <w:br/>
        <w:br/>
        <w:t># 2. Lancer le dashboard</w:t>
        <w:br/>
        <w:t>streamlit run dashboard/streamlit_app.py</w:t>
        <w:br/>
        <w:br/>
        <w:t># 3. (Optionnel) Lancer l'API — documentation interactive sur /docs</w:t>
        <w:br/>
        <w:t>uvicorn api.main:app --app-dir src</w:t>
      </w:r>
    </w:p>
    <w:p>
      <w:pPr>
        <w:pStyle w:val="Heading1"/>
      </w:pPr>
      <w:r>
        <w:t>7. Limites et périmètre exclu</w:t>
      </w:r>
    </w:p>
    <w:p>
      <w:pPr>
        <w:pStyle w:val="ListBullet"/>
      </w:pPr>
      <w:r>
        <w:t>Ré-optimisation à la demande à une date arbitraire : hors périmètre. Elle nécessite une logique de rafraîchissement des données qui relève d'un déploiement réel, pas d'une démonstration locale.</w:t>
      </w:r>
    </w:p>
    <w:p>
      <w:pPr>
        <w:pStyle w:val="ListBullet"/>
      </w:pPr>
      <w:r>
        <w:t>Contraintes personnalisées au-delà du plafond par actif : hors périmètre.</w:t>
      </w:r>
    </w:p>
    <w:p>
      <w:pPr>
        <w:pStyle w:val="ListBullet"/>
      </w:pPr>
      <w:r>
        <w:t>Authentification et hébergement cloud : hors périmètre, conformément au cadrage du projet.</w:t>
      </w:r>
    </w:p>
    <w:p>
      <w:pPr>
        <w:pStyle w:val="ListBullet"/>
      </w:pPr>
      <w:r>
        <w:t>La fenêtre de test hors échantillon reste courte (environ 1,8 an sur full_2021), ce qui explique la largeur des intervalles de confiance. C'est une limite des données, pas de l'outil.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