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sz w:val="48"/>
          <w:szCs w:val="48"/>
        </w:rPr>
        <w:t xml:space="preserve">Système d’Optimisation de Portefeuille par Machine Learning</w:t>
      </w:r>
    </w:p>
    <w:p>
      <w:pPr>
        <w:spacing w:before="300"/>
        <w:jc w:val="center"/>
      </w:pPr>
      <w:r>
        <w:rPr>
          <w:b/>
          <w:bCs/>
          <w:color w:val="1F3864"/>
          <w:sz w:val="34"/>
          <w:szCs w:val="34"/>
        </w:rPr>
        <w:t xml:space="preserve">Livrable de la Phase 2 — Baseline Markowitz &amp; Backtesting Walk-Forward sans Biais</w:t>
      </w:r>
    </w:p>
    <w:p>
      <w:pPr>
        <w:spacing w:before="200"/>
        <w:jc w:val="center"/>
      </w:pPr>
      <w:r>
        <w:rPr>
          <w:i/>
          <w:iCs/>
          <w:sz w:val="24"/>
          <w:szCs w:val="24"/>
        </w:rPr>
        <w:t xml:space="preserve">Moteur d’évaluation, contraintes réalistes de gestion, stratégies de référence et résultats</w:t>
      </w:r>
    </w:p>
    <w:p>
      <w:pPr>
        <w:spacing w:before="1400"/>
      </w:pPr>
    </w:p>
    <w:p>
      <w:pPr>
        <w:jc w:val="center"/>
      </w:pPr>
      <w:r>
        <w:rPr>
          <w:sz w:val="24"/>
          <w:szCs w:val="24"/>
        </w:rPr>
        <w:t xml:space="preserve">Projet de Fin d’Année (PFA) — INPT</w:t>
      </w:r>
    </w:p>
    <w:p>
      <w:pPr>
        <w:jc w:val="center"/>
      </w:pPr>
      <w:r>
        <w:rPr>
          <w:sz w:val="24"/>
          <w:szCs w:val="24"/>
        </w:rPr>
        <w:t xml:space="preserve">Client : EURAFRIC Information, Bouskoura</w:t>
      </w:r>
    </w:p>
    <w:p>
      <w:pPr>
        <w:spacing w:before="300"/>
        <w:jc w:val="center"/>
      </w:pPr>
      <w:r>
        <w:rPr>
          <w:sz w:val="24"/>
          <w:szCs w:val="24"/>
        </w:rPr>
        <w:t xml:space="preserve">Équipe : Souhail BOURHIM · Zakarya EL WALI · Yasmine BOUAJINE</w:t>
      </w:r>
    </w:p>
    <w:p>
      <w:pPr>
        <w:jc w:val="center"/>
      </w:pPr>
      <w:r>
        <w:rPr>
          <w:sz w:val="24"/>
          <w:szCs w:val="24"/>
        </w:rPr>
        <w:t xml:space="preserve">Encadrant : M. Abdelmouttalib</w:t>
      </w:r>
    </w:p>
    <w:p>
      <w:pPr>
        <w:spacing w:before="600"/>
        <w:jc w:val="center"/>
      </w:pPr>
      <w:r>
        <w:rPr>
          <w:color w:val="666666"/>
          <w:sz w:val="22"/>
          <w:szCs w:val="22"/>
        </w:rPr>
        <w:t xml:space="preserve">Version 1.0 — 12 juillet 2026</w:t>
      </w:r>
    </w:p>
    <w:p>
      <w:r>
        <w:br w:type="page"/>
      </w:r>
    </w:p>
    <w:p>
      <w:pPr>
        <w:pStyle w:val="Heading1"/>
      </w:pPr>
      <w: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Résumé exécutif</w:t>
      </w:r>
    </w:p>
    <w:p>
      <w:pPr>
        <w:pStyle w:val="Heading1"/>
      </w:pPr>
      <w:r>
        <w:rPr>
          <w:b/>
          <w:color w:val="B03000"/>
          <w:sz w:val="22"/>
        </w:rPr>
        <w:t>⚠️ Avertissement — chiffres antérieurs à la correction du 25/07/2026</w:t>
      </w:r>
    </w:p>
    <w:p>
      <w:pPr>
        <w:pStyle w:val="Heading1"/>
      </w:pPr>
      <w:r>
        <w:rPr>
          <w:i/>
          <w:sz w:val="19"/>
        </w:rPr>
        <w:t>Deux corrections de données sont intervenues après la rédaction de ce livrable. Tous les ratios de Sharpe qui suivent sont conservés comme le compte rendu honnête de ce que cette phase a mesuré à l'époque — ce ne sont plus les chiffres courants.</w:t>
      </w:r>
    </w:p>
    <w:p>
      <w:pPr>
        <w:pStyle w:val="Heading1"/>
      </w:pPr>
      <w:r>
        <w:rPr>
          <w:i/>
          <w:sz w:val="19"/>
        </w:rPr>
        <w:t>1. Biais de dividendes BVC. Le pipeline mélangeait deux définitions du rendement : les ETF arrivaient ajustés des dividendes (yfinance auto_adjust=True, rendement total) tandis que les actions BVC arrivaient en prix seul (BVCscrap feature="Value"), écartant 3,0 à 4,3 %/an de dividendes réels. Le biais ne s'annule pas entre stratégies : equal_weight est contraint de détenir les actifs sous-évalués alors que les optimiseurs peuvent les sous-pondérer — il gonflait donc l'avantage mesuré de tout optimiseur. Corrigé par src/dividends.py, qui applique chaque dividende à sa date de détachement.</w:t>
      </w:r>
    </w:p>
    <w:p>
      <w:pPr>
        <w:pStyle w:val="Heading1"/>
      </w:pPr>
      <w:r>
        <w:rPr>
          <w:i/>
          <w:sz w:val="19"/>
        </w:rPr>
        <w:t>2. Fenêtre ETF profonde. L'univers etf_2017 démarre désormais au 18/11/2004 (création de GLD) et non au 01/01/2017 — l'ancienne date était une décision de projet, pas une limite de données. Cela réduit de 38 % la largeur des intervalles de confiance bootstrap et intègre la crise de 2008.</w:t>
      </w:r>
    </w:p>
    <w:p>
      <w:pPr>
        <w:pStyle w:val="Heading1"/>
      </w:pPr>
      <w:r>
        <w:rPr>
          <w:i/>
          <w:sz w:val="19"/>
        </w:rPr>
        <w:t>Chiffres courants : haie etf_2017 0,936 → 0.9525 (min_variance_lw) · haie full_2021 0,975 → 1.1644 (max_sharpe) · regime_conditional sur full_2021 1,122 → 1.2363 · gain net +14,3 % → +6.2 %.</w:t>
      </w:r>
    </w:p>
    <w:p>
      <w:pPr>
        <w:pStyle w:val="Heading1"/>
      </w:pPr>
      <w:r>
        <w:rPr>
          <w:i/>
          <w:sz w:val="19"/>
        </w:rPr>
        <w:t>Les conclusions subsistent ; les amplitudes ont diminué. Deux affirmations sont en revanche rétractées — voir les mentions [RÉTRACTÉ] et [SUPERSÉDÉ] dans le corps du document.</w:t>
      </w:r>
    </w:p>
    <w:p>
      <w:pPr>
        <w:pStyle w:val="Heading1"/>
      </w:pPr>
      <w:r>
        <w:rPr>
          <w:i/>
          <w:sz w:val="19"/>
        </w:rPr>
        <w:t>Analyse complète : docs/DIVIDEND_BIAS.md et docs/ETF_DEEP_HISTORY_EXPERIMENT.md.</w:t>
      </w:r>
    </w:p>
    <w:p>
      <w:pPr>
        <w:spacing w:after="120"/>
      </w:pPr>
      <w:r>
        <w:t xml:space="preserve">La Phase 2 est </w:t>
      </w:r>
      <w:r>
        <w:rPr>
          <w:b/>
          <w:bCs/>
        </w:rPr>
        <w:t xml:space="preserve">terminée, testée et fusionnée</w:t>
      </w:r>
      <w:r>
        <w:t xml:space="preserve"> (pull request #3). Elle livre la pièce la plus critique du projet : le </w:t>
      </w:r>
      <w:r>
        <w:rPr>
          <w:b/>
          <w:bCs/>
        </w:rPr>
        <w:t xml:space="preserve">cadre de backtesting walk-forward sans biais de lookahead</w:t>
      </w:r>
      <w:r>
        <w:t xml:space="preserve"> qui servira de juge à tous les résultats des phases suivantes. Si ce cadre laissait fuir de l’information future, chaque chiffre produit par les modèles ML des Phases 4 et 5 serait invalide — c’est le problème P4, que le cahier des charges d’EURAFRIC nomme explicitement (« risque de surapprentissage », « données hors échantillon »).</w:t>
      </w:r>
    </w:p>
    <w:p>
      <w:pPr>
        <w:spacing w:after="120"/>
      </w:pPr>
      <w:r>
        <w:t xml:space="preserve">Le principe central : </w:t>
      </w:r>
      <w:r>
        <w:rPr>
          <w:b/>
          <w:bCs/>
        </w:rPr>
        <w:t xml:space="preserve">le moteur est la frontière de confiance, pas les stratégies</w:t>
      </w:r>
      <w:r>
        <w:t xml:space="preserve">. C’est le moteur qui découpe les données avant chaque appel — une stratégie ne peut </w:t>
      </w:r>
      <w:r>
        <w:rPr>
          <w:i/>
          <w:iCs/>
        </w:rPr>
        <w:t xml:space="preserve">physiquement</w:t>
      </w:r>
      <w:r>
        <w:t xml:space="preserve"> pas voir le futur — et qui valide les poids retournés (long-only, somme = 1, plafond de 25 % par actif, pas de NaN). Cette propriété n’est pas une promesse : elle est verrouillée par une suite de tests dédiée, dont un test où une stratégie </w:t>
      </w:r>
      <w:r>
        <w:rPr>
          <w:i/>
          <w:iCs/>
        </w:rPr>
        <w:t xml:space="preserve">délibérément tricheuse</w:t>
      </w:r>
      <w:r>
        <w:t xml:space="preserve"> voit son ratio de Sharpe s’effondrer dès qu’elle passe par le moteur.</w:t>
      </w:r>
    </w:p>
    <w:p>
      <w:pPr>
        <w:spacing w:after="120"/>
      </w:pPr>
      <w:r>
        <w:t xml:space="preserve">Conformément à l’exigence « contraintes réalistes de gestion » du client, les coûts de transaction (10 pb ETF / 30 pb BVC) sont </w:t>
      </w:r>
      <w:r>
        <w:rPr>
          <w:b/>
          <w:bCs/>
        </w:rPr>
        <w:t xml:space="preserve">à l’intérieur du backtest</w:t>
      </w:r>
      <w:r>
        <w:t xml:space="preserve">, pas en note de bas de page : tous les résultats de référence sont rapportés bruts ET nets. Quatre stratégies de référence sont évaluées sur </w:t>
      </w:r>
      <w:r>
        <w:rPr>
          <w:b/>
          <w:bCs/>
        </w:rPr>
        <w:t xml:space="preserve">deux univers</w:t>
      </w:r>
      <w:r>
        <w:t xml:space="preserve"> (5 ETF depuis 2017, incluant le krach COVID et le choc de taux 2022 ; 9 actifs depuis 2021). Premier résultat marquant, honnêtement rapporté : sur l’univers complet, </w:t>
      </w:r>
      <w:r>
        <w:rPr>
          <w:b/>
          <w:bCs/>
        </w:rPr>
        <w:t xml:space="preserve">le portefeuille naïf 1/N bat tous les optimiseurs nets de coûts</w:t>
      </w:r>
      <w:r>
        <w:t xml:space="preserve"> (Sharpe 1,04) — exactement le phénomène P1 que les modèles ML de la Phase 4 devront corriger pour justifier leur existence.</w:t>
      </w:r>
    </w:p>
    <w:p>
      <w:pPr>
        <w:spacing w:after="120"/>
      </w:pPr>
      <w:r>
        <w:t xml:space="preserve">La haie que la Phase 4 devra franchir est écrite </w:t>
      </w:r>
      <w:r>
        <w:rPr>
          <w:b/>
          <w:bCs/>
        </w:rPr>
        <w:t xml:space="preserve">sous forme de données</w:t>
      </w:r>
      <w:r>
        <w:t xml:space="preserve"> (data/gold/phase2_hurdle.json : Sharpe net 0,955 sur l’univers ETF, 1,041 sur l’univers complet) — la comparaison future s’y référera programmatiquement, pas de chiffre recopié à la main. La suite de tests du dépôt passe de 52 à </w:t>
      </w:r>
      <w:r>
        <w:rPr>
          <w:b/>
          <w:bCs/>
        </w:rPr>
        <w:t xml:space="preserve">109 tests</w:t>
      </w:r>
      <w:r>
        <w:t xml:space="preserve">, et une intégration continue (GitHub Actions) exécute désormais la suite à chaque push.</w:t>
      </w:r>
    </w:p>
    <w:p>
      <w:pPr>
        <w:pStyle w:val="Heading1"/>
      </w:pPr>
      <w:r>
        <w:t xml:space="preserve">2. Pourquoi cette phase est la plus critique</w:t>
      </w:r>
    </w:p>
    <w:p>
      <w:pPr>
        <w:spacing w:after="120"/>
      </w:pPr>
      <w:r>
        <w:t xml:space="preserve">Un backtest est une machine à produire de la confiance. Mal construit, il produit de la confiance </w:t>
      </w:r>
      <w:r>
        <w:rPr>
          <w:i/>
          <w:iCs/>
        </w:rPr>
        <w:t xml:space="preserve">injustifiée</w:t>
      </w:r>
      <w:r>
        <w:t xml:space="preserve"> : le biais de lookahead (utiliser à la date t une information publiée après t) gonfle mécaniquement les performances apparentes, et les stratégies publiées avec de superbes ratios de Sharpe échouent en réel. C’est pour cela que la Phase 2 précède toute modélisation : </w:t>
      </w:r>
      <w:r>
        <w:rPr>
          <w:b/>
          <w:bCs/>
        </w:rPr>
        <w:t xml:space="preserve">le juge doit être construit et audité avant les candidats</w:t>
      </w:r>
      <w:r>
        <w:t xml:space="preserve">.</w:t>
      </w:r>
    </w:p>
    <w:p>
      <w:pPr>
        <w:spacing w:after="120"/>
      </w:pPr>
      <w:r>
        <w:t xml:space="preserve">La règle du projet, actée dès la spécification : </w:t>
      </w:r>
      <w:r>
        <w:rPr>
          <w:b/>
          <w:bCs/>
        </w:rPr>
        <w:t xml:space="preserve">aucun résultat de modélisation n’est recevable tant que la suite de tests anti-lookahead n’est pas au vert</w:t>
      </w:r>
      <w:r>
        <w:t xml:space="preserve">. Elle l’est. Par ailleurs, le cadre est construit une seule fois et réutilisé tel quel : l’interface unique strategy.fit(fenêtre_d’entraînement) → poids est la couture par laquelle les modèles ML de la Phase 4 (poids conditionnés au régime HMM, covariance dynamique) se brancheront </w:t>
      </w:r>
      <w:r>
        <w:rPr>
          <w:i/>
          <w:iCs/>
        </w:rPr>
        <w:t xml:space="preserve">sans modifier une ligne du moteur</w:t>
      </w:r>
      <w:r>
        <w:t xml:space="preserve">.</w:t>
      </w:r>
    </w:p>
    <w:p>
      <w:pPr>
        <w:pStyle w:val="Heading1"/>
      </w:pPr>
      <w:r>
        <w:t xml:space="preserve">3. Périmètre et livrables de la Phase 2</w:t>
      </w:r>
    </w:p>
    <w:p>
      <w:pPr>
        <w:pStyle w:val="ListParagraph"/>
        <w:numPr>
          <w:ilvl w:val="0"/>
          <w:numId w:val="2"/>
        </w:numPr>
        <w:spacing w:after="60"/>
      </w:pPr>
      <w:r>
        <w:rPr>
          <w:b/>
          <w:bCs/>
        </w:rPr>
        <w:t xml:space="preserve">Le moteur walk-forward</w:t>
      </w:r>
      <w:r>
        <w:t xml:space="preserve"> (src/backtest.py) : fenêtre d’entraînement croissante, rééquilibrage mensuel, découpage et validation par le moteur, dérive des poids entre rééquilibrages, coûts de transaction intégrés ;</w:t>
      </w:r>
    </w:p>
    <w:p>
      <w:pPr>
        <w:pStyle w:val="ListParagraph"/>
        <w:numPr>
          <w:ilvl w:val="0"/>
          <w:numId w:val="2"/>
        </w:numPr>
        <w:spacing w:after="60"/>
      </w:pPr>
      <w:r>
        <w:rPr>
          <w:b/>
          <w:bCs/>
        </w:rPr>
        <w:t xml:space="preserve">Quatre stratégies de référence</w:t>
      </w:r>
      <w:r>
        <w:t xml:space="preserve"> (src/strategies.py) : 1/N équipondéré, minimum-variance, minimum-variance à covariance rétrécie (Ledoit-Wolf), maximum-Sharpe — toutes long-only avec plafond de 25 % par actif ;</w:t>
      </w:r>
    </w:p>
    <w:p>
      <w:pPr>
        <w:pStyle w:val="ListParagraph"/>
        <w:numPr>
          <w:ilvl w:val="0"/>
          <w:numId w:val="2"/>
        </w:numPr>
        <w:spacing w:after="60"/>
      </w:pPr>
      <w:r>
        <w:rPr>
          <w:b/>
          <w:bCs/>
        </w:rPr>
        <w:t xml:space="preserve">Les métriques hors échantillon</w:t>
      </w:r>
      <w:r>
        <w:t xml:space="preserve"> (src/metrics.py) : rendement et Sharpe annualisés, drawdown maximal, Calmar, information ratio, et Deflated Sharpe Ratio corrigeant le nombre de stratégies essayées ;</w:t>
      </w:r>
    </w:p>
    <w:p>
      <w:pPr>
        <w:pStyle w:val="ListParagraph"/>
        <w:numPr>
          <w:ilvl w:val="0"/>
          <w:numId w:val="2"/>
        </w:numPr>
        <w:spacing w:after="60"/>
      </w:pPr>
      <w:r>
        <w:rPr>
          <w:b/>
          <w:bCs/>
        </w:rPr>
        <w:t xml:space="preserve">Le double univers</w:t>
      </w:r>
      <w:r>
        <w:t xml:space="preserve"> : la matrice ETF 2017+ (2 477 jours, COVID et 2022 inclus) produite par le pipeline de la Phase 1 paramétré, à côté de la matrice 9 actifs 2021+ ;</w:t>
      </w:r>
    </w:p>
    <w:p>
      <w:pPr>
        <w:pStyle w:val="ListParagraph"/>
        <w:numPr>
          <w:ilvl w:val="0"/>
          <w:numId w:val="2"/>
        </w:numPr>
        <w:spacing w:after="60"/>
      </w:pPr>
      <w:r>
        <w:rPr>
          <w:b/>
          <w:bCs/>
        </w:rPr>
        <w:t xml:space="preserve">Le point d’entrée tracé</w:t>
      </w:r>
      <w:r>
        <w:t xml:space="preserve"> (src/run_backtest.py) : 8 exécutions imbriquées dans MLflow (4 stratégies × 2 univers), configuration lue depuis params.yaml, haie machine-readable écrite en Gold ;</w:t>
      </w:r>
    </w:p>
    <w:p>
      <w:pPr>
        <w:pStyle w:val="ListParagraph"/>
        <w:numPr>
          <w:ilvl w:val="0"/>
          <w:numId w:val="2"/>
        </w:numPr>
        <w:spacing w:after="60"/>
      </w:pPr>
      <w:r>
        <w:rPr>
          <w:b/>
          <w:bCs/>
        </w:rPr>
        <w:t xml:space="preserve">Le notebook de preuve</w:t>
      </w:r>
      <w:r>
        <w:t xml:space="preserve"> (notebooks/phase2_backtest.ipynb), exécuté : garanties du moteur, courbes de richesse brut/net, fenêtres de crise chiffrées, effet du plafond, analyse des coûts, panneau de métriques complet ;</w:t>
      </w:r>
    </w:p>
    <w:p>
      <w:pPr>
        <w:pStyle w:val="ListParagraph"/>
        <w:numPr>
          <w:ilvl w:val="0"/>
          <w:numId w:val="2"/>
        </w:numPr>
        <w:spacing w:after="60"/>
      </w:pPr>
      <w:r>
        <w:rPr>
          <w:b/>
          <w:bCs/>
        </w:rPr>
        <w:t xml:space="preserve">57 nouveaux tests</w:t>
      </w:r>
      <w:r>
        <w:t xml:space="preserve"> (109 au total) et l’intégration continue GitHub Actions.</w:t>
      </w:r>
    </w:p>
    <w:p>
      <w:r>
        <w:br w:type="page"/>
      </w:r>
    </w:p>
    <w:p>
      <w:pPr>
        <w:pStyle w:val="Heading1"/>
      </w:pPr>
      <w:r>
        <w:t xml:space="preserve">4. Architecture du cadre de backtesting</w:t>
      </w:r>
    </w:p>
    <w:p>
      <w:pPr>
        <w:spacing w:after="120"/>
      </w:pPr>
      <w:r>
        <w:t xml:space="preserve">Quatre modules plats dans src/, dans la convention du dépôt : le moteur (backtest.py), les stratégies (strategies.py), les métriques (metrics.py) et le point d’entrée (run_backtest.py). La couche Gold de la Phase 1 est l’unique entrée de données — aucun module de la Phase 2 ne lit Bronze ni Silver.</w:t>
      </w:r>
    </w:p>
    <w:p>
      <w:pPr>
        <w:spacing w:after="60" w:before="120"/>
        <w:jc w:val="center"/>
      </w:pPr>
      <w:r>
        <w:drawing>
          <wp:inline distT="0" distB="0" distL="0" distR="0">
            <wp:extent cx="2952750" cy="6067425"/>
            <wp:effectExtent t="0" r="0" b="0" l="0"/>
            <wp:docPr id="1" name="engine" descr="Boucle du moteur : découpage, fit, validation, coûts, dérive" title="Moteur walk-forw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6067425"/>
                    </a:xfrm>
                    <a:prstGeom prst="rect">
                      <a:avLst/>
                    </a:prstGeom>
                  </pic:spPr>
                </pic:pic>
              </a:graphicData>
            </a:graphic>
          </wp:inline>
        </w:drawing>
      </w:r>
    </w:p>
    <w:p>
      <w:pPr>
        <w:spacing w:after="160"/>
        <w:jc w:val="center"/>
      </w:pPr>
      <w:r>
        <w:rPr>
          <w:i/>
          <w:iCs/>
          <w:sz w:val="18"/>
          <w:szCs w:val="18"/>
        </w:rPr>
        <w:t xml:space="preserve">Figure 1 — La boucle du moteur à chaque date de rééquilibrage τ. Toutes les protections (découpage, validation, plafond) vivent dans le moteur, jamais dans les stratégies.</w:t>
      </w:r>
    </w:p>
    <w:p>
      <w:pPr>
        <w:spacing w:after="120"/>
      </w:pPr>
      <w:r>
        <w:rPr>
          <w:b/>
          <w:bCs/>
        </w:rPr>
        <w:t xml:space="preserve">L’interface unique.</w:t>
      </w:r>
      <w:r>
        <w:t xml:space="preserve"> Toute stratégie — de la plus naïve au futur modèle HMM — implémente le même contrat : recevoir une fenêtre d’entraînement (et, optionnellement, des données auxiliaires </w:t>
      </w:r>
      <w:r>
        <w:rPr>
          <w:i/>
          <w:iCs/>
        </w:rPr>
        <w:t xml:space="preserve">déjà découpées par le moteur</w:t>
      </w:r>
      <w:r>
        <w:t xml:space="preserve"> : features macro, étiquettes de régime — la couture prévue pour la Phase 4) et retourner des poids. Le moteur exécute, mesure et facture ; la stratégie ne voit ni les coûts, ni le futur, ni les autres stratégies.</w:t>
      </w:r>
    </w:p>
    <w:p>
      <w:pPr>
        <w:pStyle w:val="Heading1"/>
      </w:pPr>
      <w:r>
        <w:t xml:space="preserve">5. Choix de conception — et leurs justifications</w:t>
      </w:r>
    </w:p>
    <w:p>
      <w:pPr>
        <w:pStyle w:val="Heading2"/>
      </w:pPr>
      <w:r>
        <w:t xml:space="preserve">5.1 Le moteur découpe ; il ne fait jamais confiance</w:t>
      </w:r>
    </w:p>
    <w:p>
      <w:pPr>
        <w:spacing w:after="120"/>
      </w:pPr>
      <w:r>
        <w:t xml:space="preserve">Alternative rejetée : compter sur la discipline des stratégies (« ne pas regarder le futur »). Une convention s’oublie ; une frontière technique, non. Le moteur passe à fit() une copie de returns.loc[:τ] — rien après τ n’existe du point de vue de la stratégie — puis rejette tout vecteur de poids mal formé (actifs inattendus, ventes à découvert, somme ≠ 1, NaN, dépassement du plafond). Le test le plus parlant de la suite : une stratégie construite avec un canal caché vers l’intégralité des données réalise un Sharpe supérieur à 5 quand on lui donne le futur à la main… et retombe au niveau du bruit dès qu’elle passe par le moteur. </w:t>
      </w:r>
      <w:r>
        <w:rPr>
          <w:b/>
          <w:bCs/>
        </w:rPr>
        <w:t xml:space="preserve">C’est le moteur qui empêche la triche, pas les bonnes intentions.</w:t>
      </w:r>
    </w:p>
    <w:p>
      <w:pPr>
        <w:pStyle w:val="Heading2"/>
      </w:pPr>
      <w:r>
        <w:t xml:space="preserve">5.2 Décision à la clôture de τ, gains à partir de τ+1</w:t>
      </w:r>
    </w:p>
    <w:p>
      <w:pPr>
        <w:spacing w:after="120"/>
      </w:pPr>
      <w:r>
        <w:t xml:space="preserve">Appliquer les nouveaux poids le jour même du calcul reviendrait à trader à des prix déjà utilisés par la décision — un lookahead subtil et courant. Convention verrouillée par test : les poids calculés à la clôture de τ ne gagnent des rendements qu’à partir de τ+1, et le coût de transaction est déduit du rendement de τ+1.</w:t>
      </w:r>
    </w:p>
    <w:p>
      <w:pPr>
        <w:pStyle w:val="Heading2"/>
      </w:pPr>
      <w:r>
        <w:t xml:space="preserve">5.3 Conversion log → simple avant toute agrégation</w:t>
      </w:r>
    </w:p>
    <w:p>
      <w:pPr>
        <w:spacing w:after="120"/>
      </w:pPr>
      <w:r>
        <w:t xml:space="preserve">Les log-rendements de la couche Gold sont additifs dans le temps, mais </w:t>
      </w:r>
      <w:r>
        <w:rPr>
          <w:b/>
          <w:bCs/>
        </w:rPr>
        <w:t xml:space="preserve">une somme pondérée de log-rendements n’est pas un rendement de portefeuille</w:t>
      </w:r>
      <w:r>
        <w:t xml:space="preserve">. Le moteur convertit chaque jour en rendements simples (e^r − 1) avant d’appliquer les poids. C’est une erreur classique des backtests artisanaux ; elle a son test dédié, avec un exemple chiffré où les deux calculs divergent sensiblement.</w:t>
      </w:r>
    </w:p>
    <w:p>
      <w:pPr>
        <w:pStyle w:val="Heading2"/>
      </w:pPr>
      <w:r>
        <w:t xml:space="preserve">5.4 Dérive des poids et turnover mesuré contre le portefeuille réel</w:t>
      </w:r>
    </w:p>
    <w:p>
      <w:pPr>
        <w:spacing w:after="120"/>
      </w:pPr>
      <w:r>
        <w:t xml:space="preserve">Entre deux rééquilibrages, les poids dérivent avec les rendements (un actif qui monte pèse mécaniquement plus lourd). Le turnover d’un rééquilibrage est donc mesuré entre les poids cibles et les poids </w:t>
      </w:r>
      <w:r>
        <w:rPr>
          <w:b/>
          <w:bCs/>
        </w:rPr>
        <w:t xml:space="preserve">dérivés</w:t>
      </w:r>
      <w:r>
        <w:t xml:space="preserve"> — ce qu’un gérant paierait réellement — et non contre les cibles précédentes. Convention documentée : somme bilatérale (remplacement complet du portefeuille = 2,0 ; investissement initial depuis le cash = 1,0).</w:t>
      </w:r>
    </w:p>
    <w:p>
      <w:pPr>
        <w:pStyle w:val="Heading2"/>
      </w:pPr>
      <w:r>
        <w:t xml:space="preserve">5.5 Coûts de transaction dans le backtest ; plafond appliqué par le moteur</w:t>
      </w:r>
    </w:p>
    <w:p>
      <w:pPr>
        <w:spacing w:after="120"/>
      </w:pPr>
      <w:r>
        <w:t xml:space="preserve">Le cahier des charges exige des « contraintes réalistes de gestion » : elles sont dans l’optimiseur (long-only, plafond 25 %) </w:t>
      </w:r>
      <w:r>
        <w:rPr>
          <w:i/>
          <w:iCs/>
        </w:rPr>
        <w:t xml:space="preserve">et</w:t>
      </w:r>
      <w:r>
        <w:t xml:space="preserve"> dans la simulation (10 pb par transaction sur les ETF, 30 pb sur les valeurs BVC — prime d’illiquidité justifiée par les signalements CIH/BCP de la Phase 1). Tous les tableaux rapportent brut ET net : une stratégie qui gagne brut et perd net est un résultat, pas un détail. Depuis le durcissement final, le plafond est aussi </w:t>
      </w:r>
      <w:r>
        <w:rPr>
          <w:b/>
          <w:bCs/>
        </w:rPr>
        <w:t xml:space="preserve">imposé par le moteur</w:t>
      </w:r>
      <w:r>
        <w:t xml:space="preserve"> : un futur modèle ML qui retournerait discrètement une position à 60 % ferait échouer l’exécution au lieu de produire des chiffres plausibles et faux.</w:t>
      </w:r>
    </w:p>
    <w:p>
      <w:pPr>
        <w:pStyle w:val="Heading2"/>
      </w:pPr>
      <w:r>
        <w:t xml:space="preserve">5.6 Double univers : restaurer l’évidence de crise</w:t>
      </w:r>
    </w:p>
    <w:p>
      <w:pPr>
        <w:spacing w:after="120"/>
      </w:pPr>
      <w:r>
        <w:t xml:space="preserve">La limite de données BVC (fenêtre glissante, mi-2021) prive l’univers complet du krach COVID (documenté au livrable Phase 1, §11.1). Plutôt que de l’accepter, chaque stratégie est évaluée sur deux univers : les 5 ETF depuis 2017 — COVID et choc de taux 2022 dans la fenêtre hors échantillon — et les 9 actifs depuis 2021. Coût marginal nul : c’est le pipeline de la Phase 1 paramétré (include_bvc=False), les fichiers canoniques restant intacts.</w:t>
      </w:r>
    </w:p>
    <w:p>
      <w:pPr>
        <w:pStyle w:val="Heading2"/>
      </w:pPr>
      <w:r>
        <w:t xml:space="preserve">5.7 Le 1/N comme haie d’honnêteté</w:t>
      </w:r>
    </w:p>
    <w:p>
      <w:pPr>
        <w:spacing w:after="120"/>
      </w:pPr>
      <w:r>
        <w:t xml:space="preserve">DeMiguel, Garlappi et Uppal (2009) ont montré qu’un portefeuille équipondéré, qui n’estime rien, bat la plupart des portefeuilles optimisés hors échantillon — parce qu’il ne peut pas surapprendre le bruit d’estimation. Toute comparaison sans le 1/N est complaisante. Résultat immédiat (section 7) : sur notre univers 9 actifs, cette prédiction se vérifie déjà.</w:t>
      </w:r>
    </w:p>
    <w:p>
      <w:pPr>
        <w:pStyle w:val="Heading2"/>
      </w:pPr>
      <w:r>
        <w:t xml:space="preserve">5.8 Ledoit-Wolf : le premier barreau de l’échelle d’ablation</w:t>
      </w:r>
    </w:p>
    <w:p>
      <w:pPr>
        <w:spacing w:after="120"/>
      </w:pPr>
      <w:r>
        <w:t xml:space="preserve">Pour que la contribution de chaque intervention soit mesurable, la covariance suit une échelle : échantillon → rétrécissement Ledoit-Wolf (2004) → EWMA → DCC-GARCH (Phase 4). Le barreau Ledoit-Wolf coûte trois lignes (scikit-learn) et répond à une question précieuse : combien du problème P1 la simple régularisation statistique corrige-t-elle déjà, avant tout ML ? Réponse sur nos données, honnêtement rapportée : </w:t>
      </w:r>
      <w:r>
        <w:rPr>
          <w:b/>
          <w:bCs/>
        </w:rPr>
        <w:t xml:space="preserve">presque rien ne change</w:t>
      </w:r>
      <w:r>
        <w:t xml:space="preserve"> (Sharpe net 0,847 contre 0,849 sur l’univers ETF). Avec 252+ jours d’entraînement et 5 à 9 actifs, la covariance d’échantillon n’est pas mal estimée — </w:t>
      </w:r>
      <w:r>
        <w:rPr>
          <w:b/>
          <w:bCs/>
        </w:rPr>
        <w:t xml:space="preserve">le vrai problème est qu’une covariance statique se périme</w:t>
      </w:r>
      <w:r>
        <w:t xml:space="preserve"> (P2). C’est précisément l’hypothèse que les barreaux dynamiques de la Phase 4 devront valider, et cette comparaison rend leur contribution mesurable plutôt que présumée.</w:t>
      </w:r>
    </w:p>
    <w:p>
      <w:pPr>
        <w:pStyle w:val="Heading2"/>
      </w:pPr>
      <w:r>
        <w:t xml:space="preserve">5.9 Deflated Sharpe Ratio et la règle d’honnêteté sur N</w:t>
      </w:r>
    </w:p>
    <w:p>
      <w:pPr>
        <w:spacing w:after="120"/>
      </w:pPr>
      <w:r>
        <w:t xml:space="preserve">Essayer N stratégies et publier la meilleure gonfle mécaniquement le Sharpe observé — même si toutes sont sans valeur. Le DSR (Bailey &amp; López de Prado, 2014) corrige cet effet de sélection ainsi que la non-normalité des rendements. Règle adoptée et écrite dans le code : </w:t>
      </w:r>
      <w:r>
        <w:rPr>
          <w:b/>
          <w:bCs/>
        </w:rPr>
        <w:t xml:space="preserve">toute configuration backtestée sur un univers compte dans N</w:t>
      </w:r>
      <w:r>
        <w:t xml:space="preserve">, y compris les exécutions « de diagnostic » (le min-variance sans plafond lancé pour la figure de concentration compte : N = 5 sur l’univers complet, 4 sur l’univers ETF). Le biais de sélection ne s’intéresse pas à l’étiquette d’une exécution. Limite assumée : N ne s’accumule pas encore entre sessions — politique à fixer en Phase 5.</w:t>
      </w:r>
    </w:p>
    <w:p>
      <w:pPr>
        <w:pStyle w:val="Heading2"/>
      </w:pPr>
      <w:r>
        <w:t xml:space="preserve">5.10 Taux sans risque à zéro, paramétré</w:t>
      </w:r>
    </w:p>
    <w:p>
      <w:pPr>
        <w:spacing w:after="120"/>
      </w:pPr>
      <w:r>
        <w:t xml:space="preserve">Simplification MVP documentée : rf = 0 dans le Sharpe et le max-Sharpe, exposé en paramètre (params.yaml). Un taux « réaliste » poserait de toute façon la question insoluble du mélange USD/MAD (cf. la réserve de change, section 9). À réexaminer en Phase 5.</w:t>
      </w:r>
    </w:p>
    <w:p>
      <w:r>
        <w:br w:type="page"/>
      </w:r>
    </w:p>
    <w:p>
      <w:pPr>
        <w:pStyle w:val="Heading1"/>
      </w:pPr>
      <w:r>
        <w:t xml:space="preserve">6. Le code, module par module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7012"/>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Module</w:t>
            </w:r>
          </w:p>
        </w:tc>
        <w:tc>
          <w:tcPr>
            <w:tcW w:type="dxa" w:w="7012"/>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Rôle et points notables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src/backtest.py (~300 l.)</w:t>
            </w:r>
          </w:p>
        </w:tc>
        <w:tc>
          <w:tcPr>
            <w:tcW w:type="dxa" w:w="701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Le moteur : calendrier de rééquilibrage (fin de mois effective, ≥ 252 jours d’historique), découpage returns.loc[:τ] + copie, validation des poids (index, long-only, somme, NaN, plafond), conversion log→simple, dérive quotidienne, turnover vs poids dérivés, coûts déduits en τ+1. Résultat : dataclass BacktestResult gelée (poids cibles et dérivés, rendements bruts/nets, turnover, coûts).</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src/strategies.py (~290 l.)</w:t>
            </w:r>
          </w:p>
        </w:tc>
        <w:tc>
          <w:tcPr>
            <w:tcW w:type="dxa" w:w="7012"/>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L’ABC Strategy (la couture Phase 4 : paramètre extras découpé par le moteur) et quatre implémentations. Optimiseur partagé SLSQP (bornes [0, plafond], Σw=1) : plafond infaisable → exception ; échec d’optimisation → nouvel essai puis repli équipondéré avec WARNING (un repli journalisé est honnête, un crash cache tout ce qui suit).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src/metrics.py (~230 l.)</w:t>
            </w:r>
          </w:p>
        </w:tc>
        <w:tc>
          <w:tcPr>
            <w:tcW w:type="dxa" w:w="701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Métriques sur rendements simples uniquement. DSR complet (correction asymétrie/kurtosis, terme d’Euler–Mascheroni pour le max attendu sous N essais, dégénérescence en PSR à N=1 avec avertissement). summarize() : un panneau canonique unique consommé par le runner, le notebook et MLflow — aucune métrique recalculée ad hoc ne peut diverger.</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src/run_backtest.py (~200 l.)</w:t>
            </w:r>
          </w:p>
        </w:tc>
        <w:tc>
          <w:tcPr>
            <w:tcW w:type="dxa" w:w="7012"/>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8 exécutions MLflow imbriquées sous un parent ; paramètres depuis params.yaml (bloc backtest:) via utils.load_params() ; artefacts poids/rendements par exécution ; écrit data/gold/phase2_hurdle.json — la haie de la Phase 4 sous forme de données.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src/clean.py (modifié)</w:t>
            </w:r>
          </w:p>
        </w:tc>
        <w:tc>
          <w:tcPr>
            <w:tcW w:type="dxa" w:w="701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silver_pipeline(include_bvc, output_stem) : l’univers ETF 2017+ sans toucher aux fichiers canoniques ; validation Pandera consciente de l’intention (expect_bvc).</w:t>
            </w:r>
          </w:p>
        </w:tc>
      </w:tr>
    </w:tbl>
    <w:p>
      <w:pPr>
        <w:spacing w:after="120"/>
      </w:pPr>
      <w:r>
        <w:t xml:space="preserve"/>
      </w:r>
    </w:p>
    <w:p>
      <w:pPr>
        <w:pStyle w:val="Heading2"/>
      </w:pPr>
      <w:r>
        <w:t xml:space="preserve">6.1 Deux extraits représentatifs</w:t>
      </w:r>
    </w:p>
    <w:p>
      <w:pPr>
        <w:spacing w:after="120"/>
      </w:pPr>
      <w:r>
        <w:rPr>
          <w:b/>
          <w:bCs/>
        </w:rPr>
        <w:t xml:space="preserve">La frontière de confiance</w:t>
      </w:r>
      <w:r>
        <w:t xml:space="preserve"> (backtest.py) — le moteur rejette, il ne corrige pas :</w:t>
      </w:r>
    </w:p>
    <w:p>
      <w:pPr>
        <w:shd w:fill="F2F2F2" w:val="clear"/>
        <w:spacing w:after="0"/>
        <w:ind w:left="240"/>
      </w:pPr>
      <w:r>
        <w:rPr>
          <w:rFonts w:ascii="Consolas" w:cs="Consolas" w:eastAsia="Consolas" w:hAnsi="Consolas"/>
          <w:sz w:val="18"/>
          <w:szCs w:val="18"/>
        </w:rPr>
        <w:t xml:space="preserve">if max_weight is not None and (weights &gt; max_weight + 1e-9).any():</w:t>
      </w:r>
    </w:p>
    <w:p>
      <w:pPr>
        <w:shd w:fill="F2F2F2" w:val="clear"/>
        <w:spacing w:after="0"/>
        <w:ind w:left="240"/>
      </w:pPr>
      <w:r>
        <w:rPr>
          <w:rFonts w:ascii="Consolas" w:cs="Consolas" w:eastAsia="Consolas" w:hAnsi="Consolas"/>
          <w:sz w:val="18"/>
          <w:szCs w:val="18"/>
        </w:rPr>
        <w:t xml:space="preserve">    raise ValueError(f"{strategy_name}: weight {weights.max():.4f} exceeds"</w:t>
      </w:r>
    </w:p>
    <w:p>
      <w:pPr>
        <w:shd w:fill="F2F2F2" w:val="clear"/>
        <w:spacing w:after="120"/>
        <w:ind w:left="240"/>
      </w:pPr>
      <w:r>
        <w:rPr>
          <w:rFonts w:ascii="Consolas" w:cs="Consolas" w:eastAsia="Consolas" w:hAnsi="Consolas"/>
          <w:sz w:val="18"/>
          <w:szCs w:val="18"/>
        </w:rPr>
        <w:t xml:space="preserve">                     f" the max_weight cap the engine was told to enforce.")</w:t>
      </w:r>
    </w:p>
    <w:p>
      <w:pPr>
        <w:spacing w:after="120"/>
      </w:pPr>
      <w:r>
        <w:rPr>
          <w:b/>
          <w:bCs/>
        </w:rPr>
        <w:t xml:space="preserve">Le test de clairvoyance parfaite</w:t>
      </w:r>
      <w:r>
        <w:t xml:space="preserve"> (test_backtest.py) — la preuve que le moteur, et non la discipline, empêche le lookahead :</w:t>
      </w:r>
    </w:p>
    <w:p>
      <w:pPr>
        <w:shd w:fill="F2F2F2" w:val="clear"/>
        <w:spacing w:after="0"/>
        <w:ind w:left="240"/>
      </w:pPr>
      <w:r>
        <w:rPr>
          <w:rFonts w:ascii="Consolas" w:cs="Consolas" w:eastAsia="Consolas" w:hAnsi="Consolas"/>
          <w:sz w:val="18"/>
          <w:szCs w:val="18"/>
        </w:rPr>
        <w:t xml:space="preserve">god_sharpe    = sharpe(cheat fed the FULL dataset by hand)   # &gt; 5</w:t>
      </w:r>
    </w:p>
    <w:p>
      <w:pPr>
        <w:shd w:fill="F2F2F2" w:val="clear"/>
        <w:spacing w:after="0"/>
        <w:ind w:left="240"/>
      </w:pPr>
      <w:r>
        <w:rPr>
          <w:rFonts w:ascii="Consolas" w:cs="Consolas" w:eastAsia="Consolas" w:hAnsi="Consolas"/>
          <w:sz w:val="18"/>
          <w:szCs w:val="18"/>
        </w:rPr>
        <w:t xml:space="preserve">engine_sharpe = sharpe(run_backtest(returns, cheat))          # ~ 0</w:t>
      </w:r>
    </w:p>
    <w:p>
      <w:pPr>
        <w:shd w:fill="F2F2F2" w:val="clear"/>
        <w:spacing w:after="120"/>
        <w:ind w:left="240"/>
      </w:pPr>
      <w:r>
        <w:rPr>
          <w:rFonts w:ascii="Consolas" w:cs="Consolas" w:eastAsia="Consolas" w:hAnsi="Consolas"/>
          <w:sz w:val="18"/>
          <w:szCs w:val="18"/>
        </w:rPr>
        <w:t xml:space="preserve">assert god_sharpe &gt; 5 * abs(engine_sharpe)</w:t>
      </w:r>
    </w:p>
    <w:p>
      <w:pPr>
        <w:pStyle w:val="Heading1"/>
      </w:pPr>
      <w:r>
        <w:t xml:space="preserve">7. Résultats</w:t>
      </w:r>
    </w:p>
    <w:p>
      <w:pPr>
        <w:pStyle w:val="Heading2"/>
      </w:pPr>
      <w:r>
        <w:t xml:space="preserve">7.1 Panneau complet (net de coûts, hors échantillon)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50"/>
        <w:gridCol w:w="2050"/>
        <w:gridCol w:w="1500"/>
        <w:gridCol w:w="1450"/>
        <w:gridCol w:w="1350"/>
        <w:gridCol w:w="1312"/>
      </w:tblGrid>
      <w:tr>
        <w:trPr>
          <w:tblHeader/>
        </w:trPr>
        <w:tc>
          <w:tcPr>
            <w:tcW w:type="dxa" w:w="175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Univers</w:t>
            </w:r>
          </w:p>
        </w:tc>
        <w:tc>
          <w:tcPr>
            <w:tcW w:type="dxa" w:w="205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Stratégie</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Sharpe net</w:t>
            </w:r>
          </w:p>
        </w:tc>
        <w:tc>
          <w:tcPr>
            <w:tcW w:type="dxa" w:w="145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Drawdown max</w:t>
            </w:r>
          </w:p>
        </w:tc>
        <w:tc>
          <w:tcPr>
            <w:tcW w:type="dxa" w:w="135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Turnover moy.</w:t>
            </w:r>
          </w:p>
        </w:tc>
        <w:tc>
          <w:tcPr>
            <w:tcW w:type="dxa" w:w="1312"/>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DSR</w:t>
            </w:r>
          </w:p>
        </w:tc>
      </w:tr>
      <w:tr>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ETF 2017→</w:t>
            </w:r>
          </w:p>
        </w:tc>
        <w:tc>
          <w:tcPr>
            <w:tcW w:type="dxa" w:w="20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1/N équipondéré</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0,853</w:t>
            </w:r>
          </w:p>
        </w:tc>
        <w:tc>
          <w:tcPr>
            <w:tcW w:type="dxa" w:w="1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−26,6 %</w:t>
            </w:r>
          </w:p>
        </w:tc>
        <w:tc>
          <w:tcPr>
            <w:tcW w:type="dxa" w:w="13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0,036</w:t>
            </w:r>
          </w:p>
        </w:tc>
        <w:tc>
          <w:tcPr>
            <w:tcW w:type="dxa" w:w="131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0,990</w:t>
            </w:r>
          </w:p>
        </w:tc>
      </w:tr>
      <w:tr>
        <w:tc>
          <w:tcPr>
            <w:tcW w:type="dxa" w:w="17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ETF 2017→</w:t>
            </w:r>
          </w:p>
        </w:tc>
        <w:tc>
          <w:tcPr>
            <w:tcW w:type="dxa" w:w="20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Min-variance</w:t>
            </w:r>
          </w:p>
        </w:tc>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0,849</w:t>
            </w:r>
          </w:p>
        </w:tc>
        <w:tc>
          <w:tcPr>
            <w:tcW w:type="dxa" w:w="14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−25,3 %</w:t>
            </w:r>
          </w:p>
        </w:tc>
        <w:tc>
          <w:tcPr>
            <w:tcW w:type="dxa" w:w="13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0,042</w:t>
            </w:r>
          </w:p>
        </w:tc>
        <w:tc>
          <w:tcPr>
            <w:tcW w:type="dxa" w:w="1312"/>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0,990</w:t>
            </w:r>
          </w:p>
        </w:tc>
      </w:tr>
      <w:tr>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ETF 2017→</w:t>
            </w:r>
          </w:p>
        </w:tc>
        <w:tc>
          <w:tcPr>
            <w:tcW w:type="dxa" w:w="20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Min-var. Ledoit-Wolf</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0,847</w:t>
            </w:r>
          </w:p>
        </w:tc>
        <w:tc>
          <w:tcPr>
            <w:tcW w:type="dxa" w:w="1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−25,3 %</w:t>
            </w:r>
          </w:p>
        </w:tc>
        <w:tc>
          <w:tcPr>
            <w:tcW w:type="dxa" w:w="13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0,042</w:t>
            </w:r>
          </w:p>
        </w:tc>
        <w:tc>
          <w:tcPr>
            <w:tcW w:type="dxa" w:w="131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0,990</w:t>
            </w:r>
          </w:p>
        </w:tc>
      </w:tr>
      <w:tr>
        <w:tc>
          <w:tcPr>
            <w:tcW w:type="dxa" w:w="17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ETF 2017→</w:t>
            </w:r>
          </w:p>
        </w:tc>
        <w:tc>
          <w:tcPr>
            <w:tcW w:type="dxa" w:w="20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b/>
                <w:bCs/>
              </w:rPr>
              <w:t xml:space="preserve">Max-Sharpe</w:t>
            </w:r>
          </w:p>
        </w:tc>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b/>
                <w:bCs/>
              </w:rPr>
              <w:t xml:space="preserve">0,955</w:t>
            </w:r>
          </w:p>
        </w:tc>
        <w:tc>
          <w:tcPr>
            <w:tcW w:type="dxa" w:w="14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−25,6 %</w:t>
            </w:r>
          </w:p>
        </w:tc>
        <w:tc>
          <w:tcPr>
            <w:tcW w:type="dxa" w:w="13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0,048</w:t>
            </w:r>
          </w:p>
        </w:tc>
        <w:tc>
          <w:tcPr>
            <w:tcW w:type="dxa" w:w="1312"/>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0,996</w:t>
            </w:r>
          </w:p>
        </w:tc>
      </w:tr>
      <w:tr>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9 actifs 2021→</w:t>
            </w:r>
          </w:p>
        </w:tc>
        <w:tc>
          <w:tcPr>
            <w:tcW w:type="dxa" w:w="20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rPr>
              <w:t xml:space="preserve">1/N équipondéré</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rPr>
              <w:t xml:space="preserve">1,041</w:t>
            </w:r>
          </w:p>
        </w:tc>
        <w:tc>
          <w:tcPr>
            <w:tcW w:type="dxa" w:w="1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−14,0 %</w:t>
            </w:r>
          </w:p>
        </w:tc>
        <w:tc>
          <w:tcPr>
            <w:tcW w:type="dxa" w:w="13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0,053</w:t>
            </w:r>
          </w:p>
        </w:tc>
        <w:tc>
          <w:tcPr>
            <w:tcW w:type="dxa" w:w="131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0,978</w:t>
            </w:r>
          </w:p>
        </w:tc>
      </w:tr>
      <w:tr>
        <w:tc>
          <w:tcPr>
            <w:tcW w:type="dxa" w:w="17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9 actifs 2021→</w:t>
            </w:r>
          </w:p>
        </w:tc>
        <w:tc>
          <w:tcPr>
            <w:tcW w:type="dxa" w:w="20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Min-variance</w:t>
            </w:r>
          </w:p>
        </w:tc>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0,965</w:t>
            </w:r>
          </w:p>
        </w:tc>
        <w:tc>
          <w:tcPr>
            <w:tcW w:type="dxa" w:w="14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−13,7 %</w:t>
            </w:r>
          </w:p>
        </w:tc>
        <w:tc>
          <w:tcPr>
            <w:tcW w:type="dxa" w:w="13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0,075</w:t>
            </w:r>
          </w:p>
        </w:tc>
        <w:tc>
          <w:tcPr>
            <w:tcW w:type="dxa" w:w="1312"/>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0,969</w:t>
            </w:r>
          </w:p>
        </w:tc>
      </w:tr>
      <w:tr>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9 actifs 2021→</w:t>
            </w:r>
          </w:p>
        </w:tc>
        <w:tc>
          <w:tcPr>
            <w:tcW w:type="dxa" w:w="20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Min-var. Ledoit-Wolf</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0,967</w:t>
            </w:r>
          </w:p>
        </w:tc>
        <w:tc>
          <w:tcPr>
            <w:tcW w:type="dxa" w:w="1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−13,6 %</w:t>
            </w:r>
          </w:p>
        </w:tc>
        <w:tc>
          <w:tcPr>
            <w:tcW w:type="dxa" w:w="13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0,071</w:t>
            </w:r>
          </w:p>
        </w:tc>
        <w:tc>
          <w:tcPr>
            <w:tcW w:type="dxa" w:w="131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0,969</w:t>
            </w:r>
          </w:p>
        </w:tc>
      </w:tr>
      <w:tr>
        <w:tc>
          <w:tcPr>
            <w:tcW w:type="dxa" w:w="17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9 actifs 2021→</w:t>
            </w:r>
          </w:p>
        </w:tc>
        <w:tc>
          <w:tcPr>
            <w:tcW w:type="dxa" w:w="20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Max-Sharpe</w:t>
            </w:r>
          </w:p>
        </w:tc>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1,011</w:t>
            </w:r>
          </w:p>
        </w:tc>
        <w:tc>
          <w:tcPr>
            <w:tcW w:type="dxa" w:w="14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−15,3 %</w:t>
            </w:r>
          </w:p>
        </w:tc>
        <w:tc>
          <w:tcPr>
            <w:tcW w:type="dxa" w:w="13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0,186</w:t>
            </w:r>
          </w:p>
        </w:tc>
        <w:tc>
          <w:tcPr>
            <w:tcW w:type="dxa" w:w="1312"/>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0,975</w:t>
            </w:r>
          </w:p>
        </w:tc>
      </w:tr>
    </w:tbl>
    <w:p>
      <w:pPr>
        <w:spacing w:after="120"/>
      </w:pPr>
      <w:r>
        <w:t xml:space="preserve"/>
      </w:r>
    </w:p>
    <w:p>
      <w:pPr>
        <w:spacing w:after="120"/>
      </w:pPr>
      <w:r>
        <w:rPr>
          <w:b/>
          <w:bCs/>
        </w:rPr>
        <w:t xml:space="preserve">Lecture 1 — DeMiguel se vérifie chez nous (P1).</w:t>
      </w:r>
      <w:r>
        <w:t xml:space="preserve"> Sur l’univers complet, le 1/N bat tous les optimiseurs nets de coûts, avec 3,5 fois moins de rotation que le max-Sharpe (0,053 contre 0,186). L’optimisation sur moments d’échantillon bruités dépense son avantage théorique en frais et en instabilité. C’est la raison d’être des Phases 3–4 : si le ML ne bat pas cette haie, le produit honnête est le 1/N.</w:t>
      </w:r>
      <w:r>
        <w:rPr>
          <w:b/>
          <w:color w:val="B03000"/>
          <w:sz w:val="19"/>
        </w:rPr>
        <w:t xml:space="preserve">  [RÉTRACTÉ 25/07/2026] Ce résultat était un artefact des dividendes BVC manquants. Corrigé, max_sharpe (1,163) bat equal_weight (1,152) sur full_2021 : la reproduction de DeMiguel ne survit pas à la correction. Voir docs/DIVIDEND_BIAS.md.</w:t>
      </w:r>
    </w:p>
    <w:p>
      <w:pPr>
        <w:spacing w:after="120"/>
      </w:pPr>
      <w:r>
        <w:rPr>
          <w:b/>
          <w:bCs/>
        </w:rPr>
        <w:t xml:space="preserve">Lecture 2 — le rétrécissement ne suffit pas (P1 → P2).</w:t>
      </w:r>
      <w:r>
        <w:t xml:space="preserve"> Ledoit-Wolf ≈ échantillon sur les deux univers : à cette taille d’univers, le bruit d’estimation n’est pas le facteur limitant. L’hypothèse de travail de la Phase 4 — c’est la </w:t>
      </w:r>
      <w:r>
        <w:rPr>
          <w:i/>
          <w:iCs/>
        </w:rPr>
        <w:t xml:space="preserve">non-stationnarité</w:t>
      </w:r>
      <w:r>
        <w:t xml:space="preserve"> de la covariance qu’il faut traiter — sort renforcée et, surtout, testable.</w:t>
      </w:r>
    </w:p>
    <w:p>
      <w:pPr>
        <w:spacing w:after="120"/>
      </w:pPr>
      <w:r>
        <w:rPr>
          <w:b/>
          <w:bCs/>
        </w:rPr>
        <w:t xml:space="preserve">Lecture 3 — pas de bascule brut/net aux coûts retenus.</w:t>
      </w:r>
      <w:r>
        <w:t xml:space="preserve"> Le classement des stratégies est le même brut et net à 10/30 pb ; les coûts pèsent (drag total de 0,37 % à 0,50 % du NAV en cumulé selon la stratégie) sans réordonner ces référentiels-ci. Constat négatif honnête — utile pour l’interprétation, pas pour la communication.</w:t>
      </w:r>
    </w:p>
    <w:p>
      <w:pPr>
        <w:pStyle w:val="Heading2"/>
      </w:pPr>
      <w:r>
        <w:t xml:space="preserve">7.2 Les crises en chiffres (univers ETF, net de coûts) — P3</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50"/>
        <w:gridCol w:w="2350"/>
        <w:gridCol w:w="2300"/>
        <w:gridCol w:w="2312"/>
      </w:tblGrid>
      <w:tr>
        <w:trPr>
          <w:tblHeader/>
        </w:trPr>
        <w:tc>
          <w:tcPr>
            <w:tcW w:type="dxa" w:w="245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Stratégie</w:t>
            </w:r>
          </w:p>
        </w:tc>
        <w:tc>
          <w:tcPr>
            <w:tcW w:type="dxa" w:w="235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COVID 2020 : rendement</w:t>
            </w:r>
          </w:p>
        </w:tc>
        <w:tc>
          <w:tcPr>
            <w:tcW w:type="dxa" w:w="2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COVID 2020 : DD max</w:t>
            </w:r>
          </w:p>
        </w:tc>
        <w:tc>
          <w:tcPr>
            <w:tcW w:type="dxa" w:w="2312"/>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Choc 2022 : rendement / DD max</w:t>
            </w:r>
          </w:p>
        </w:tc>
      </w:tr>
      <w:tr>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1/N équipondéré</w:t>
            </w:r>
          </w:p>
        </w:tc>
        <w:tc>
          <w:tcPr>
            <w:tcW w:type="dxa" w:w="23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+26,3 %</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−19,1 %</w:t>
            </w:r>
          </w:p>
        </w:tc>
        <w:tc>
          <w:tcPr>
            <w:tcW w:type="dxa" w:w="231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−20,8 % / −25,8 %</w:t>
            </w:r>
          </w:p>
        </w:tc>
      </w:tr>
      <w:tr>
        <w:tc>
          <w:tcPr>
            <w:tcW w:type="dxa" w:w="24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Min-variance</w:t>
            </w:r>
          </w:p>
        </w:tc>
        <w:tc>
          <w:tcPr>
            <w:tcW w:type="dxa" w:w="23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+24,7 %</w:t>
            </w:r>
          </w:p>
        </w:tc>
        <w:tc>
          <w:tcPr>
            <w:tcW w:type="dxa" w:w="2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−16,9 %</w:t>
            </w:r>
          </w:p>
        </w:tc>
        <w:tc>
          <w:tcPr>
            <w:tcW w:type="dxa" w:w="2312"/>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−18,4 % / −24,5 %</w:t>
            </w:r>
          </w:p>
        </w:tc>
      </w:tr>
      <w:tr>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Min-var. Ledoit-Wolf</w:t>
            </w:r>
          </w:p>
        </w:tc>
        <w:tc>
          <w:tcPr>
            <w:tcW w:type="dxa" w:w="23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+24,7 %</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−16,9 %</w:t>
            </w:r>
          </w:p>
        </w:tc>
        <w:tc>
          <w:tcPr>
            <w:tcW w:type="dxa" w:w="231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−18,4 % / −24,5 %</w:t>
            </w:r>
          </w:p>
        </w:tc>
      </w:tr>
      <w:tr>
        <w:tc>
          <w:tcPr>
            <w:tcW w:type="dxa" w:w="24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Max-Sharpe</w:t>
            </w:r>
          </w:p>
        </w:tc>
        <w:tc>
          <w:tcPr>
            <w:tcW w:type="dxa" w:w="235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+28,3 %</w:t>
            </w:r>
          </w:p>
        </w:tc>
        <w:tc>
          <w:tcPr>
            <w:tcW w:type="dxa" w:w="2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−16,2 %</w:t>
            </w:r>
          </w:p>
        </w:tc>
        <w:tc>
          <w:tcPr>
            <w:tcW w:type="dxa" w:w="2312"/>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−21,0 % / −24,9 %</w:t>
            </w:r>
          </w:p>
        </w:tc>
      </w:tr>
    </w:tbl>
    <w:p>
      <w:pPr>
        <w:spacing w:after="120"/>
      </w:pPr>
      <w:r>
        <w:t xml:space="preserve"/>
      </w:r>
    </w:p>
    <w:p>
      <w:pPr>
        <w:spacing w:after="120"/>
      </w:pPr>
      <w:r>
        <w:t xml:space="preserve">Enseignement P3 : pour toutes les stratégies, </w:t>
      </w:r>
      <w:r>
        <w:rPr>
          <w:b/>
          <w:bCs/>
        </w:rPr>
        <w:t xml:space="preserve">2022 a fait plus mal que le COVID</w:t>
      </w:r>
      <w:r>
        <w:t xml:space="preserve"> — drawdowns plus profonds et année négative, là où 2020 s’était soldée par un fort rebond. En 2022, actions ET obligations ont chuté ensemble : la corrélation qui protège en temps normal s’est retournée, exactement le phénomène de rupture de diversification que le projet cible. Aucune des baselines statiques n’y échappe ; c’est la fenêtre où un modèle à régimes (Phase 4) a quelque chose à prouver.</w:t>
      </w:r>
    </w:p>
    <w:p>
      <w:pPr>
        <w:pStyle w:val="Heading2"/>
      </w:pPr>
      <w:r>
        <w:t xml:space="preserve">7.3 La haie officielle de la Phase 4</w:t>
      </w:r>
    </w:p>
    <w:p>
      <w:pPr>
        <w:shd w:fill="F2F2F2" w:val="clear"/>
        <w:spacing w:after="0"/>
        <w:ind w:left="240"/>
      </w:pPr>
      <w:r>
        <w:rPr>
          <w:rFonts w:ascii="Consolas" w:cs="Consolas" w:eastAsia="Consolas" w:hAnsi="Consolas"/>
          <w:sz w:val="18"/>
          <w:szCs w:val="18"/>
        </w:rPr>
        <w:t xml:space="preserve">data/gold/phase2_hurdle.json</w:t>
      </w:r>
    </w:p>
    <w:p>
      <w:pPr>
        <w:shd w:fill="F2F2F2" w:val="clear"/>
        <w:spacing w:after="0"/>
        <w:ind w:left="240"/>
      </w:pPr>
      <w:r>
        <w:rPr>
          <w:rFonts w:ascii="Consolas" w:cs="Consolas" w:eastAsia="Consolas" w:hAnsi="Consolas"/>
          <w:sz w:val="18"/>
          <w:szCs w:val="18"/>
        </w:rPr>
        <w:t xml:space="preserve">  etf_2017  : { "strategy": "max_sharpe",   "sharpe_net": 0.955, "n_trials": 4, ... }</w:t>
      </w:r>
    </w:p>
    <w:p>
      <w:pPr>
        <w:shd w:fill="F2F2F2" w:val="clear"/>
        <w:spacing w:after="120"/>
        <w:ind w:left="240"/>
      </w:pPr>
      <w:r>
        <w:rPr>
          <w:rFonts w:ascii="Consolas" w:cs="Consolas" w:eastAsia="Consolas" w:hAnsi="Consolas"/>
          <w:sz w:val="18"/>
          <w:szCs w:val="18"/>
        </w:rPr>
        <w:t xml:space="preserve">  full_2021 : { "strategy": "equal_weight", "sharpe_net": 1.041, "n_trials": 4, ... }</w:t>
      </w:r>
    </w:p>
    <w:p>
      <w:pPr>
        <w:spacing w:after="120"/>
      </w:pPr>
      <w:r>
        <w:t xml:space="preserve">Un modèle de la Phase 4 devra dépasser ces valeurs </w:t>
      </w:r>
      <w:r>
        <w:rPr>
          <w:b/>
          <w:bCs/>
        </w:rPr>
        <w:t xml:space="preserve">sur le même moteur, les mêmes contraintes et les mêmes coûts</w:t>
      </w:r>
      <w:r>
        <w:t xml:space="preserve"> — la comparaison s’assertera contre ce fichier, versionné avec les données (DVC) et archivé dans MLflow.</w:t>
      </w:r>
    </w:p>
    <w:p>
      <w:r>
        <w:br w:type="page"/>
      </w:r>
    </w:p>
    <w:p>
      <w:pPr>
        <w:pStyle w:val="Heading1"/>
      </w:pPr>
      <w:r>
        <w:t xml:space="preserve">8. Stratégie de test</w:t>
      </w:r>
    </w:p>
    <w:p>
      <w:pPr>
        <w:spacing w:after="120"/>
      </w:pPr>
      <w:r>
        <w:t xml:space="preserve">57 nouveaux tests (20 moteur, 23 stratégies, 14 métriques), portant la suite du dépôt à </w:t>
      </w:r>
      <w:r>
        <w:rPr>
          <w:b/>
          <w:bCs/>
        </w:rPr>
        <w:t xml:space="preserve">109 tests</w:t>
      </w:r>
      <w:r>
        <w:t xml:space="preserve">, tous hors-ligne et synthétiques (~3 s). La convention de nommage reste « la règle verrouillée », pas « la fonction appelée » — et la Phase 2 y ajoute sa pièce maîtresse : </w:t>
      </w:r>
      <w:r>
        <w:rPr>
          <w:b/>
          <w:bCs/>
        </w:rPr>
        <w:t xml:space="preserve">la porte anti-lookahead</w:t>
      </w:r>
      <w:r>
        <w:t xml:space="preserve">, condition d’entrée de toute modélisation future.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100"/>
        <w:gridCol w:w="5312"/>
      </w:tblGrid>
      <w:tr>
        <w:trPr>
          <w:tblHeader/>
        </w:trPr>
        <w:tc>
          <w:tcPr>
            <w:tcW w:type="dxa" w:w="4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Test (extrait)</w:t>
            </w:r>
          </w:p>
        </w:tc>
        <w:tc>
          <w:tcPr>
            <w:tcW w:type="dxa" w:w="5312"/>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Règle verrouillée</w:t>
            </w:r>
          </w:p>
        </w:tc>
      </w:tr>
      <w:tr>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test_engine_never_passes_future_data</w:t>
            </w:r>
          </w:p>
        </w:tc>
        <w:tc>
          <w:tcPr>
            <w:tcW w:type="dxa" w:w="531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Une stratégie-espionne enregistre tout ce que le moteur lui montre : chaque fenêtre s’arrête au plus tard à sa date de rééquilibrage.</w:t>
            </w:r>
          </w:p>
        </w:tc>
      </w:tr>
      <w:tr>
        <w:tc>
          <w:tcPr>
            <w:tcW w:type="dxa" w:w="4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test_perfect_foresight_collapses_inside_engine</w:t>
            </w:r>
          </w:p>
        </w:tc>
        <w:tc>
          <w:tcPr>
            <w:tcW w:type="dxa" w:w="5312"/>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La stratégie tricheuse : Sharpe &gt; 5 avec le futur en main, ~0 à travers le moteur (cf. 5.1).</w:t>
            </w:r>
          </w:p>
        </w:tc>
      </w:tr>
      <w:tr>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test_new_weights_earn_returns_from_next_day…</w:t>
            </w:r>
          </w:p>
        </w:tc>
        <w:tc>
          <w:tcPr>
            <w:tcW w:type="dxa" w:w="531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Les poids décidés en τ ne gagnent rien en τ (exemple à deux actifs calculé à la main).</w:t>
            </w:r>
          </w:p>
        </w:tc>
      </w:tr>
      <w:tr>
        <w:tc>
          <w:tcPr>
            <w:tcW w:type="dxa" w:w="4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test_portfolio_return_uses_simple_not_log…</w:t>
            </w:r>
          </w:p>
        </w:tc>
        <w:tc>
          <w:tcPr>
            <w:tcW w:type="dxa" w:w="5312"/>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L’agrégation utilise e^r − 1 ; l’exemple chiffré fait diverger les deux calculs.</w:t>
            </w:r>
          </w:p>
        </w:tc>
      </w:tr>
      <w:tr>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test_turnover_measured_against_drifted…</w:t>
            </w:r>
          </w:p>
        </w:tc>
        <w:tc>
          <w:tcPr>
            <w:tcW w:type="dxa" w:w="531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Le turnover facturé est celui du portefeuille dérivé (calcul manuel 2/3–1/3 → 50/50).</w:t>
            </w:r>
          </w:p>
        </w:tc>
      </w:tr>
      <w:tr>
        <w:tc>
          <w:tcPr>
            <w:tcW w:type="dxa" w:w="4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test_engine_rejects_weights_above_cap</w:t>
            </w:r>
          </w:p>
        </w:tc>
        <w:tc>
          <w:tcPr>
            <w:tcW w:type="dxa" w:w="5312"/>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Le plafond est imposé à la frontière : 40 % sur un actif avec plafond 25 % → exception.</w:t>
            </w:r>
          </w:p>
        </w:tc>
      </w:tr>
      <w:tr>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test_engine_slices_extras_to_train_window</w:t>
            </w:r>
          </w:p>
        </w:tc>
        <w:tc>
          <w:tcPr>
            <w:tcW w:type="dxa" w:w="531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La couture Phase 4 : les données auxiliaires sont découpées comme les rendements.</w:t>
            </w:r>
          </w:p>
        </w:tc>
      </w:tr>
      <w:tr>
        <w:tc>
          <w:tcPr>
            <w:tcW w:type="dxa" w:w="4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test_dsr_decreases_as_trials_increase / …penalized_by_negative_skew</w:t>
            </w:r>
          </w:p>
        </w:tc>
        <w:tc>
          <w:tcPr>
            <w:tcW w:type="dxa" w:w="5312"/>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Le DSR punit bien la multiplication des essais et l’asymétrie défavorable.</w:t>
            </w:r>
          </w:p>
        </w:tc>
      </w:tr>
      <w:tr>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test_infeasible_cap_raises</w:t>
            </w:r>
          </w:p>
        </w:tc>
        <w:tc>
          <w:tcPr>
            <w:tcW w:type="dxa" w:w="531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9 actifs × plafond 10 % &lt; 1 → exception explicite, pas un optimiseur qui tourne en rond.</w:t>
            </w:r>
          </w:p>
        </w:tc>
      </w:tr>
    </w:tbl>
    <w:p>
      <w:pPr>
        <w:spacing w:after="120"/>
      </w:pPr>
      <w:r>
        <w:t xml:space="preserve"/>
      </w:r>
    </w:p>
    <w:p>
      <w:pPr>
        <w:spacing w:after="120"/>
      </w:pPr>
      <w:r>
        <w:t xml:space="preserve">L’intégration continue (GitHub Actions) exécute désormais la suite complète sur machine vierge à chaque push et pull request — la version automatisée du « clonez et lancez pytest », qui aurait détecté le jour même l’épinglage fantôme fredapi&gt;=3.1 découvert lors de la dockerisation.</w:t>
      </w:r>
    </w:p>
    <w:p>
      <w:pPr>
        <w:pStyle w:val="Heading1"/>
      </w:pPr>
      <w:r>
        <w:t xml:space="preserve">9. Limitations connues et réserves</w:t>
      </w:r>
    </w:p>
    <w:p>
      <w:pPr>
        <w:pStyle w:val="ListParagraph"/>
        <w:numPr>
          <w:ilvl w:val="0"/>
          <w:numId w:val="2"/>
        </w:numPr>
        <w:spacing w:after="60"/>
      </w:pPr>
      <w:r>
        <w:rPr>
          <w:b/>
          <w:bCs/>
        </w:rPr>
        <w:t xml:space="preserve">Change non couvert.</w:t>
      </w:r>
      <w:r>
        <w:t xml:space="preserve"> Les rendements BVC sont en MAD, les ETF en USD ; l’arithmétique est valide (rendements sans unité) mais les résultats portent une exposition USD/MAD non couverte. Documenté dans le moteur, le notebook et le contexte projet ; toute « correction » exigerait un modèle de couverture hors périmètre.</w:t>
      </w:r>
    </w:p>
    <w:p>
      <w:pPr>
        <w:pStyle w:val="ListParagraph"/>
        <w:numPr>
          <w:ilvl w:val="0"/>
          <w:numId w:val="2"/>
        </w:numPr>
        <w:spacing w:after="60"/>
      </w:pPr>
      <w:r>
        <w:rPr>
          <w:b/>
          <w:bCs/>
        </w:rPr>
        <w:t xml:space="preserve">L’univers complet ne contient pas le COVID.</w:t>
      </w:r>
      <w:r>
        <w:t xml:space="preserve"> Héritée de la Phase 1 (fenêtre glissante BVC) ; compensée par le double univers, jamais masquée. L’évidence de crise 9 actifs repose sur 2022 seul.</w:t>
      </w:r>
    </w:p>
    <w:p>
      <w:pPr>
        <w:pStyle w:val="ListParagraph"/>
        <w:numPr>
          <w:ilvl w:val="0"/>
          <w:numId w:val="2"/>
        </w:numPr>
        <w:spacing w:after="60"/>
      </w:pPr>
      <w:r>
        <w:rPr>
          <w:b/>
          <w:bCs/>
        </w:rPr>
        <w:t xml:space="preserve">DSR à petit N.</w:t>
      </w:r>
      <w:r>
        <w:t xml:space="preserve"> N = 4–5 par univers : directionnel, pas précis. La politique d’accumulation de N entre sessions (via l’historique MLflow) est une décision à prendre avant la Phase 5.</w:t>
      </w:r>
    </w:p>
    <w:p>
      <w:pPr>
        <w:pStyle w:val="ListParagraph"/>
        <w:numPr>
          <w:ilvl w:val="0"/>
          <w:numId w:val="2"/>
        </w:numPr>
        <w:spacing w:after="60"/>
      </w:pPr>
      <w:r>
        <w:rPr>
          <w:b/>
          <w:bCs/>
        </w:rPr>
        <w:t xml:space="preserve">rf = 0</w:t>
      </w:r>
      <w:r>
        <w:t xml:space="preserve"> (paramétré, cf. 5.10) ; </w:t>
      </w:r>
      <w:r>
        <w:rPr>
          <w:b/>
          <w:bCs/>
        </w:rPr>
        <w:t xml:space="preserve">coûts linéaires</w:t>
      </w:r>
      <w:r>
        <w:t xml:space="preserve"> sans impact de marché ni fourchette dynamique ; </w:t>
      </w:r>
      <w:r>
        <w:rPr>
          <w:b/>
          <w:bCs/>
        </w:rPr>
        <w:t xml:space="preserve">turnover initial = 1</w:t>
      </w:r>
      <w:r>
        <w:t xml:space="preserve"> (achat depuis le cash au premier rééquilibrage) — réaliste mais pénalise légèrement l’univers le plus court dans les comparaisons inter-univers.</w:t>
      </w:r>
    </w:p>
    <w:p>
      <w:pPr>
        <w:pStyle w:val="ListParagraph"/>
        <w:numPr>
          <w:ilvl w:val="0"/>
          <w:numId w:val="2"/>
        </w:numPr>
        <w:spacing w:after="60"/>
      </w:pPr>
      <w:r>
        <w:rPr>
          <w:b/>
          <w:bCs/>
        </w:rPr>
        <w:t xml:space="preserve">Points volontairement reportés.</w:t>
      </w:r>
      <w:r>
        <w:t xml:space="preserve"> Consolidation de l’univers de tickers dans params.yaml (première tâche de la Phase 3) ; sensibilité à la fréquence de rééquilibrage et intervalles de confiance bootstrap (Phase 5) ; remote DVC partagé (décision d’équipe).</w:t>
      </w:r>
    </w:p>
    <w:p>
      <w:pPr>
        <w:pStyle w:val="Heading1"/>
      </w:pPr>
      <w:r>
        <w:t xml:space="preserve">10. Traçabilité P1–P4</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100"/>
        <w:gridCol w:w="4100"/>
        <w:gridCol w:w="4212"/>
      </w:tblGrid>
      <w:tr>
        <w:trPr>
          <w:tblHeader/>
        </w:trPr>
        <w:tc>
          <w:tcPr>
            <w:tcW w:type="dxa" w:w="1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Pb.</w:t>
            </w:r>
          </w:p>
        </w:tc>
        <w:tc>
          <w:tcPr>
            <w:tcW w:type="dxa" w:w="4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Composants Phase 2</w:t>
            </w:r>
          </w:p>
        </w:tc>
        <w:tc>
          <w:tcPr>
            <w:tcW w:type="dxa" w:w="4212"/>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Mécanisme</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P1</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MinVariance, MinVarianceLW, MaxSharpe + plafond ; EqualWeight comme haie ; échelle d’ablation</w:t>
            </w:r>
          </w:p>
        </w:tc>
        <w:tc>
          <w:tcPr>
            <w:tcW w:type="dxa" w:w="421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Quantifie le coût réel du bruit d’estimation (le 1/N gagne net sur 9 actifs) et isole la contribution de chaque remède ; le barreau Ledoit-Wolf montre que le rétrécissement seul ne suffit pas ici.</w:t>
            </w:r>
          </w:p>
        </w:tc>
      </w:tr>
      <w:tr>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P2</w:t>
            </w:r>
          </w:p>
        </w:tc>
        <w:tc>
          <w:tcPr>
            <w:tcW w:type="dxa" w:w="4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Fenêtre croissante ; ré-estimation à chaque rééquilibrage ; lecture 2 de la section 7</w:t>
            </w:r>
          </w:p>
        </w:tc>
        <w:tc>
          <w:tcPr>
            <w:tcW w:type="dxa" w:w="4212"/>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Les paramètres sont réappris à chaque date ; le diagnostic « la covariance statique se périme » est posé et rendu testable pour la Phase 4.</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P3</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Double univers ; tableau des crises ; coûts majorés BVC</w:t>
            </w:r>
          </w:p>
        </w:tc>
        <w:tc>
          <w:tcPr>
            <w:tcW w:type="dxa" w:w="421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COVID et 2022 dans la fenêtre hors échantillon ; 2022 documenté comme le vrai stress (actions et obligations ensemble) ; l’illiquidité marocaine facturée, pas ignorée.</w:t>
            </w:r>
          </w:p>
        </w:tc>
      </w:tr>
      <w:tr>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P4</w:t>
            </w:r>
          </w:p>
        </w:tc>
        <w:tc>
          <w:tcPr>
            <w:tcW w:type="dxa" w:w="4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Le moteur-frontière ; timing τ/τ+1 ; porte de tests anti-lookahead ; DSR + règle N ; haie machine-readable ; MLflow ; CI</w:t>
            </w:r>
          </w:p>
        </w:tc>
        <w:tc>
          <w:tcPr>
            <w:tcW w:type="dxa" w:w="4212"/>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sz w:val="19"/>
                <w:szCs w:val="19"/>
              </w:rPr>
              <w:t xml:space="preserve">Le cœur de la phase : aucune information future ne peut atteindre une décision passée, chaque essai est compté, et la barre à franchir est une donnée versionnée.</w:t>
            </w:r>
          </w:p>
        </w:tc>
      </w:tr>
    </w:tbl>
    <w:p>
      <w:pPr>
        <w:pStyle w:val="Heading1"/>
      </w:pPr>
      <w:r>
        <w:t xml:space="preserve">11. Transition vers les Phases 3 et 4</w:t>
      </w:r>
    </w:p>
    <w:p>
      <w:pPr>
        <w:spacing w:after="120"/>
      </w:pPr>
      <w:r>
        <w:t xml:space="preserve">Le contrat est en place : la Phase 4 livrera des stratégies implémentant la même interface (fit(fenêtre, extras) → poids), branchées sur le même moteur, les mêmes contraintes et les mêmes coûts. Les features macro de la Phase 1 et les étiquettes de régime HMM arriveront par le paramètre extras, </w:t>
      </w:r>
      <w:r>
        <w:rPr>
          <w:i/>
          <w:iCs/>
        </w:rPr>
        <w:t xml:space="preserve">découpé par le moteur</w:t>
      </w:r>
      <w:r>
        <w:t xml:space="preserve"> — le lookahead reste impossible par construction. La question à laquelle la Phase 4 devra répondre est désormais chiffrée : </w:t>
      </w:r>
      <w:r>
        <w:rPr>
          <w:b/>
          <w:bCs/>
        </w:rPr>
        <w:t xml:space="preserve">battre 0,955 (ETF) et 1,041 (9 actifs) de Sharpe net</w:t>
      </w:r>
      <w:r>
        <w:t xml:space="preserve">, et démontrer que la covariance </w:t>
      </w:r>
      <w:r>
        <w:rPr>
          <w:i/>
          <w:iCs/>
        </w:rPr>
        <w:t xml:space="preserve">dynamique</w:t>
      </w:r>
      <w:r>
        <w:t xml:space="preserve"> (EWMA puis DCC-GARCH) apporte ce que le rétrécissement statique n’a pas apporté. La Phase 3 (feature engineering) commence par la consolidation de configuration identifiée en Phase 1.</w:t>
      </w:r>
    </w:p>
    <w:p>
      <w:pPr>
        <w:pStyle w:val="Heading1"/>
      </w:pPr>
      <w:r>
        <w:t xml:space="preserve">Annexe — Commandes de référence</w:t>
      </w:r>
    </w:p>
    <w:p>
      <w:pPr>
        <w:shd w:fill="F2F2F2" w:val="clear"/>
        <w:spacing w:after="0"/>
        <w:ind w:left="240"/>
      </w:pPr>
      <w:r>
        <w:rPr>
          <w:rFonts w:ascii="Consolas" w:cs="Consolas" w:eastAsia="Consolas" w:hAnsi="Consolas"/>
          <w:sz w:val="18"/>
          <w:szCs w:val="18"/>
        </w:rPr>
        <w:t xml:space="preserve">python src/run_backtest.py       # 8 backtests, MLflow + phase2_hurdle.json</w:t>
      </w:r>
    </w:p>
    <w:p>
      <w:pPr>
        <w:shd w:fill="F2F2F2" w:val="clear"/>
        <w:spacing w:after="0"/>
        <w:ind w:left="240"/>
      </w:pPr>
      <w:r>
        <w:rPr>
          <w:rFonts w:ascii="Consolas" w:cs="Consolas" w:eastAsia="Consolas" w:hAnsi="Consolas"/>
          <w:sz w:val="18"/>
          <w:szCs w:val="18"/>
        </w:rPr>
        <w:t xml:space="preserve">mlflow ui                        # inspection des 8 exécutions imbriquées</w:t>
      </w:r>
    </w:p>
    <w:p>
      <w:pPr>
        <w:shd w:fill="F2F2F2" w:val="clear"/>
        <w:spacing w:after="0"/>
        <w:ind w:left="240"/>
      </w:pPr>
      <w:r>
        <w:rPr>
          <w:rFonts w:ascii="Consolas" w:cs="Consolas" w:eastAsia="Consolas" w:hAnsi="Consolas"/>
          <w:sz w:val="18"/>
          <w:szCs w:val="18"/>
        </w:rPr>
        <w:t xml:space="preserve">pytest -q                        # 109 tests, hors-ligne, ~3 s</w:t>
      </w:r>
    </w:p>
    <w:p>
      <w:pPr>
        <w:shd w:fill="F2F2F2" w:val="clear"/>
        <w:spacing w:after="0"/>
        <w:ind w:left="240"/>
      </w:pPr>
      <w:r>
        <w:rPr>
          <w:rFonts w:ascii="Consolas" w:cs="Consolas" w:eastAsia="Consolas" w:hAnsi="Consolas"/>
          <w:sz w:val="18"/>
          <w:szCs w:val="18"/>
        </w:rPr>
        <w:t xml:space="preserve">jupyter notebook notebooks/phase2_backtest.ipynb</w:t>
      </w:r>
    </w:p>
    <w:p>
      <w:pPr>
        <w:shd w:fill="F2F2F2" w:val="clear"/>
        <w:spacing w:after="120"/>
        <w:ind w:left="240"/>
      </w:pPr>
      <w:r>
        <w:rPr>
          <w:rFonts w:ascii="Consolas" w:cs="Consolas" w:eastAsia="Consolas" w:hAnsi="Consolas"/>
          <w:sz w:val="18"/>
          <w:szCs w:val="18"/>
        </w:rPr>
        <w:t xml:space="preserve">docker run --rm souhailbourhim/portfolio-ml:phase2   # suite de tests, zéro config</w:t>
      </w:r>
    </w:p>
    <w:p>
      <w:pPr>
        <w:pStyle w:val="Heading1"/>
      </w:pPr>
      <w:r>
        <w:t xml:space="preserve">Références</w:t>
      </w:r>
    </w:p>
    <w:p>
      <w:pPr>
        <w:pStyle w:val="ListParagraph"/>
        <w:numPr>
          <w:ilvl w:val="0"/>
          <w:numId w:val="2"/>
        </w:numPr>
        <w:spacing w:after="60"/>
      </w:pPr>
      <w:r>
        <w:t xml:space="preserve">DeMiguel, V., Garlappi, L. &amp; Uppal, R. (2009). Optimal Versus Naive Diversification: How Inefficient is the 1/N Portfolio Strategy? Review of Financial Studies, 22(5).</w:t>
      </w:r>
    </w:p>
    <w:p>
      <w:pPr>
        <w:pStyle w:val="ListParagraph"/>
        <w:numPr>
          <w:ilvl w:val="0"/>
          <w:numId w:val="2"/>
        </w:numPr>
        <w:spacing w:after="60"/>
      </w:pPr>
      <w:r>
        <w:t xml:space="preserve">Bailey, D. &amp; López de Prado, M. (2014). The Deflated Sharpe Ratio: Correcting for Selection Bias, Backtest Overfitting and Non-Normality. Journal of Portfolio Management, 40(5).</w:t>
      </w:r>
    </w:p>
    <w:p>
      <w:pPr>
        <w:pStyle w:val="ListParagraph"/>
        <w:numPr>
          <w:ilvl w:val="0"/>
          <w:numId w:val="2"/>
        </w:numPr>
        <w:spacing w:after="60"/>
      </w:pPr>
      <w:r>
        <w:t xml:space="preserve">Ledoit, O. &amp; Wolf, M. (2004). A Well-Conditioned Estimator for Large-Dimensional Covariance Matrices. Journal of Multivariate Analysis, 88(2).</w:t>
      </w:r>
    </w:p>
    <w:p>
      <w:pPr>
        <w:pStyle w:val="ListParagraph"/>
        <w:numPr>
          <w:ilvl w:val="0"/>
          <w:numId w:val="2"/>
        </w:numPr>
        <w:spacing w:after="60"/>
      </w:pPr>
      <w:r>
        <w:t xml:space="preserve">López de Prado, M. (2018). Advances in Financial Machine Learning. Wiley — chap. 7–8, 14.</w:t>
      </w:r>
    </w:p>
    <w:sectPr>
      <w:headerReference w:type="default" r:id="rId7"/>
      <w:footerReference w:type="default" r:id="rId8"/>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 EURAFRIC Information – INPT · juillet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jc w:val="right"/>
    </w:pPr>
    <w:r>
      <w:rPr>
        <w:color w:val="666666"/>
        <w:sz w:val="16"/>
        <w:szCs w:val="16"/>
      </w:rPr>
      <w:t xml:space="preserve">PFA · Optimisation de Portefeuille par ML · Livrable Phase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2E539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4d123c141bea12316915fbd838248f34549553b.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2026-07-10T13:40:32.137Z</dcterms:created>
  <dcterms:modified xsi:type="dcterms:W3CDTF">2026-07-10T13:40:32.139Z</dcterms:modified>
</cp:coreProperties>
</file>

<file path=docProps/custom.xml><?xml version="1.0" encoding="utf-8"?>
<Properties xmlns="http://schemas.openxmlformats.org/officeDocument/2006/custom-properties" xmlns:vt="http://schemas.openxmlformats.org/officeDocument/2006/docPropsVTypes"/>
</file>