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3864"/>
          <w:sz w:val="32"/>
          <w:szCs w:val="32"/>
        </w:rPr>
        <w:t xml:space="preserve">Système d'Optimisation de Portefeuille par Machine Learning</w:t>
      </w:r>
    </w:p>
    <w:p>
      <w:pPr>
        <w:spacing w:after="120"/>
        <w:jc w:val="center"/>
      </w:pPr>
      <w:r>
        <w:rPr>
          <w:b/>
          <w:bCs/>
          <w:sz w:val="26"/>
          <w:szCs w:val="26"/>
        </w:rPr>
        <w:t xml:space="preserve">Livrable de la Phase 4B — Modèles de Signal ML Adaptatifs</w:t>
      </w:r>
    </w:p>
    <w:p>
      <w:pPr>
        <w:spacing w:after="500"/>
        <w:jc w:val="center"/>
      </w:pPr>
      <w:r>
        <w:rPr>
          <w:i/>
          <w:iCs/>
          <w:sz w:val="22"/>
          <w:szCs w:val="22"/>
        </w:rPr>
        <w:t xml:space="preserve">F7 : RandomForest + XGBoost, prédiction de rendement conditionnée au régime</w:t>
      </w:r>
    </w:p>
    <w:p>
      <w:pPr>
        <w:spacing w:after="80"/>
        <w:jc w:val="center"/>
      </w:pPr>
      <w:r>
        <w:rPr>
          <w:sz w:val="22"/>
          <w:szCs w:val="22"/>
        </w:rPr>
        <w:t xml:space="preserve">Projet de Fin d'Année (PFA) — INPT</w:t>
      </w:r>
    </w:p>
    <w:p>
      <w:pPr>
        <w:spacing w:after="80"/>
        <w:jc w:val="center"/>
      </w:pPr>
      <w:r>
        <w:rPr>
          <w:sz w:val="22"/>
          <w:szCs w:val="22"/>
        </w:rPr>
        <w:t xml:space="preserve">Client : EURAFRIC Information, Bouskoura</w:t>
      </w:r>
    </w:p>
    <w:p>
      <w:pPr>
        <w:spacing w:after="80"/>
        <w:jc w:val="center"/>
      </w:pPr>
      <w:r>
        <w:rPr>
          <w:sz w:val="22"/>
          <w:szCs w:val="22"/>
        </w:rPr>
        <w:t xml:space="preserve">Développement &amp; revue : Souhail BOURHIM</w:t>
      </w:r>
    </w:p>
    <w:p>
      <w:pPr>
        <w:spacing w:after="300"/>
        <w:jc w:val="center"/>
      </w:pPr>
      <w:r>
        <w:rPr>
          <w:sz w:val="22"/>
          <w:szCs w:val="22"/>
        </w:rPr>
        <w:t xml:space="preserve">Équipe : Souhail BOURHIM · Zakarya EL WALI · Yasmine BOUAJINE — Encadrant : M. Abdelmouttalib</w:t>
      </w:r>
    </w:p>
    <w:p>
      <w:pPr>
        <w:jc w:val="center"/>
      </w:pPr>
      <w:r>
        <w:rPr>
          <w:i/>
          <w:iCs/>
          <w:sz w:val="20"/>
          <w:szCs w:val="20"/>
        </w:rPr>
        <w:t xml:space="preserve">Version 1.0 — 21 juillet 2026</w:t>
      </w:r>
    </w:p>
    <w:p>
      <w:r>
        <w:br w:type="page"/>
      </w:r>
    </w:p>
    <w:p>
      <w:pPr>
        <w:pStyle w:val="Heading1"/>
        <w:spacing w:after="120" w:before="240"/>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Résumé exécutif</w:t>
      </w:r>
    </w:p>
    <w:p>
      <w:pPr>
        <w:pStyle w:val="Heading1"/>
        <w:spacing w:after="120" w:before="240"/>
      </w:pPr>
      <w:r>
        <w:rPr>
          <w:b/>
          <w:color w:val="B03000"/>
          <w:sz w:val="22"/>
        </w:rPr>
        <w:t>⚠️ Avertissement — chiffres antérieurs à la correction du 25/07/2026</w:t>
      </w:r>
    </w:p>
    <w:p>
      <w:pPr>
        <w:pStyle w:val="Heading1"/>
        <w:spacing w:after="120" w:before="240"/>
      </w:pPr>
      <w:r>
        <w:rPr>
          <w:i/>
          <w:sz w:val="19"/>
        </w:rPr>
        <w:t>Deux corrections de données sont intervenues après la rédaction de ce livrable. Tous les ratios de Sharpe qui suivent sont conservés comme le compte rendu honnête de ce que cette phase a mesuré à l'époque — ce ne sont plus les chiffres courants.</w:t>
      </w:r>
    </w:p>
    <w:p>
      <w:pPr>
        <w:pStyle w:val="Heading1"/>
        <w:spacing w:after="120" w:before="240"/>
      </w:pPr>
      <w:r>
        <w:rPr>
          <w:i/>
          <w:sz w:val="19"/>
        </w:rPr>
        <w:t>1. Biais de dividendes BVC. Le pipeline mélangeait deux définitions du rendement : les ETF arrivaient ajustés des dividendes (yfinance auto_adjust=True, rendement total) tandis que les actions BVC arrivaient en prix seul (BVCscrap feature="Value"), écartant 3,0 à 4,3 %/an de dividendes réels. Le biais ne s'annule pas entre stratégies : equal_weight est contraint de détenir les actifs sous-évalués alors que les optimiseurs peuvent les sous-pondérer — il gonflait donc l'avantage mesuré de tout optimiseur. Corrigé par src/dividends.py, qui applique chaque dividende à sa date de détachement.</w:t>
      </w:r>
    </w:p>
    <w:p>
      <w:pPr>
        <w:pStyle w:val="Heading1"/>
        <w:spacing w:after="120" w:before="240"/>
      </w:pPr>
      <w:r>
        <w:rPr>
          <w:i/>
          <w:sz w:val="19"/>
        </w:rPr>
        <w:t>2. Fenêtre ETF profonde. L'univers etf_2017 démarre désormais au 18/11/2004 (création de GLD) et non au 01/01/2017 — l'ancienne date était une décision de projet, pas une limite de données. Cela réduit de 38 % la largeur des intervalles de confiance bootstrap et intègre la crise de 2008.</w:t>
      </w:r>
    </w:p>
    <w:p>
      <w:pPr>
        <w:pStyle w:val="Heading1"/>
        <w:spacing w:after="120" w:before="240"/>
      </w:pPr>
      <w:r>
        <w:rPr>
          <w:i/>
          <w:sz w:val="19"/>
        </w:rPr>
        <w:t>Chiffres courants : haie etf_2017 0,936 → 0.9525 (min_variance_lw) · haie full_2021 0,975 → 1.1644 (max_sharpe) · regime_conditional sur full_2021 1,122 → 1.2363 · gain net +14,3 % → +6.2 %.</w:t>
      </w:r>
    </w:p>
    <w:p>
      <w:pPr>
        <w:pStyle w:val="Heading1"/>
        <w:spacing w:after="120" w:before="240"/>
      </w:pPr>
      <w:r>
        <w:rPr>
          <w:i/>
          <w:sz w:val="19"/>
        </w:rPr>
        <w:t>Les conclusions subsistent ; les amplitudes ont diminué. Deux affirmations sont en revanche rétractées — voir les mentions [RÉTRACTÉ] et [SUPERSÉDÉ] dans le corps du document.</w:t>
      </w:r>
    </w:p>
    <w:p>
      <w:pPr>
        <w:pStyle w:val="Heading1"/>
        <w:spacing w:after="120" w:before="240"/>
      </w:pPr>
      <w:r>
        <w:rPr>
          <w:i/>
          <w:sz w:val="19"/>
        </w:rPr>
        <w:t>Analyse complète : docs/DIVIDEND_BIAS.md et docs/ETF_DEEP_HISTORY_EXPERIMENT.md.</w:t>
      </w:r>
    </w:p>
    <w:p>
      <w:pPr>
        <w:spacing w:after="160"/>
      </w:pPr>
      <w:r>
        <w:t xml:space="preserve">La Phase 4B implémente </w:t>
      </w:r>
      <w:r>
        <w:rPr>
          <w:b/>
          <w:bCs/>
        </w:rPr>
        <w:t xml:space="preserve">F7</w:t>
      </w:r>
      <w:r>
        <w:t xml:space="preserve"> — une fonction du diagramme fonctionnel EURAFRIC (F1–F11) distincte de la Phase 4 déjà livrée. La Phase 4 (F4) détecte un régime de marché et commute entre deux optimiseurs Markowitz existants ; elle ne prédit jamais de rendement. F7 est la pièce manquante : des modèles supervisés (</w:t>
      </w:r>
      <w:r>
        <w:rPr>
          <w:rFonts w:ascii="Consolas" w:cs="Consolas" w:eastAsia="Consolas" w:hAnsi="Consolas"/>
          <w:color w:val="9C2FA6"/>
          <w:sz w:val="20"/>
          <w:szCs w:val="20"/>
        </w:rPr>
        <w:t xml:space="preserve">RandomForest</w:t>
      </w:r>
      <w:r>
        <w:t xml:space="preserve">, </w:t>
      </w:r>
      <w:r>
        <w:rPr>
          <w:rFonts w:ascii="Consolas" w:cs="Consolas" w:eastAsia="Consolas" w:hAnsi="Consolas"/>
          <w:color w:val="9C2FA6"/>
          <w:sz w:val="20"/>
          <w:szCs w:val="20"/>
        </w:rPr>
        <w:t xml:space="preserve">XGBoost</w:t>
      </w:r>
      <w:r>
        <w:t xml:space="preserve">) qui apprennent à prévoir le rendement futur de chaque actif, conditionné sur le posterior de régime HMM comme une simple feature d'entrée, et injectent cette prédiction (</w:t>
      </w:r>
      <w:r>
        <w:rPr>
          <w:rFonts w:ascii="Consolas" w:cs="Consolas" w:eastAsia="Consolas" w:hAnsi="Consolas"/>
          <w:color w:val="9C2FA6"/>
          <w:sz w:val="20"/>
          <w:szCs w:val="20"/>
        </w:rPr>
        <w:t xml:space="preserve">mu</w:t>
      </w:r>
      <w:r>
        <w:t xml:space="preserve">) dans le </w:t>
      </w:r>
      <w:r>
        <w:rPr>
          <w:i/>
          <w:iCs/>
        </w:rPr>
        <w:t xml:space="preserve">même</w:t>
      </w:r>
      <w:r>
        <w:t xml:space="preserve"> objectif de maximisation du ratio de Sharpe déjà utilisé par chaque échelon de covariance de la Phase 4 — zéro nouveau code d'optimisation.</w:t>
      </w:r>
    </w:p>
    <w:p>
      <w:pPr>
        <w:spacing w:after="160"/>
      </w:pPr>
      <w:r>
        <w:rPr>
          <w:b/>
          <w:bCs/>
        </w:rPr>
        <w:t xml:space="preserve">Résultat, jugé contre la haie nette de la Phase 4, sur données réelles : </w:t>
      </w:r>
      <w:r>
        <w:t xml:space="preserve">un résultat négatif honnête. Ni </w:t>
      </w:r>
      <w:r>
        <w:rPr>
          <w:rFonts w:ascii="Consolas" w:cs="Consolas" w:eastAsia="Consolas" w:hAnsi="Consolas"/>
          <w:color w:val="9C2FA6"/>
          <w:sz w:val="20"/>
          <w:szCs w:val="20"/>
        </w:rPr>
        <w:t xml:space="preserve">rf_signal</w:t>
      </w:r>
      <w:r>
        <w:t xml:space="preserve"> ni </w:t>
      </w:r>
      <w:r>
        <w:rPr>
          <w:rFonts w:ascii="Consolas" w:cs="Consolas" w:eastAsia="Consolas" w:hAnsi="Consolas"/>
          <w:color w:val="9C2FA6"/>
          <w:sz w:val="20"/>
          <w:szCs w:val="20"/>
        </w:rPr>
        <w:t xml:space="preserve">xgb_signal</w:t>
      </w:r>
      <w:r>
        <w:t xml:space="preserve"> ne bat la haie de son univers. Sur </w:t>
      </w:r>
      <w:r>
        <w:rPr>
          <w:rFonts w:ascii="Consolas" w:cs="Consolas" w:eastAsia="Consolas" w:hAnsi="Consolas"/>
          <w:color w:val="9C2FA6"/>
          <w:sz w:val="20"/>
          <w:szCs w:val="20"/>
        </w:rPr>
        <w:t xml:space="preserve">etf_2017</w:t>
      </w:r>
      <w:r>
        <w:t xml:space="preserve">, la haie (</w:t>
      </w:r>
      <w:r>
        <w:rPr>
          <w:rFonts w:ascii="Consolas" w:cs="Consolas" w:eastAsia="Consolas" w:hAnsi="Consolas"/>
          <w:color w:val="9C2FA6"/>
          <w:sz w:val="20"/>
          <w:szCs w:val="20"/>
        </w:rPr>
        <w:t xml:space="preserve">max_sharpe</w:t>
      </w:r>
      <w:r>
        <w:t xml:space="preserve">, Sharpe net </w:t>
      </w:r>
      <w:r>
        <w:rPr>
          <w:b/>
          <w:bCs/>
        </w:rPr>
        <w:t xml:space="preserve">0,936</w:t>
      </w:r>
      <w:r>
        <w:t xml:space="preserve">) reste imbattue (</w:t>
      </w:r>
      <w:r>
        <w:rPr>
          <w:rFonts w:ascii="Consolas" w:cs="Consolas" w:eastAsia="Consolas" w:hAnsi="Consolas"/>
          <w:color w:val="9C2FA6"/>
          <w:sz w:val="20"/>
          <w:szCs w:val="20"/>
        </w:rPr>
        <w:t xml:space="preserve">rf_signal</w:t>
      </w:r>
      <w:r>
        <w:t xml:space="preserve"> 0,727, </w:t>
      </w:r>
      <w:r>
        <w:rPr>
          <w:rFonts w:ascii="Consolas" w:cs="Consolas" w:eastAsia="Consolas" w:hAnsi="Consolas"/>
          <w:color w:val="9C2FA6"/>
          <w:sz w:val="20"/>
          <w:szCs w:val="20"/>
        </w:rPr>
        <w:t xml:space="preserve">xgb_signal</w:t>
      </w:r>
      <w:r>
        <w:t xml:space="preserve"> 0,747). Sur </w:t>
      </w:r>
      <w:r>
        <w:rPr>
          <w:rFonts w:ascii="Consolas" w:cs="Consolas" w:eastAsia="Consolas" w:hAnsi="Consolas"/>
          <w:color w:val="9C2FA6"/>
          <w:sz w:val="20"/>
          <w:szCs w:val="20"/>
        </w:rPr>
        <w:t xml:space="preserve">full_2021</w:t>
      </w:r>
      <w:r>
        <w:t xml:space="preserve">, la haie (</w:t>
      </w:r>
      <w:r>
        <w:rPr>
          <w:rFonts w:ascii="Consolas" w:cs="Consolas" w:eastAsia="Consolas" w:hAnsi="Consolas"/>
          <w:color w:val="9C2FA6"/>
          <w:sz w:val="20"/>
          <w:szCs w:val="20"/>
        </w:rPr>
        <w:t xml:space="preserve">regime_conditional</w:t>
      </w:r>
      <w:r>
        <w:t xml:space="preserve">, Sharpe net </w:t>
      </w:r>
      <w:r>
        <w:rPr>
          <w:b/>
          <w:bCs/>
        </w:rPr>
        <w:t xml:space="preserve">1,122</w:t>
      </w:r>
      <w:r>
        <w:t xml:space="preserve">) reste elle aussi imbattue (</w:t>
      </w:r>
      <w:r>
        <w:rPr>
          <w:rFonts w:ascii="Consolas" w:cs="Consolas" w:eastAsia="Consolas" w:hAnsi="Consolas"/>
          <w:color w:val="9C2FA6"/>
          <w:sz w:val="20"/>
          <w:szCs w:val="20"/>
        </w:rPr>
        <w:t xml:space="preserve">rf_signal</w:t>
      </w:r>
      <w:r>
        <w:t xml:space="preserve"> 1,062 — proche mais insuffisant — </w:t>
      </w:r>
      <w:r>
        <w:rPr>
          <w:rFonts w:ascii="Consolas" w:cs="Consolas" w:eastAsia="Consolas" w:hAnsi="Consolas"/>
          <w:color w:val="9C2FA6"/>
          <w:sz w:val="20"/>
          <w:szCs w:val="20"/>
        </w:rPr>
        <w:t xml:space="preserve">xgb_signal</w:t>
      </w:r>
      <w:r>
        <w:t xml:space="preserve"> 0,743, avec un turnover moyen de </w:t>
      </w:r>
      <w:r>
        <w:rPr>
          <w:b/>
          <w:bCs/>
        </w:rPr>
        <w:t xml:space="preserve">1,076</w:t>
      </w:r>
      <w:r>
        <w:t xml:space="preserve">, soit une rotation quasi complète du portefeuille à chaque rééquilibrage).</w:t>
      </w:r>
    </w:p>
    <w:p>
      <w:pPr>
        <w:spacing w:after="160"/>
      </w:pPr>
      <w:r>
        <w:t xml:space="preserve">L'investigation (§7) va au-delà du simple constat : elle établit, </w:t>
      </w:r>
      <w:r>
        <w:rPr>
          <w:b/>
          <w:bCs/>
        </w:rPr>
        <w:t xml:space="preserve">chiffres à l'appui</w:t>
      </w:r>
      <w:r>
        <w:t xml:space="preserve">, que la cause diffère selon l'univers — perte de qualité du signal brut sur </w:t>
      </w:r>
      <w:r>
        <w:rPr>
          <w:rFonts w:ascii="Consolas" w:cs="Consolas" w:eastAsia="Consolas" w:hAnsi="Consolas"/>
          <w:color w:val="9C2FA6"/>
          <w:sz w:val="20"/>
          <w:szCs w:val="20"/>
        </w:rPr>
        <w:t xml:space="preserve">etf_2017</w:t>
      </w:r>
      <w:r>
        <w:t xml:space="preserve">, mais perte quasi entière due au </w:t>
      </w:r>
      <w:r>
        <w:rPr>
          <w:b/>
          <w:bCs/>
        </w:rPr>
        <w:t xml:space="preserve">coût de transaction</w:t>
      </w:r>
      <w:r>
        <w:t xml:space="preserve"> sur </w:t>
      </w:r>
      <w:r>
        <w:rPr>
          <w:rFonts w:ascii="Consolas" w:cs="Consolas" w:eastAsia="Consolas" w:hAnsi="Consolas"/>
          <w:color w:val="9C2FA6"/>
          <w:sz w:val="20"/>
          <w:szCs w:val="20"/>
        </w:rPr>
        <w:t xml:space="preserve">full_2021</w:t>
      </w:r>
      <w:r>
        <w:t xml:space="preserve"> (le Sharpe </w:t>
      </w:r>
      <w:r>
        <w:rPr>
          <w:i/>
          <w:iCs/>
        </w:rPr>
        <w:t xml:space="preserve">brut</w:t>
      </w:r>
      <w:r>
        <w:t xml:space="preserve"> de </w:t>
      </w:r>
      <w:r>
        <w:rPr>
          <w:rFonts w:ascii="Consolas" w:cs="Consolas" w:eastAsia="Consolas" w:hAnsi="Consolas"/>
          <w:color w:val="9C2FA6"/>
          <w:sz w:val="20"/>
          <w:szCs w:val="20"/>
        </w:rPr>
        <w:t xml:space="preserve">rf_signal</w:t>
      </w:r>
      <w:r>
        <w:t xml:space="preserve"> y dépasse même celui de la haie). Elle établit aussi, en inspectant </w:t>
      </w:r>
      <w:r>
        <w:rPr>
          <w:rFonts w:ascii="Consolas" w:cs="Consolas" w:eastAsia="Consolas" w:hAnsi="Consolas"/>
          <w:color w:val="9C2FA6"/>
          <w:sz w:val="20"/>
          <w:szCs w:val="20"/>
        </w:rPr>
        <w:t xml:space="preserve">feature_importances_</w:t>
      </w:r>
      <w:r>
        <w:t xml:space="preserve"> directement, que </w:t>
      </w:r>
      <w:r>
        <w:rPr>
          <w:rFonts w:ascii="Consolas" w:cs="Consolas" w:eastAsia="Consolas" w:hAnsi="Consolas"/>
          <w:color w:val="9C2FA6"/>
          <w:sz w:val="20"/>
          <w:szCs w:val="20"/>
        </w:rPr>
        <w:t xml:space="preserve">RandomForest</w:t>
      </w:r>
      <w:r>
        <w:t xml:space="preserve"> ignore quasiment la feature de régime (dernier rang, importance &lt; 1 %) tandis que </w:t>
      </w:r>
      <w:r>
        <w:rPr>
          <w:rFonts w:ascii="Consolas" w:cs="Consolas" w:eastAsia="Consolas" w:hAnsi="Consolas"/>
          <w:color w:val="9C2FA6"/>
          <w:sz w:val="20"/>
          <w:szCs w:val="20"/>
        </w:rPr>
        <w:t xml:space="preserve">XGBoost</w:t>
      </w:r>
      <w:r>
        <w:t xml:space="preserve"> lui accorde un poids modéré — la réclamation « conditionné au régime » n'est donc pas vide de sens, mais elle n'est pas non plus le moteur principal des deux modèles.</w:t>
      </w:r>
    </w:p>
    <w:p>
      <w:pPr>
        <w:spacing w:after="160"/>
      </w:pPr>
      <w:r>
        <w:t xml:space="preserve">Le troisième modèle du diagramme, </w:t>
      </w:r>
      <w:r>
        <w:rPr>
          <w:b/>
          <w:bCs/>
        </w:rPr>
        <w:t xml:space="preserve">LSTM</w:t>
      </w:r>
      <w:r>
        <w:t xml:space="preserve">, a été entièrement construit et testé en isolation (10 tests verts), puis </w:t>
      </w:r>
      <w:r>
        <w:rPr>
          <w:b/>
          <w:bCs/>
        </w:rPr>
        <w:t xml:space="preserve">retiré de cette comparaison</w:t>
      </w:r>
      <w:r>
        <w:t xml:space="preserve"> après un </w:t>
      </w:r>
      <w:r>
        <w:rPr>
          <w:rFonts w:ascii="Consolas" w:cs="Consolas" w:eastAsia="Consolas" w:hAnsi="Consolas"/>
          <w:color w:val="9C2FA6"/>
          <w:sz w:val="20"/>
          <w:szCs w:val="20"/>
        </w:rPr>
        <w:t xml:space="preserve">segfault</w:t>
      </w:r>
      <w:r>
        <w:t xml:space="preserve"> causé par un conflit de bibliothèques natives entre </w:t>
      </w:r>
      <w:r>
        <w:rPr>
          <w:rFonts w:ascii="Consolas" w:cs="Consolas" w:eastAsia="Consolas" w:hAnsi="Consolas"/>
          <w:color w:val="9C2FA6"/>
          <w:sz w:val="20"/>
          <w:szCs w:val="20"/>
        </w:rPr>
        <w:t xml:space="preserve">torch</w:t>
      </w:r>
      <w:r>
        <w:t xml:space="preserve"> et </w:t>
      </w:r>
      <w:r>
        <w:rPr>
          <w:rFonts w:ascii="Consolas" w:cs="Consolas" w:eastAsia="Consolas" w:hAnsi="Consolas"/>
          <w:color w:val="9C2FA6"/>
          <w:sz w:val="20"/>
          <w:szCs w:val="20"/>
        </w:rPr>
        <w:t xml:space="preserve">xgboost</w:t>
      </w:r>
      <w:r>
        <w:t xml:space="preserve"> chargés dans le même processus — un problème d'environnement réel et reproductible sur cette machine, pas un défaut de code. Reporté à une exécution sur une machine plus capable, pas abandonné (§5.4).</w:t>
      </w:r>
    </w:p>
    <w:p>
      <w:pPr>
        <w:spacing w:after="160"/>
      </w:pPr>
      <w:r>
        <w:t xml:space="preserve">La suite de tests passe de 165 à </w:t>
      </w:r>
      <w:r>
        <w:rPr>
          <w:b/>
          <w:bCs/>
        </w:rPr>
        <w:t xml:space="preserve">213 tests</w:t>
      </w:r>
      <w:r>
        <w:t xml:space="preserve"> (48 pour la Phase 4B), tous hors-ligne. Le travail a été développé et revu par Souhail BOURHIM (PR #9), avec une revue automatisée (Sourcery) intégralement traitée : 2 corrections ponctuelles et 2 points de conception généraux, vérifiés par ré-exécution sur données réelles (résultats strictement identiques après correction).</w:t>
      </w:r>
    </w:p>
    <w:p>
      <w:pPr>
        <w:pStyle w:val="Heading1"/>
        <w:spacing w:after="120" w:before="240"/>
      </w:pPr>
      <w:r>
        <w:t xml:space="preserve">2. Le rôle de la Phase 4B dans le projet</w:t>
      </w:r>
    </w:p>
    <w:p>
      <w:pPr>
        <w:spacing w:after="160"/>
      </w:pPr>
      <w:r>
        <w:t xml:space="preserve">La Phase 4 a établi une haie honnête plus exigeante que celle de la Phase 2 — </w:t>
      </w:r>
      <w:r>
        <w:rPr>
          <w:rFonts w:ascii="Consolas" w:cs="Consolas" w:eastAsia="Consolas" w:hAnsi="Consolas"/>
          <w:color w:val="9C2FA6"/>
          <w:sz w:val="20"/>
          <w:szCs w:val="20"/>
        </w:rPr>
        <w:t xml:space="preserve">regime_conditional</w:t>
      </w:r>
      <w:r>
        <w:t xml:space="preserve"> à 1,122 sur </w:t>
      </w:r>
      <w:r>
        <w:rPr>
          <w:rFonts w:ascii="Consolas" w:cs="Consolas" w:eastAsia="Consolas" w:hAnsi="Consolas"/>
          <w:color w:val="9C2FA6"/>
          <w:sz w:val="20"/>
          <w:szCs w:val="20"/>
        </w:rPr>
        <w:t xml:space="preserve">full_2021</w:t>
      </w:r>
      <w:r>
        <w:t xml:space="preserve">. La Phase 4B est le premier point du projet où le système tente de </w:t>
      </w:r>
      <w:r>
        <w:rPr>
          <w:b/>
          <w:bCs/>
        </w:rPr>
        <w:t xml:space="preserve">prédire</w:t>
      </w:r>
      <w:r>
        <w:t xml:space="preserve"> un rendement plutôt que de simplement estimer une covariance ou détecter un état de marché. C'est structurellement plus ambitieux — et structurellement plus difficile à faire battre un objectif déjà fort net de coûts.</w:t>
      </w:r>
    </w:p>
    <w:p>
      <w:pPr>
        <w:spacing w:after="160"/>
      </w:pPr>
      <w:r>
        <w:rPr>
          <w:b/>
          <w:bCs/>
        </w:rPr>
        <w:t xml:space="preserve">Une seule interface, encore une fois.</w:t>
      </w:r>
      <w:r>
        <w:t xml:space="preserve"> Comme chaque intervention de la Phase 4, F7 ne touche pas au moteur de la Phase 2 (</w:t>
      </w:r>
      <w:r>
        <w:rPr>
          <w:rFonts w:ascii="Consolas" w:cs="Consolas" w:eastAsia="Consolas" w:hAnsi="Consolas"/>
          <w:color w:val="9C2FA6"/>
          <w:sz w:val="20"/>
          <w:szCs w:val="20"/>
        </w:rPr>
        <w:t xml:space="preserve">src/backtest.py</w:t>
      </w:r>
      <w:r>
        <w:t xml:space="preserve">) : c'est une nouvelle classe </w:t>
      </w:r>
      <w:r>
        <w:rPr>
          <w:rFonts w:ascii="Consolas" w:cs="Consolas" w:eastAsia="Consolas" w:hAnsi="Consolas"/>
          <w:color w:val="9C2FA6"/>
          <w:sz w:val="20"/>
          <w:szCs w:val="20"/>
        </w:rPr>
        <w:t xml:space="preserve">Strategy</w:t>
      </w:r>
      <w:r>
        <w:t xml:space="preserve">, découverte et jugée exactement comme les baselines — même moteur, mêmes contraintes, mêmes coûts, même garantie anti-lookahead.</w:t>
      </w:r>
    </w:p>
    <w:p>
      <w:pPr>
        <w:spacing w:after="160"/>
      </w:pPr>
      <w:r>
        <w:rPr>
          <w:b/>
          <w:bCs/>
        </w:rPr>
        <w:t xml:space="preserve">F7 répond à P1</w:t>
      </w:r>
      <w:r>
        <w:t xml:space="preserve"> en remplaçant la moyenne d'échantillon naïve de </w:t>
      </w:r>
      <w:r>
        <w:rPr>
          <w:rFonts w:ascii="Consolas" w:cs="Consolas" w:eastAsia="Consolas" w:hAnsi="Consolas"/>
          <w:color w:val="9C2FA6"/>
          <w:sz w:val="20"/>
          <w:szCs w:val="20"/>
        </w:rPr>
        <w:t xml:space="preserve">mu</w:t>
      </w:r>
      <w:r>
        <w:t xml:space="preserve"> par une estimation apprise ; </w:t>
      </w:r>
      <w:r>
        <w:rPr>
          <w:b/>
          <w:bCs/>
        </w:rPr>
        <w:t xml:space="preserve">P2</w:t>
      </w:r>
      <w:r>
        <w:t xml:space="preserve"> en conditionnant le modèle sur le régime et des features glissantes plutôt qu'en supposant une distribution de rendement statique ; </w:t>
      </w:r>
      <w:r>
        <w:rPr>
          <w:b/>
          <w:bCs/>
        </w:rPr>
        <w:t xml:space="preserve">P3</w:t>
      </w:r>
      <w:r>
        <w:t xml:space="preserve"> en mettant en commun (pooling) le comportement de tous les actifs autour des mêmes ruptures de régime dans un seul modèle entraîné.</w:t>
      </w:r>
    </w:p>
    <w:p>
      <w:pPr>
        <w:pStyle w:val="Heading1"/>
        <w:spacing w:after="120" w:before="240"/>
      </w:pPr>
      <w:r>
        <w:t xml:space="preserve">3. Livrables et architecture</w:t>
      </w:r>
    </w:p>
    <w:p>
      <w:pPr>
        <w:pStyle w:val="ListParagraph"/>
        <w:numPr>
          <w:ilvl w:val="0"/>
          <w:numId w:val="2"/>
        </w:numPr>
        <w:spacing w:after="100"/>
      </w:pPr>
      <w:r>
        <w:rPr>
          <w:b/>
          <w:bCs/>
        </w:rPr>
        <w:t xml:space="preserve">src/ml_signals.py</w:t>
      </w:r>
      <w:r>
        <w:t xml:space="preserve"> (~560 lignes) : panel de features causales par actif (</w:t>
      </w:r>
      <w:r>
        <w:rPr>
          <w:rFonts w:ascii="Consolas" w:cs="Consolas" w:eastAsia="Consolas" w:hAnsi="Consolas"/>
          <w:color w:val="9C2FA6"/>
          <w:sz w:val="20"/>
          <w:szCs w:val="20"/>
        </w:rPr>
        <w:t xml:space="preserve">build_asset_features</w:t>
      </w:r>
      <w:r>
        <w:t xml:space="preserve">), mise en forme en panel groupé (</w:t>
      </w:r>
      <w:r>
        <w:rPr>
          <w:rFonts w:ascii="Consolas" w:cs="Consolas" w:eastAsia="Consolas" w:hAnsi="Consolas"/>
          <w:color w:val="9C2FA6"/>
          <w:sz w:val="20"/>
          <w:szCs w:val="20"/>
        </w:rPr>
        <w:t xml:space="preserve">melt_to_panel</w:t>
      </w:r>
      <w:r>
        <w:t xml:space="preserve">), rattachement de la feature de régime (</w:t>
      </w:r>
      <w:r>
        <w:rPr>
          <w:rFonts w:ascii="Consolas" w:cs="Consolas" w:eastAsia="Consolas" w:hAnsi="Consolas"/>
          <w:color w:val="9C2FA6"/>
          <w:sz w:val="20"/>
          <w:szCs w:val="20"/>
        </w:rPr>
        <w:t xml:space="preserve">attach_regime_feature</w:t>
      </w:r>
      <w:r>
        <w:t xml:space="preserve">), construction du jeu supervisé avec exclusion structurelle de la dernière date (</w:t>
      </w:r>
      <w:r>
        <w:rPr>
          <w:rFonts w:ascii="Consolas" w:cs="Consolas" w:eastAsia="Consolas" w:hAnsi="Consolas"/>
          <w:color w:val="9C2FA6"/>
          <w:sz w:val="20"/>
          <w:szCs w:val="20"/>
        </w:rPr>
        <w:t xml:space="preserve">build_supervised_dataset</w:t>
      </w:r>
      <w:r>
        <w:t xml:space="preserve">), orchestration complète (</w:t>
      </w:r>
      <w:r>
        <w:rPr>
          <w:rFonts w:ascii="Consolas" w:cs="Consolas" w:eastAsia="Consolas" w:hAnsi="Consolas"/>
          <w:color w:val="9C2FA6"/>
          <w:sz w:val="20"/>
          <w:szCs w:val="20"/>
        </w:rPr>
        <w:t xml:space="preserve">fit_predict_expected_returns</w:t>
      </w:r>
      <w:r>
        <w:t xml:space="preserve">).</w:t>
      </w:r>
    </w:p>
    <w:p>
      <w:pPr>
        <w:pStyle w:val="ListParagraph"/>
        <w:numPr>
          <w:ilvl w:val="0"/>
          <w:numId w:val="2"/>
        </w:numPr>
        <w:spacing w:after="100"/>
      </w:pPr>
      <w:r>
        <w:rPr>
          <w:b/>
          <w:bCs/>
        </w:rPr>
        <w:t xml:space="preserve">Deux nouvelles stratégies</w:t>
      </w:r>
      <w:r>
        <w:t xml:space="preserve"> dans </w:t>
      </w:r>
      <w:r>
        <w:rPr>
          <w:rFonts w:ascii="Consolas" w:cs="Consolas" w:eastAsia="Consolas" w:hAnsi="Consolas"/>
          <w:color w:val="9C2FA6"/>
          <w:sz w:val="20"/>
          <w:szCs w:val="20"/>
        </w:rPr>
        <w:t xml:space="preserve">src/strategies.py</w:t>
      </w:r>
      <w:r>
        <w:t xml:space="preserve"> : </w:t>
      </w:r>
      <w:r>
        <w:rPr>
          <w:rFonts w:ascii="Consolas" w:cs="Consolas" w:eastAsia="Consolas" w:hAnsi="Consolas"/>
          <w:color w:val="9C2FA6"/>
          <w:sz w:val="20"/>
          <w:szCs w:val="20"/>
        </w:rPr>
        <w:t xml:space="preserve">RandomForestSignalStrategy</w:t>
      </w:r>
      <w:r>
        <w:t xml:space="preserve"> (</w:t>
      </w:r>
      <w:r>
        <w:rPr>
          <w:rFonts w:ascii="Consolas" w:cs="Consolas" w:eastAsia="Consolas" w:hAnsi="Consolas"/>
          <w:color w:val="9C2FA6"/>
          <w:sz w:val="20"/>
          <w:szCs w:val="20"/>
        </w:rPr>
        <w:t xml:space="preserve">rf_signal</w:t>
      </w:r>
      <w:r>
        <w:t xml:space="preserve">) et </w:t>
      </w:r>
      <w:r>
        <w:rPr>
          <w:rFonts w:ascii="Consolas" w:cs="Consolas" w:eastAsia="Consolas" w:hAnsi="Consolas"/>
          <w:color w:val="9C2FA6"/>
          <w:sz w:val="20"/>
          <w:szCs w:val="20"/>
        </w:rPr>
        <w:t xml:space="preserve">XGBoostSignalStrategy</w:t>
      </w:r>
      <w:r>
        <w:t xml:space="preserve"> (</w:t>
      </w:r>
      <w:r>
        <w:rPr>
          <w:rFonts w:ascii="Consolas" w:cs="Consolas" w:eastAsia="Consolas" w:hAnsi="Consolas"/>
          <w:color w:val="9C2FA6"/>
          <w:sz w:val="20"/>
          <w:szCs w:val="20"/>
        </w:rPr>
        <w:t xml:space="preserve">xgb_signal</w:t>
      </w:r>
      <w:r>
        <w:t xml:space="preserve">), toutes deux basées sur une classe partagée </w:t>
      </w:r>
      <w:r>
        <w:rPr>
          <w:rFonts w:ascii="Consolas" w:cs="Consolas" w:eastAsia="Consolas" w:hAnsi="Consolas"/>
          <w:color w:val="9C2FA6"/>
          <w:sz w:val="20"/>
          <w:szCs w:val="20"/>
        </w:rPr>
        <w:t xml:space="preserve">_MLSignalStrategy</w:t>
      </w:r>
      <w:r>
        <w:t xml:space="preserve"> — covariance fixée à Ledoit-Wolf, objectif </w:t>
      </w:r>
      <w:r>
        <w:rPr>
          <w:rFonts w:ascii="Consolas" w:cs="Consolas" w:eastAsia="Consolas" w:hAnsi="Consolas"/>
          <w:color w:val="9C2FA6"/>
          <w:sz w:val="20"/>
          <w:szCs w:val="20"/>
        </w:rPr>
        <w:t xml:space="preserve">_neg_sharpe</w:t>
      </w:r>
      <w:r>
        <w:t xml:space="preserve"> partagé (extrait de </w:t>
      </w:r>
      <w:r>
        <w:rPr>
          <w:rFonts w:ascii="Consolas" w:cs="Consolas" w:eastAsia="Consolas" w:hAnsi="Consolas"/>
          <w:color w:val="9C2FA6"/>
          <w:sz w:val="20"/>
          <w:szCs w:val="20"/>
        </w:rPr>
        <w:t xml:space="preserve">MaxSharpe</w:t>
      </w:r>
      <w:r>
        <w:t xml:space="preserve">).</w:t>
      </w:r>
    </w:p>
    <w:p>
      <w:pPr>
        <w:pStyle w:val="ListParagraph"/>
        <w:numPr>
          <w:ilvl w:val="0"/>
          <w:numId w:val="2"/>
        </w:numPr>
        <w:spacing w:after="100"/>
      </w:pPr>
      <w:r>
        <w:rPr>
          <w:b/>
          <w:bCs/>
        </w:rPr>
        <w:t xml:space="preserve">src/run_phase4b.py</w:t>
      </w:r>
      <w:r>
        <w:t xml:space="preserve"> (~280 lignes) : compare les 9 stratégies (7 existantes + 2 nouvelles) × 2 univers, MLflow, écrit </w:t>
      </w:r>
      <w:r>
        <w:rPr>
          <w:rFonts w:ascii="Consolas" w:cs="Consolas" w:eastAsia="Consolas" w:hAnsi="Consolas"/>
          <w:color w:val="9C2FA6"/>
          <w:sz w:val="20"/>
          <w:szCs w:val="20"/>
        </w:rPr>
        <w:t xml:space="preserve">data/gold/phase4b_results.json</w:t>
      </w:r>
      <w:r>
        <w:t xml:space="preserve">.</w:t>
      </w:r>
    </w:p>
    <w:p>
      <w:pPr>
        <w:pStyle w:val="ListParagraph"/>
        <w:numPr>
          <w:ilvl w:val="0"/>
          <w:numId w:val="2"/>
        </w:numPr>
        <w:spacing w:after="100"/>
      </w:pPr>
      <w:r>
        <w:rPr>
          <w:b/>
          <w:bCs/>
        </w:rPr>
        <w:t xml:space="preserve">Une nouvelle étape DVC</w:t>
      </w:r>
      <w:r>
        <w:t xml:space="preserve"> (</w:t>
      </w:r>
      <w:r>
        <w:rPr>
          <w:rFonts w:ascii="Consolas" w:cs="Consolas" w:eastAsia="Consolas" w:hAnsi="Consolas"/>
          <w:color w:val="9C2FA6"/>
          <w:sz w:val="20"/>
          <w:szCs w:val="20"/>
        </w:rPr>
        <w:t xml:space="preserve">phase4b_compare</w:t>
      </w:r>
      <w:r>
        <w:t xml:space="preserve">) : régénère automatiquement le fichier de résultats via </w:t>
      </w:r>
      <w:r>
        <w:rPr>
          <w:rFonts w:ascii="Consolas" w:cs="Consolas" w:eastAsia="Consolas" w:hAnsi="Consolas"/>
          <w:color w:val="9C2FA6"/>
          <w:sz w:val="20"/>
          <w:szCs w:val="20"/>
        </w:rPr>
        <w:t xml:space="preserve">dvc repro</w:t>
      </w:r>
      <w:r>
        <w:t xml:space="preserve"> dès que ses dépendances changent — pipeline-tracké dès le premier jour, contrairement à </w:t>
      </w:r>
      <w:r>
        <w:rPr>
          <w:rFonts w:ascii="Consolas" w:cs="Consolas" w:eastAsia="Consolas" w:hAnsi="Consolas"/>
          <w:color w:val="9C2FA6"/>
          <w:sz w:val="20"/>
          <w:szCs w:val="20"/>
        </w:rPr>
        <w:t xml:space="preserve">phase2_hurdle.json</w:t>
      </w:r>
      <w:r>
        <w:t xml:space="preserve"> en son temps.</w:t>
      </w:r>
    </w:p>
    <w:p>
      <w:pPr>
        <w:pStyle w:val="ListParagraph"/>
        <w:numPr>
          <w:ilvl w:val="0"/>
          <w:numId w:val="2"/>
        </w:numPr>
        <w:spacing w:after="100"/>
      </w:pPr>
      <w:r>
        <w:rPr>
          <w:b/>
          <w:bCs/>
        </w:rPr>
        <w:t xml:space="preserve">48 nouveaux tests</w:t>
      </w:r>
      <w:r>
        <w:t xml:space="preserve"> (213 au total), dont </w:t>
      </w:r>
      <w:r>
        <w:rPr>
          <w:rFonts w:ascii="Consolas" w:cs="Consolas" w:eastAsia="Consolas" w:hAnsi="Consolas"/>
          <w:color w:val="9C2FA6"/>
          <w:sz w:val="20"/>
          <w:szCs w:val="20"/>
        </w:rPr>
        <w:t xml:space="preserve">tests/test_phase4b_integration.py</w:t>
      </w:r>
      <w:r>
        <w:t xml:space="preserve"> — l'analogue du test bout-en-bout de la Phase 4, mais qui prouve cette fois que la </w:t>
      </w:r>
      <w:r>
        <w:rPr>
          <w:b/>
          <w:bCs/>
        </w:rPr>
        <w:t xml:space="preserve">construction des labels</w:t>
      </w:r>
      <w:r>
        <w:t xml:space="preserve"> (pas seulement le découpage des features) ne fuit pas, sur les </w:t>
      </w:r>
      <w:r>
        <w:rPr>
          <w:i/>
          <w:iCs/>
        </w:rPr>
        <w:t xml:space="preserve">vraies</w:t>
      </w:r>
      <w:r>
        <w:t xml:space="preserve"> stratégies.</w:t>
      </w:r>
    </w:p>
    <w:p>
      <w:pPr>
        <w:pStyle w:val="ListParagraph"/>
        <w:numPr>
          <w:ilvl w:val="0"/>
          <w:numId w:val="2"/>
        </w:numPr>
        <w:spacing w:after="100"/>
      </w:pPr>
      <w:r>
        <w:rPr>
          <w:b/>
          <w:bCs/>
        </w:rPr>
        <w:t xml:space="preserve">Un notebook évidentiel exécuté</w:t>
      </w:r>
      <w:r>
        <w:t xml:space="preserve"> (</w:t>
      </w:r>
      <w:r>
        <w:rPr>
          <w:rFonts w:ascii="Consolas" w:cs="Consolas" w:eastAsia="Consolas" w:hAnsi="Consolas"/>
          <w:color w:val="9C2FA6"/>
          <w:sz w:val="20"/>
          <w:szCs w:val="20"/>
        </w:rPr>
        <w:t xml:space="preserve">notebooks/phase4b_adaptive_ml_signals.ipynb</w:t>
      </w:r>
      <w:r>
        <w:t xml:space="preserve">, données réelles, zéro erreur), incluant une investigation dédiée sur l'importance de la feature de régime et sur l'origine du résultat négatif.</w:t>
      </w:r>
    </w:p>
    <w:p>
      <w:pPr>
        <w:spacing w:after="160"/>
      </w:pPr>
      <w:r>
        <w:rPr>
          <w:b/>
          <w:bCs/>
        </w:rPr>
        <w:t xml:space="preserve">Architecture — le chemin d'une décision</w:t>
      </w:r>
    </w:p>
    <w:p>
      <w:pPr>
        <w:shd w:fill="F2F2F2" w:val="clear"/>
        <w:spacing w:after="0" w:before="0"/>
      </w:pPr>
      <w:r>
        <w:rPr>
          <w:rFonts w:ascii="Consolas" w:cs="Consolas" w:eastAsia="Consolas" w:hAnsi="Consolas"/>
          <w:color w:val="333333"/>
          <w:sz w:val="18"/>
          <w:szCs w:val="18"/>
        </w:rPr>
        <w:t xml:space="preserve">extras['features']  (Phase 3, causales)</w:t>
      </w:r>
    </w:p>
    <w:p>
      <w:pPr>
        <w:shd w:fill="F2F2F2" w:val="clear"/>
        <w:spacing w:after="0" w:before="0"/>
      </w:pPr>
      <w:r>
        <w:rPr>
          <w:rFonts w:ascii="Consolas" w:cs="Consolas" w:eastAsia="Consolas" w:hAnsi="Consolas"/>
          <w:color w:val="333333"/>
          <w:sz w:val="18"/>
          <w:szCs w:val="18"/>
        </w:rPr>
        <w:t xml:space="preserve">        |</w:t>
      </w:r>
    </w:p>
    <w:p>
      <w:pPr>
        <w:shd w:fill="F2F2F2" w:val="clear"/>
        <w:spacing w:after="0" w:before="0"/>
      </w:pPr>
      <w:r>
        <w:rPr>
          <w:rFonts w:ascii="Consolas" w:cs="Consolas" w:eastAsia="Consolas" w:hAnsi="Consolas"/>
          <w:color w:val="333333"/>
          <w:sz w:val="18"/>
          <w:szCs w:val="18"/>
        </w:rPr>
        <w:t xml:space="preserve">        v</w:t>
      </w:r>
    </w:p>
    <w:p>
      <w:pPr>
        <w:shd w:fill="F2F2F2" w:val="clear"/>
        <w:spacing w:after="0" w:before="0"/>
      </w:pPr>
      <w:r>
        <w:rPr>
          <w:rFonts w:ascii="Consolas" w:cs="Consolas" w:eastAsia="Consolas" w:hAnsi="Consolas"/>
          <w:color w:val="333333"/>
          <w:sz w:val="18"/>
          <w:szCs w:val="18"/>
        </w:rPr>
        <w:t xml:space="preserve">RandomForestSignalStrategy.fit(train_returns, extras)</w:t>
      </w:r>
    </w:p>
    <w:p>
      <w:pPr>
        <w:shd w:fill="F2F2F2" w:val="clear"/>
        <w:spacing w:after="0" w:before="0"/>
      </w:pPr>
      <w:r>
        <w:rPr>
          <w:rFonts w:ascii="Consolas" w:cs="Consolas" w:eastAsia="Consolas" w:hAnsi="Consolas"/>
          <w:color w:val="333333"/>
          <w:sz w:val="18"/>
          <w:szCs w:val="18"/>
        </w:rPr>
        <w:t xml:space="preserve">  |-- ml_signals.build_asset_features(train_returns)      # panel causal par actif</w:t>
      </w:r>
    </w:p>
    <w:p>
      <w:pPr>
        <w:shd w:fill="F2F2F2" w:val="clear"/>
        <w:spacing w:after="0" w:before="0"/>
      </w:pPr>
      <w:r>
        <w:rPr>
          <w:rFonts w:ascii="Consolas" w:cs="Consolas" w:eastAsia="Consolas" w:hAnsi="Consolas"/>
          <w:color w:val="333333"/>
          <w:sz w:val="18"/>
          <w:szCs w:val="18"/>
        </w:rPr>
        <w:t xml:space="preserve">  |-- ml_signals.melt_to_panel(...)                       # (Date, ASSET) groupe</w:t>
      </w:r>
    </w:p>
    <w:p>
      <w:pPr>
        <w:shd w:fill="F2F2F2" w:val="clear"/>
        <w:spacing w:after="0" w:before="0"/>
      </w:pPr>
      <w:r>
        <w:rPr>
          <w:rFonts w:ascii="Consolas" w:cs="Consolas" w:eastAsia="Consolas" w:hAnsi="Consolas"/>
          <w:color w:val="333333"/>
          <w:sz w:val="18"/>
          <w:szCs w:val="18"/>
        </w:rPr>
        <w:t xml:space="preserve">  |-- ml_signals.attach_regime_feature(..., extras)       # regime.fit_hmm reutilise</w:t>
      </w:r>
    </w:p>
    <w:p>
      <w:pPr>
        <w:shd w:fill="F2F2F2" w:val="clear"/>
        <w:spacing w:after="0" w:before="0"/>
      </w:pPr>
      <w:r>
        <w:rPr>
          <w:rFonts w:ascii="Consolas" w:cs="Consolas" w:eastAsia="Consolas" w:hAnsi="Consolas"/>
          <w:color w:val="333333"/>
          <w:sz w:val="18"/>
          <w:szCs w:val="18"/>
        </w:rPr>
        <w:t xml:space="preserve">  |-- ml_signals.build_supervised_dataset(...)            # tau exclu par DATE</w:t>
      </w:r>
    </w:p>
    <w:p>
      <w:pPr>
        <w:shd w:fill="F2F2F2" w:val="clear"/>
        <w:spacing w:after="0" w:before="0"/>
      </w:pPr>
      <w:r>
        <w:rPr>
          <w:rFonts w:ascii="Consolas" w:cs="Consolas" w:eastAsia="Consolas" w:hAnsi="Consolas"/>
          <w:color w:val="333333"/>
          <w:sz w:val="18"/>
          <w:szCs w:val="18"/>
        </w:rPr>
        <w:t xml:space="preserve">  |-- RandomForestRegressor.fit(X, y).predict(X_predict)  # mu predit</w:t>
      </w:r>
    </w:p>
    <w:p>
      <w:pPr>
        <w:shd w:fill="F2F2F2" w:val="clear"/>
        <w:spacing w:after="0" w:before="0"/>
      </w:pPr>
      <w:r>
        <w:rPr>
          <w:rFonts w:ascii="Consolas" w:cs="Consolas" w:eastAsia="Consolas" w:hAnsi="Consolas"/>
          <w:color w:val="333333"/>
          <w:sz w:val="18"/>
          <w:szCs w:val="18"/>
        </w:rPr>
        <w:t xml:space="preserve">  |-- LedoitWolf().fit(train_returns)                     # covariance inchangee</w:t>
      </w:r>
    </w:p>
    <w:p>
      <w:pPr>
        <w:shd w:fill="F2F2F2" w:val="clear"/>
        <w:spacing w:after="0" w:before="0"/>
      </w:pPr>
      <w:r>
        <w:rPr>
          <w:rFonts w:ascii="Consolas" w:cs="Consolas" w:eastAsia="Consolas" w:hAnsi="Consolas"/>
          <w:color w:val="333333"/>
          <w:sz w:val="18"/>
          <w:szCs w:val="18"/>
        </w:rPr>
        <w:t xml:space="preserve">        v</w:t>
      </w:r>
    </w:p>
    <w:p>
      <w:pPr>
        <w:shd w:fill="F2F2F2" w:val="clear"/>
        <w:spacing w:after="0" w:before="0"/>
      </w:pPr>
      <w:r>
        <w:rPr>
          <w:rFonts w:ascii="Consolas" w:cs="Consolas" w:eastAsia="Consolas" w:hAnsi="Consolas"/>
          <w:color w:val="333333"/>
          <w:sz w:val="18"/>
          <w:szCs w:val="18"/>
        </w:rPr>
        <w:t xml:space="preserve">  _optimize_weights(_neg_sharpe(w, mu, cov, rf), ...)     # objectif de MaxSharpe</w:t>
      </w:r>
    </w:p>
    <w:p>
      <w:pPr>
        <w:shd w:fill="F2F2F2" w:val="clear"/>
        <w:spacing w:after="0" w:before="0"/>
      </w:pPr>
      <w:r>
        <w:rPr>
          <w:rFonts w:ascii="Consolas" w:cs="Consolas" w:eastAsia="Consolas" w:hAnsi="Consolas"/>
          <w:color w:val="333333"/>
          <w:sz w:val="18"/>
          <w:szCs w:val="18"/>
        </w:rPr>
        <w:t xml:space="preserve">        v</w:t>
      </w:r>
    </w:p>
    <w:p>
      <w:pPr>
        <w:shd w:fill="F2F2F2" w:val="clear"/>
        <w:spacing w:after="160" w:before="0"/>
      </w:pPr>
      <w:r>
        <w:rPr>
          <w:rFonts w:ascii="Consolas" w:cs="Consolas" w:eastAsia="Consolas" w:hAnsi="Consolas"/>
          <w:color w:val="333333"/>
          <w:sz w:val="18"/>
          <w:szCs w:val="18"/>
        </w:rPr>
        <w:t xml:space="preserve">poids retournes inchanges au moteur --&gt; _validate_weights (confiance zero)</w:t>
      </w:r>
    </w:p>
    <w:p>
      <w:pPr>
        <w:spacing w:after="160"/>
      </w:pPr>
      <w:r>
        <w:rPr>
          <w:i/>
          <w:iCs/>
        </w:rPr>
        <w:t xml:space="preserve">Figure 1 — Le chemin d'une décision </w:t>
      </w:r>
      <w:r>
        <w:rPr>
          <w:rFonts w:ascii="Consolas" w:cs="Consolas" w:eastAsia="Consolas" w:hAnsi="Consolas"/>
          <w:color w:val="9C2FA6"/>
          <w:sz w:val="20"/>
          <w:szCs w:val="20"/>
        </w:rPr>
        <w:t xml:space="preserve">RandomForestSignalStrategy</w:t>
      </w:r>
      <w:r>
        <w:rPr>
          <w:i/>
          <w:iCs/>
        </w:rPr>
        <w:t xml:space="preserve">, du canal </w:t>
      </w:r>
      <w:r>
        <w:rPr>
          <w:rFonts w:ascii="Consolas" w:cs="Consolas" w:eastAsia="Consolas" w:hAnsi="Consolas"/>
          <w:color w:val="9C2FA6"/>
          <w:sz w:val="20"/>
          <w:szCs w:val="20"/>
        </w:rPr>
        <w:t xml:space="preserve">extras</w:t>
      </w:r>
      <w:r>
        <w:rPr>
          <w:i/>
          <w:iCs/>
        </w:rPr>
        <w:t xml:space="preserve"> de la Phase 3 aux poids validés par le moteur.</w:t>
      </w:r>
    </w:p>
    <w:p>
      <w:pPr>
        <w:pStyle w:val="Heading1"/>
        <w:spacing w:after="120" w:before="240"/>
      </w:pPr>
      <w:r>
        <w:t xml:space="preserve">4. Les mécanismes produits</w:t>
      </w:r>
    </w:p>
    <w:p>
      <w:pPr>
        <w:pStyle w:val="Heading2"/>
        <w:spacing w:after="120" w:before="240"/>
      </w:pPr>
      <w:r>
        <w:t xml:space="preserve">4.1 Le panel de features par actif — inédit dans ce dépôt</w:t>
      </w:r>
    </w:p>
    <w:p>
      <w:pPr>
        <w:spacing w:after="160"/>
      </w:pPr>
      <w:r>
        <w:t xml:space="preserve">Avant cette phase, aucune matrice de features </w:t>
      </w:r>
      <w:r>
        <w:rPr>
          <w:i/>
          <w:iCs/>
        </w:rPr>
        <w:t xml:space="preserve">par actif</w:t>
      </w:r>
      <w:r>
        <w:t xml:space="preserve"> n'existait — les features de </w:t>
      </w:r>
      <w:r>
        <w:rPr>
          <w:rFonts w:ascii="Consolas" w:cs="Consolas" w:eastAsia="Consolas" w:hAnsi="Consolas"/>
          <w:color w:val="9C2FA6"/>
          <w:sz w:val="20"/>
          <w:szCs w:val="20"/>
        </w:rPr>
        <w:t xml:space="preserve">ml_features.py</w:t>
      </w:r>
      <w:r>
        <w:t xml:space="preserve"> (Phase 3) sont toutes des agrégats de marché (un nombre par jour pour tout l'univers). </w:t>
      </w:r>
      <w:r>
        <w:rPr>
          <w:rFonts w:ascii="Consolas" w:cs="Consolas" w:eastAsia="Consolas" w:hAnsi="Consolas"/>
          <w:color w:val="9C2FA6"/>
          <w:sz w:val="20"/>
          <w:szCs w:val="20"/>
        </w:rPr>
        <w:t xml:space="preserve">build_asset_features</w:t>
      </w:r>
      <w:r>
        <w:t xml:space="preserve"> construit, pour chaque actif, un rendement cumulé glissant sur 3 fenêtres (5/21/63 j), une volatilité réalisée annualisée sur 2 fenêtres (21/63 j), et un signal de retour à la moyenne (richesse cumulée rapportée à sa moyenne mobile 63 j) — délibérément restreint, dans l'esprit MVP du projet.</w:t>
      </w:r>
    </w:p>
    <w:p>
      <w:pPr>
        <w:spacing w:after="160"/>
      </w:pPr>
      <w:r>
        <w:t xml:space="preserve">Ces features sont mises en commun dans un </w:t>
      </w:r>
      <w:r>
        <w:rPr>
          <w:b/>
          <w:bCs/>
        </w:rPr>
        <w:t xml:space="preserve">panel groupé (pooled panel)</w:t>
      </w:r>
      <w:r>
        <w:t xml:space="preserve"> via </w:t>
      </w:r>
      <w:r>
        <w:rPr>
          <w:rFonts w:ascii="Consolas" w:cs="Consolas" w:eastAsia="Consolas" w:hAnsi="Consolas"/>
          <w:color w:val="9C2FA6"/>
          <w:sz w:val="20"/>
          <w:szCs w:val="20"/>
        </w:rPr>
        <w:t xml:space="preserve">melt_to_panel</w:t>
      </w:r>
      <w:r>
        <w:t xml:space="preserve"> : l'identité de l'actif devient un niveau d'index plutôt qu'un préfixe de colonne, ce qui multiplie le nombre de lignes d'entraînement effectives par le nombre d'actifs (5–9×) — la réponse pratique à l'historique de seulement ~1 255 lignes de </w:t>
      </w:r>
      <w:r>
        <w:rPr>
          <w:rFonts w:ascii="Consolas" w:cs="Consolas" w:eastAsia="Consolas" w:hAnsi="Consolas"/>
          <w:color w:val="9C2FA6"/>
          <w:sz w:val="20"/>
          <w:szCs w:val="20"/>
        </w:rPr>
        <w:t xml:space="preserve">full_2021</w:t>
      </w:r>
      <w:r>
        <w:t xml:space="preserve">.</w:t>
      </w:r>
    </w:p>
    <w:p>
      <w:pPr>
        <w:pStyle w:val="Heading2"/>
        <w:spacing w:after="120" w:before="240"/>
      </w:pPr>
      <w:r>
        <w:t xml:space="preserve">4.2 La feature de régime — un point d'entrée, pas deux modèles</w:t>
      </w:r>
    </w:p>
    <w:p>
      <w:pPr>
        <w:spacing w:after="160"/>
      </w:pPr>
      <w:r>
        <w:t xml:space="preserve">Le posterior « bull » du HMM de </w:t>
      </w:r>
      <w:r>
        <w:rPr>
          <w:rFonts w:ascii="Consolas" w:cs="Consolas" w:eastAsia="Consolas" w:hAnsi="Consolas"/>
          <w:color w:val="9C2FA6"/>
          <w:sz w:val="20"/>
          <w:szCs w:val="20"/>
        </w:rPr>
        <w:t xml:space="preserve">regime.py</w:t>
      </w:r>
      <w:r>
        <w:t xml:space="preserve"> (réutilisé tel quel, aucune nouvelle logique HMM) est diffusé comme une seule colonne </w:t>
      </w:r>
      <w:r>
        <w:rPr>
          <w:rFonts w:ascii="Consolas" w:cs="Consolas" w:eastAsia="Consolas" w:hAnsi="Consolas"/>
          <w:color w:val="9C2FA6"/>
          <w:sz w:val="20"/>
          <w:szCs w:val="20"/>
        </w:rPr>
        <w:t xml:space="preserve">REGIME_BULL_PROB</w:t>
      </w:r>
      <w:r>
        <w:t xml:space="preserve"> sur toutes les lignes d'actif à cette date — un jointure un-vers-plusieurs légitime puisque le régime est un état de marché, pas un état par actif. Repli neutre 0,5 sur fenêtre courte ou non-convergence, même politique que partout ailleurs dans le projet.</w:t>
      </w:r>
    </w:p>
    <w:p>
      <w:pPr>
        <w:pStyle w:val="Heading2"/>
        <w:spacing w:after="120" w:before="240"/>
      </w:pPr>
      <w:r>
        <w:t xml:space="preserve">4.3 Construction du jeu supervisé — le point de risque le plus élevé</w:t>
      </w:r>
    </w:p>
    <w:p>
      <w:pPr>
        <w:spacing w:after="160"/>
      </w:pPr>
      <w:r>
        <w:t xml:space="preserve">La dernière date τ du panel n'a pas de rendement futur </w:t>
      </w:r>
      <w:r>
        <w:rPr>
          <w:i/>
          <w:iCs/>
        </w:rPr>
        <w:t xml:space="preserve">réalisé</w:t>
      </w:r>
      <w:r>
        <w:t xml:space="preserve"> (τ+1 ne s'est pas encore produit du point de vue de τ) — </w:t>
      </w:r>
      <w:r>
        <w:rPr>
          <w:rFonts w:ascii="Consolas" w:cs="Consolas" w:eastAsia="Consolas" w:hAnsi="Consolas"/>
          <w:color w:val="9C2FA6"/>
          <w:sz w:val="20"/>
          <w:szCs w:val="20"/>
        </w:rPr>
        <w:t xml:space="preserve">build_supervised_dataset</w:t>
      </w:r>
      <w:r>
        <w:t xml:space="preserve"> l'exclut de l'entraînement </w:t>
      </w:r>
      <w:r>
        <w:rPr>
          <w:b/>
          <w:bCs/>
        </w:rPr>
        <w:t xml:space="preserve">par sa date, inconditionnellement</w:t>
      </w:r>
      <w:r>
        <w:t xml:space="preserve">, pas par un filtre de valeurs manquantes qui pourrait être contourné. Cette garantie tient même si </w:t>
      </w:r>
      <w:r>
        <w:rPr>
          <w:rFonts w:ascii="Consolas" w:cs="Consolas" w:eastAsia="Consolas" w:hAnsi="Consolas"/>
          <w:color w:val="9C2FA6"/>
          <w:sz w:val="20"/>
          <w:szCs w:val="20"/>
        </w:rPr>
        <w:t xml:space="preserve">log_returns</w:t>
      </w:r>
      <w:r>
        <w:t xml:space="preserve"> s'étend hypothétiquement au-delà du panel — verrouillé par un test dédié qui construit délibérément ce scénario (</w:t>
      </w:r>
      <w:r>
        <w:rPr>
          <w:rFonts w:ascii="Consolas" w:cs="Consolas" w:eastAsia="Consolas" w:hAnsi="Consolas"/>
          <w:color w:val="9C2FA6"/>
          <w:sz w:val="20"/>
          <w:szCs w:val="20"/>
        </w:rPr>
        <w:t xml:space="preserve">test_last_date_excluded_even_if_log_returns_extends_past_the_panel</w:t>
      </w:r>
      <w:r>
        <w:t xml:space="preserve">).</w:t>
      </w:r>
    </w:p>
    <w:p>
      <w:pPr>
        <w:pStyle w:val="Heading2"/>
        <w:spacing w:after="120" w:before="240"/>
      </w:pPr>
      <w:r>
        <w:t xml:space="preserve">4.4 Les deux modèles — panel groupé, hyperparamètres déterministes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DCE6F1" w:val="clear"/>
            <w:tcMar>
              <w:top w:type="dxa" w:w="80"/>
              <w:left w:type="dxa" w:w="100"/>
              <w:bottom w:type="dxa" w:w="80"/>
              <w:right w:type="dxa" w:w="100"/>
            </w:tcMar>
            <w:vAlign w:val="center"/>
          </w:tcPr>
          <w:p>
            <w:r>
              <w:rPr>
                <w:b/>
                <w:bCs/>
                <w:sz w:val="20"/>
                <w:szCs w:val="20"/>
              </w:rPr>
              <w:t xml:space="preserve">Modèle</w:t>
            </w:r>
          </w:p>
        </w:tc>
        <w:tc>
          <w:tcPr>
            <w:tcW w:type="dxa" w:w="4200"/>
            <w:shd w:fill="DCE6F1" w:val="clear"/>
            <w:tcMar>
              <w:top w:type="dxa" w:w="80"/>
              <w:left w:type="dxa" w:w="100"/>
              <w:bottom w:type="dxa" w:w="80"/>
              <w:right w:type="dxa" w:w="100"/>
            </w:tcMar>
            <w:vAlign w:val="center"/>
          </w:tcPr>
          <w:p>
            <w:r>
              <w:rPr>
                <w:b/>
                <w:bCs/>
                <w:sz w:val="20"/>
                <w:szCs w:val="20"/>
              </w:rPr>
              <w:t xml:space="preserve">Hyperparamètres (params.yaml)</w:t>
            </w:r>
          </w:p>
        </w:tc>
        <w:tc>
          <w:tcPr>
            <w:tcW w:type="dxa" w:w="3200"/>
            <w:shd w:fill="DCE6F1" w:val="clear"/>
            <w:tcMar>
              <w:top w:type="dxa" w:w="80"/>
              <w:left w:type="dxa" w:w="100"/>
              <w:bottom w:type="dxa" w:w="80"/>
              <w:right w:type="dxa" w:w="100"/>
            </w:tcMar>
            <w:vAlign w:val="center"/>
          </w:tcPr>
          <w:p>
            <w:r>
              <w:rPr>
                <w:b/>
                <w:bCs/>
                <w:sz w:val="20"/>
                <w:szCs w:val="20"/>
              </w:rPr>
              <w:t xml:space="preserve">Détail</w:t>
            </w:r>
          </w:p>
        </w:tc>
      </w:tr>
      <w:tr>
        <w:tc>
          <w:tcPr>
            <w:tcW w:type="dxa" w:w="2400"/>
            <w:tcMar>
              <w:top w:type="dxa" w:w="80"/>
              <w:left w:type="dxa" w:w="100"/>
              <w:bottom w:type="dxa" w:w="80"/>
              <w:right w:type="dxa" w:w="100"/>
            </w:tcMar>
            <w:vAlign w:val="center"/>
          </w:tcPr>
          <w:p>
            <w:r>
              <w:t xml:space="preserve">RandomForest</w:t>
            </w:r>
          </w:p>
        </w:tc>
        <w:tc>
          <w:tcPr>
            <w:tcW w:type="dxa" w:w="4200"/>
            <w:tcMar>
              <w:top w:type="dxa" w:w="80"/>
              <w:left w:type="dxa" w:w="100"/>
              <w:bottom w:type="dxa" w:w="80"/>
              <w:right w:type="dxa" w:w="100"/>
            </w:tcMar>
            <w:vAlign w:val="center"/>
          </w:tcPr>
          <w:p>
            <w:r>
              <w:t xml:space="preserve">n_estimators=200, max_depth=4, min_samples_leaf=20, random_state=0</w:t>
            </w:r>
          </w:p>
        </w:tc>
        <w:tc>
          <w:tcPr>
            <w:tcW w:type="dxa" w:w="3200"/>
            <w:tcMar>
              <w:top w:type="dxa" w:w="80"/>
              <w:left w:type="dxa" w:w="100"/>
              <w:bottom w:type="dxa" w:w="80"/>
              <w:right w:type="dxa" w:w="100"/>
            </w:tcMar>
            <w:vAlign w:val="center"/>
          </w:tcPr>
          <w:p>
            <w:r>
              <w:t xml:space="preserve">sklearn.ensemble.RandomForestRegressor, import paresseux</w:t>
            </w:r>
          </w:p>
        </w:tc>
      </w:tr>
      <w:tr>
        <w:tc>
          <w:tcPr>
            <w:tcW w:type="dxa" w:w="2400"/>
            <w:tcMar>
              <w:top w:type="dxa" w:w="80"/>
              <w:left w:type="dxa" w:w="100"/>
              <w:bottom w:type="dxa" w:w="80"/>
              <w:right w:type="dxa" w:w="100"/>
            </w:tcMar>
            <w:vAlign w:val="center"/>
          </w:tcPr>
          <w:p>
            <w:r>
              <w:t xml:space="preserve">XGBoost</w:t>
            </w:r>
          </w:p>
        </w:tc>
        <w:tc>
          <w:tcPr>
            <w:tcW w:type="dxa" w:w="4200"/>
            <w:tcMar>
              <w:top w:type="dxa" w:w="80"/>
              <w:left w:type="dxa" w:w="100"/>
              <w:bottom w:type="dxa" w:w="80"/>
              <w:right w:type="dxa" w:w="100"/>
            </w:tcMar>
            <w:vAlign w:val="center"/>
          </w:tcPr>
          <w:p>
            <w:r>
              <w:t xml:space="preserve">n_estimators=200, max_depth=3, learning_rate=0.05, random_state=0</w:t>
            </w:r>
          </w:p>
        </w:tc>
        <w:tc>
          <w:tcPr>
            <w:tcW w:type="dxa" w:w="3200"/>
            <w:tcMar>
              <w:top w:type="dxa" w:w="80"/>
              <w:left w:type="dxa" w:w="100"/>
              <w:bottom w:type="dxa" w:w="80"/>
              <w:right w:type="dxa" w:w="100"/>
            </w:tcMar>
            <w:vAlign w:val="center"/>
          </w:tcPr>
          <w:p>
            <w:r>
              <w:t xml:space="preserve">xgboost.XGBRegressor, import paresseux</w:t>
            </w:r>
          </w:p>
        </w:tc>
      </w:tr>
    </w:tbl>
    <w:p>
      <w:pPr>
        <w:spacing w:after="160" w:before="160"/>
      </w:pPr>
      <w:r>
        <w:t xml:space="preserve">Les deux estimateurs sont stochastiques par défaut (échantillonnage bootstrap / sous-échantillonnage de features) — </w:t>
      </w:r>
      <w:r>
        <w:rPr>
          <w:rFonts w:ascii="Consolas" w:cs="Consolas" w:eastAsia="Consolas" w:hAnsi="Consolas"/>
          <w:color w:val="9C2FA6"/>
          <w:sz w:val="20"/>
          <w:szCs w:val="20"/>
        </w:rPr>
        <w:t xml:space="preserve">random_state=0</w:t>
      </w:r>
      <w:r>
        <w:t xml:space="preserve"> est imposé par défaut à l'intérieur de </w:t>
      </w:r>
      <w:r>
        <w:rPr>
          <w:rFonts w:ascii="Consolas" w:cs="Consolas" w:eastAsia="Consolas" w:hAnsi="Consolas"/>
          <w:color w:val="9C2FA6"/>
          <w:sz w:val="20"/>
          <w:szCs w:val="20"/>
        </w:rPr>
        <w:t xml:space="preserve">fit_predict_expected_returns</w:t>
      </w:r>
      <w:r>
        <w:t xml:space="preserve"> spécifiquement pour satisfaire l'invariant « </w:t>
      </w:r>
      <w:r>
        <w:rPr>
          <w:i/>
          <w:iCs/>
        </w:rPr>
        <w:t xml:space="preserve">extras acceptés et ignorés</w:t>
      </w:r>
      <w:r>
        <w:t xml:space="preserve"> » que chaque stratégie de ce projet respecte : deux appels </w:t>
      </w:r>
      <w:r>
        <w:rPr>
          <w:rFonts w:ascii="Consolas" w:cs="Consolas" w:eastAsia="Consolas" w:hAnsi="Consolas"/>
          <w:color w:val="9C2FA6"/>
          <w:sz w:val="20"/>
          <w:szCs w:val="20"/>
        </w:rPr>
        <w:t xml:space="preserve">fit()</w:t>
      </w:r>
      <w:r>
        <w:t xml:space="preserve"> sur les mêmes données doivent produire des poids identiques.</w:t>
      </w:r>
    </w:p>
    <w:p>
      <w:pPr>
        <w:pStyle w:val="Heading1"/>
        <w:spacing w:after="120" w:before="240"/>
      </w:pPr>
      <w:r>
        <w:t xml:space="preserve">5. Choix de conception — et leurs justifications</w:t>
      </w:r>
    </w:p>
    <w:p>
      <w:pPr>
        <w:pStyle w:val="Heading2"/>
        <w:spacing w:after="120" w:before="240"/>
      </w:pPr>
      <w:r>
        <w:t xml:space="preserve">5.1 RandomForest + XGBoost, portée complète du diagramme</w:t>
      </w:r>
    </w:p>
    <w:p>
      <w:pPr>
        <w:spacing w:after="160"/>
      </w:pPr>
      <w:r>
        <w:t xml:space="preserve">Décision prise avec l'utilisateur (20 juillet 2026) : construire les trois familles de modèles du diagramme (RF, XGBoost, LSTM), pas une portée MVP réduite. Ce choix explicite a été respecté jusqu'à ce qu'un obstacle d'environnement réel (§5.4) force le retrait de LSTM de </w:t>
      </w:r>
      <w:r>
        <w:rPr>
          <w:i/>
          <w:iCs/>
        </w:rPr>
        <w:t xml:space="preserve">cette</w:t>
      </w:r>
      <w:r>
        <w:t xml:space="preserve"> comparaison — la portée voulue reste documentée, pas révisée à la baisse silencieusement.</w:t>
      </w:r>
    </w:p>
    <w:p>
      <w:pPr>
        <w:pStyle w:val="Heading2"/>
        <w:spacing w:after="120" w:before="240"/>
      </w:pPr>
      <w:r>
        <w:t xml:space="preserve">5.2 Posterior de régime comme une seule feature d'entrée</w:t>
      </w:r>
    </w:p>
    <w:p>
      <w:pPr>
        <w:spacing w:after="160"/>
      </w:pPr>
      <w:r>
        <w:t xml:space="preserve">Plutôt que deux sous-modèles dispatchés par régime (comme le fait </w:t>
      </w:r>
      <w:r>
        <w:rPr>
          <w:rFonts w:ascii="Consolas" w:cs="Consolas" w:eastAsia="Consolas" w:hAnsi="Consolas"/>
          <w:color w:val="9C2FA6"/>
          <w:sz w:val="20"/>
          <w:szCs w:val="20"/>
        </w:rPr>
        <w:t xml:space="preserve">RegimeConditionalStrategy</w:t>
      </w:r>
      <w:r>
        <w:t xml:space="preserve"> pour des baselines bon marché à ajuster), le posterior est une colonne d'entrée unique dans un seul modèle groupé — un choix économe en données : fragmenter davantage un jeu déjà mince (</w:t>
      </w:r>
      <w:r>
        <w:rPr>
          <w:rFonts w:ascii="Consolas" w:cs="Consolas" w:eastAsia="Consolas" w:hAnsi="Consolas"/>
          <w:color w:val="9C2FA6"/>
          <w:sz w:val="20"/>
          <w:szCs w:val="20"/>
        </w:rPr>
        <w:t xml:space="preserve">full_2021</w:t>
      </w:r>
      <w:r>
        <w:t xml:space="preserve"> : ~1 255 lignes) pour un problème d'apprentissage plus difficile (régression, pas classification) a été jugé non rentable. </w:t>
      </w:r>
      <w:r>
        <w:rPr>
          <w:b/>
          <w:bCs/>
        </w:rPr>
        <w:t xml:space="preserve">§7 vérifie directement, plutôt que de le supposer</w:t>
      </w:r>
      <w:r>
        <w:t xml:space="preserve">, si le modèle groupé utilise réellement cette feature.</w:t>
      </w:r>
    </w:p>
    <w:p>
      <w:pPr>
        <w:pStyle w:val="Heading2"/>
        <w:spacing w:after="120" w:before="240"/>
      </w:pPr>
      <w:r>
        <w:t xml:space="preserve">5.3 Un panel groupé, pas un modèle par actif</w:t>
      </w:r>
    </w:p>
    <w:p>
      <w:pPr>
        <w:spacing w:after="160"/>
      </w:pPr>
      <w:r>
        <w:t xml:space="preserve">Un modèle par actif diviserait l'historique déjà limité par le nombre d'actifs (5 à 9) — pratique standard en prédiction de rendement cross-sectionnelle : mettre en commun les actifs dans un seul ajustement multiplie les lignes d'entraînement effectives au lieu d'affamer des modèles individuels.</w:t>
      </w:r>
    </w:p>
    <w:p>
      <w:pPr>
        <w:pStyle w:val="Heading2"/>
        <w:spacing w:after="120" w:before="240"/>
      </w:pPr>
      <w:r>
        <w:t xml:space="preserve">5.4 LSTM construit, testé, puis retiré — un incident d'environnement, pas d'implémentation</w:t>
      </w:r>
    </w:p>
    <w:p>
      <w:pPr>
        <w:spacing w:after="160"/>
      </w:pPr>
      <w:r>
        <w:t xml:space="preserve">Le troisième modèle du diagramme a été entièrement implémenté : </w:t>
      </w:r>
      <w:r>
        <w:rPr>
          <w:rFonts w:ascii="Consolas" w:cs="Consolas" w:eastAsia="Consolas" w:hAnsi="Consolas"/>
          <w:color w:val="9C2FA6"/>
          <w:sz w:val="20"/>
          <w:szCs w:val="20"/>
        </w:rPr>
        <w:t xml:space="preserve">src/lstm_signal.py</w:t>
      </w:r>
      <w:r>
        <w:t xml:space="preserve"> (séquences glissantes par actif, un petit </w:t>
      </w:r>
      <w:r>
        <w:rPr>
          <w:rFonts w:ascii="Consolas" w:cs="Consolas" w:eastAsia="Consolas" w:hAnsi="Consolas"/>
          <w:color w:val="9C2FA6"/>
          <w:sz w:val="20"/>
          <w:szCs w:val="20"/>
        </w:rPr>
        <w:t xml:space="preserve">ReturnLSTM</w:t>
      </w:r>
      <w:r>
        <w:t xml:space="preserve"> à une couche, entraînement déterministe via </w:t>
      </w:r>
      <w:r>
        <w:rPr>
          <w:rFonts w:ascii="Consolas" w:cs="Consolas" w:eastAsia="Consolas" w:hAnsi="Consolas"/>
          <w:color w:val="9C2FA6"/>
          <w:sz w:val="20"/>
          <w:szCs w:val="20"/>
        </w:rPr>
        <w:t xml:space="preserve">torch.manual_seed</w:t>
      </w:r>
      <w:r>
        <w:t xml:space="preserve">), une classe </w:t>
      </w:r>
      <w:r>
        <w:rPr>
          <w:rFonts w:ascii="Consolas" w:cs="Consolas" w:eastAsia="Consolas" w:hAnsi="Consolas"/>
          <w:color w:val="9C2FA6"/>
          <w:sz w:val="20"/>
          <w:szCs w:val="20"/>
        </w:rPr>
        <w:t xml:space="preserve">LSTMSignalStrategy</w:t>
      </w:r>
      <w:r>
        <w:t xml:space="preserve">, et 10 tests standalone verts (</w:t>
      </w:r>
      <w:r>
        <w:rPr>
          <w:rFonts w:ascii="Consolas" w:cs="Consolas" w:eastAsia="Consolas" w:hAnsi="Consolas"/>
          <w:color w:val="9C2FA6"/>
          <w:sz w:val="20"/>
          <w:szCs w:val="20"/>
        </w:rPr>
        <w:t xml:space="preserve">tests/test_lstm_signal.py</w:t>
      </w:r>
      <w:r>
        <w:t xml:space="preserve">, ~6 s, fixtures synthétiques minuscules).</w:t>
      </w:r>
    </w:p>
    <w:p>
      <w:pPr>
        <w:spacing w:after="160"/>
      </w:pPr>
      <w:r>
        <w:t xml:space="preserve">Le retrait est survenu lors du câblage dans la suite de tests partagée (</w:t>
      </w:r>
      <w:r>
        <w:rPr>
          <w:rFonts w:ascii="Consolas" w:cs="Consolas" w:eastAsia="Consolas" w:hAnsi="Consolas"/>
          <w:color w:val="9C2FA6"/>
          <w:sz w:val="20"/>
          <w:szCs w:val="20"/>
        </w:rPr>
        <w:t xml:space="preserve">tests/test_strategies.py</w:t>
      </w:r>
      <w:r>
        <w:t xml:space="preserve">, qui exécute </w:t>
      </w:r>
      <w:r>
        <w:rPr>
          <w:rFonts w:ascii="Consolas" w:cs="Consolas" w:eastAsia="Consolas" w:hAnsi="Consolas"/>
          <w:color w:val="9C2FA6"/>
          <w:sz w:val="20"/>
          <w:szCs w:val="20"/>
        </w:rPr>
        <w:t xml:space="preserve">RandomForestSignalStrategy</w:t>
      </w:r>
      <w:r>
        <w:t xml:space="preserve"> / </w:t>
      </w:r>
      <w:r>
        <w:rPr>
          <w:rFonts w:ascii="Consolas" w:cs="Consolas" w:eastAsia="Consolas" w:hAnsi="Consolas"/>
          <w:color w:val="9C2FA6"/>
          <w:sz w:val="20"/>
          <w:szCs w:val="20"/>
        </w:rPr>
        <w:t xml:space="preserve">XGBoostSignalStrategy</w:t>
      </w:r>
      <w:r>
        <w:t xml:space="preserve"> / </w:t>
      </w:r>
      <w:r>
        <w:rPr>
          <w:rFonts w:ascii="Consolas" w:cs="Consolas" w:eastAsia="Consolas" w:hAnsi="Consolas"/>
          <w:color w:val="9C2FA6"/>
          <w:sz w:val="20"/>
          <w:szCs w:val="20"/>
        </w:rPr>
        <w:t xml:space="preserve">LSTMSignalStrategy</w:t>
      </w:r>
      <w:r>
        <w:t xml:space="preserve"> à la suite dans le même processus) : d'abord un dépassement de délai (&gt; 120 s), puis, à la tentative suivante, un </w:t>
      </w:r>
      <w:r>
        <w:rPr>
          <w:b/>
          <w:bCs/>
        </w:rPr>
        <w:t xml:space="preserve">segfault</w:t>
      </w:r>
      <w:r>
        <w:t xml:space="preserve"> reproductible, positionné exactement là où </w:t>
      </w:r>
      <w:r>
        <w:rPr>
          <w:rFonts w:ascii="Consolas" w:cs="Consolas" w:eastAsia="Consolas" w:hAnsi="Consolas"/>
          <w:color w:val="9C2FA6"/>
          <w:sz w:val="20"/>
          <w:szCs w:val="20"/>
        </w:rPr>
        <w:t xml:space="preserve">torch</w:t>
      </w:r>
      <w:r>
        <w:t xml:space="preserve"> et </w:t>
      </w:r>
      <w:r>
        <w:rPr>
          <w:rFonts w:ascii="Consolas" w:cs="Consolas" w:eastAsia="Consolas" w:hAnsi="Consolas"/>
          <w:color w:val="9C2FA6"/>
          <w:sz w:val="20"/>
          <w:szCs w:val="20"/>
        </w:rPr>
        <w:t xml:space="preserve">xgboost</w:t>
      </w:r>
      <w:r>
        <w:t xml:space="preserve"> se chargent tous deux — un conflit de bibliothèques natives/OpenMP entre les deux frameworks sur cette machine de développement, pas un défaut dans le code du modèle ni dans l'une ou l'autre bibliothèque.</w:t>
      </w:r>
    </w:p>
    <w:p>
      <w:pPr>
        <w:spacing w:after="160"/>
      </w:pPr>
      <w:r>
        <w:t xml:space="preserve">Décision, sur instruction explicite de l'utilisateur (« </w:t>
      </w:r>
      <w:r>
        <w:rPr>
          <w:i/>
          <w:iCs/>
        </w:rPr>
        <w:t xml:space="preserve">it took too long, drop the lstm for now, we'll do it in a more performative machine</w:t>
      </w:r>
      <w:r>
        <w:t xml:space="preserve"> ») : retirer </w:t>
      </w:r>
      <w:r>
        <w:rPr>
          <w:b/>
          <w:bCs/>
        </w:rPr>
        <w:t xml:space="preserve">entièrement</w:t>
      </w:r>
      <w:r>
        <w:t xml:space="preserve"> le code LSTM de cette branche plutôt que de le laisser instable ou simplement ignoré (</w:t>
      </w:r>
      <w:r>
        <w:rPr>
          <w:rFonts w:ascii="Consolas" w:cs="Consolas" w:eastAsia="Consolas" w:hAnsi="Consolas"/>
          <w:color w:val="9C2FA6"/>
          <w:sz w:val="20"/>
          <w:szCs w:val="20"/>
        </w:rPr>
        <w:t xml:space="preserve">skip</w:t>
      </w:r>
      <w:r>
        <w:t xml:space="preserve">) — </w:t>
      </w:r>
      <w:r>
        <w:rPr>
          <w:rFonts w:ascii="Consolas" w:cs="Consolas" w:eastAsia="Consolas" w:hAnsi="Consolas"/>
          <w:color w:val="9C2FA6"/>
          <w:sz w:val="20"/>
          <w:szCs w:val="20"/>
        </w:rPr>
        <w:t xml:space="preserve">src/lstm_signal.py</w:t>
      </w:r>
      <w:r>
        <w:t xml:space="preserve"> et </w:t>
      </w:r>
      <w:r>
        <w:rPr>
          <w:rFonts w:ascii="Consolas" w:cs="Consolas" w:eastAsia="Consolas" w:hAnsi="Consolas"/>
          <w:color w:val="9C2FA6"/>
          <w:sz w:val="20"/>
          <w:szCs w:val="20"/>
        </w:rPr>
        <w:t xml:space="preserve">tests/test_lstm_signal.py</w:t>
      </w:r>
      <w:r>
        <w:t xml:space="preserve"> supprimés, </w:t>
      </w:r>
      <w:r>
        <w:rPr>
          <w:rFonts w:ascii="Consolas" w:cs="Consolas" w:eastAsia="Consolas" w:hAnsi="Consolas"/>
          <w:color w:val="9C2FA6"/>
          <w:sz w:val="20"/>
          <w:szCs w:val="20"/>
        </w:rPr>
        <w:t xml:space="preserve">LSTMSignalStrategy</w:t>
      </w:r>
      <w:r>
        <w:t xml:space="preserve"> retirée de </w:t>
      </w:r>
      <w:r>
        <w:rPr>
          <w:rFonts w:ascii="Consolas" w:cs="Consolas" w:eastAsia="Consolas" w:hAnsi="Consolas"/>
          <w:color w:val="9C2FA6"/>
          <w:sz w:val="20"/>
          <w:szCs w:val="20"/>
        </w:rPr>
        <w:t xml:space="preserve">strategies.py</w:t>
      </w:r>
      <w:r>
        <w:t xml:space="preserve">, dépendance </w:t>
      </w:r>
      <w:r>
        <w:rPr>
          <w:rFonts w:ascii="Consolas" w:cs="Consolas" w:eastAsia="Consolas" w:hAnsi="Consolas"/>
          <w:color w:val="9C2FA6"/>
          <w:sz w:val="20"/>
          <w:szCs w:val="20"/>
        </w:rPr>
        <w:t xml:space="preserve">torch</w:t>
      </w:r>
      <w:r>
        <w:t xml:space="preserve"> retirée de </w:t>
      </w:r>
      <w:r>
        <w:rPr>
          <w:rFonts w:ascii="Consolas" w:cs="Consolas" w:eastAsia="Consolas" w:hAnsi="Consolas"/>
          <w:color w:val="9C2FA6"/>
          <w:sz w:val="20"/>
          <w:szCs w:val="20"/>
        </w:rPr>
        <w:t xml:space="preserve">requirements.txt</w:t>
      </w:r>
      <w:r>
        <w:t xml:space="preserve">, bloc </w:t>
      </w:r>
      <w:r>
        <w:rPr>
          <w:rFonts w:ascii="Consolas" w:cs="Consolas" w:eastAsia="Consolas" w:hAnsi="Consolas"/>
          <w:color w:val="9C2FA6"/>
          <w:sz w:val="20"/>
          <w:szCs w:val="20"/>
        </w:rPr>
        <w:t xml:space="preserve">lstm:</w:t>
      </w:r>
      <w:r>
        <w:t xml:space="preserve"> retiré de </w:t>
      </w:r>
      <w:r>
        <w:rPr>
          <w:rFonts w:ascii="Consolas" w:cs="Consolas" w:eastAsia="Consolas" w:hAnsi="Consolas"/>
          <w:color w:val="9C2FA6"/>
          <w:sz w:val="20"/>
          <w:szCs w:val="20"/>
        </w:rPr>
        <w:t xml:space="preserve">params.yaml</w:t>
      </w:r>
      <w:r>
        <w:t xml:space="preserve"> — chacun remplacé par un commentaire documentant le raisonnement. </w:t>
      </w:r>
      <w:r>
        <w:rPr>
          <w:b/>
          <w:bCs/>
        </w:rPr>
        <w:t xml:space="preserve">Reporté à une exécution sur matériel plus capable ou isolé, pas abandonné.</w:t>
      </w:r>
    </w:p>
    <w:p>
      <w:pPr>
        <w:pStyle w:val="Heading2"/>
        <w:spacing w:after="120" w:before="240"/>
      </w:pPr>
      <w:r>
        <w:t xml:space="preserve">5.5 Revue Sourcery (PR #9) — traitement complet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4200"/>
      </w:tblGrid>
      <w:tr>
        <w:trPr>
          <w:tblHeader/>
        </w:trPr>
        <w:tc>
          <w:tcPr>
            <w:tcW w:type="dxa" w:w="4600"/>
            <w:shd w:fill="DCE6F1" w:val="clear"/>
            <w:tcMar>
              <w:top w:type="dxa" w:w="80"/>
              <w:left w:type="dxa" w:w="100"/>
              <w:bottom w:type="dxa" w:w="80"/>
              <w:right w:type="dxa" w:w="100"/>
            </w:tcMar>
            <w:vAlign w:val="center"/>
          </w:tcPr>
          <w:p>
            <w:r>
              <w:rPr>
                <w:b/>
                <w:bCs/>
                <w:sz w:val="20"/>
                <w:szCs w:val="20"/>
              </w:rPr>
              <w:t xml:space="preserve">Point relevé</w:t>
            </w:r>
          </w:p>
        </w:tc>
        <w:tc>
          <w:tcPr>
            <w:tcW w:type="dxa" w:w="4200"/>
            <w:shd w:fill="DCE6F1" w:val="clear"/>
            <w:tcMar>
              <w:top w:type="dxa" w:w="80"/>
              <w:left w:type="dxa" w:w="100"/>
              <w:bottom w:type="dxa" w:w="80"/>
              <w:right w:type="dxa" w:w="100"/>
            </w:tcMar>
            <w:vAlign w:val="center"/>
          </w:tcPr>
          <w:p>
            <w:r>
              <w:rPr>
                <w:b/>
                <w:bCs/>
                <w:sz w:val="20"/>
                <w:szCs w:val="20"/>
              </w:rPr>
              <w:t xml:space="preserve">Traitement</w:t>
            </w:r>
          </w:p>
        </w:tc>
      </w:tr>
      <w:tr>
        <w:tc>
          <w:tcPr>
            <w:tcW w:type="dxa" w:w="4600"/>
            <w:tcMar>
              <w:top w:type="dxa" w:w="80"/>
              <w:left w:type="dxa" w:w="100"/>
              <w:bottom w:type="dxa" w:w="80"/>
              <w:right w:type="dxa" w:w="100"/>
            </w:tcMar>
            <w:vAlign w:val="center"/>
          </w:tcPr>
          <w:p>
            <w:r>
              <w:t xml:space="preserve">Annotation de type de momentum_windows (list[int] vs. défaut tuple)</w:t>
            </w:r>
          </w:p>
        </w:tc>
        <w:tc>
          <w:tcPr>
            <w:tcW w:type="dxa" w:w="4200"/>
            <w:tcMar>
              <w:top w:type="dxa" w:w="80"/>
              <w:left w:type="dxa" w:w="100"/>
              <w:bottom w:type="dxa" w:w="80"/>
              <w:right w:type="dxa" w:w="100"/>
            </w:tcMar>
            <w:vAlign w:val="center"/>
          </w:tcPr>
          <w:p>
            <w:r>
              <w:t xml:space="preserve">Corrigé — annotation changée en Sequence[int]</w:t>
            </w:r>
          </w:p>
        </w:tc>
      </w:tr>
      <w:tr>
        <w:tc>
          <w:tcPr>
            <w:tcW w:type="dxa" w:w="4600"/>
            <w:tcMar>
              <w:top w:type="dxa" w:w="80"/>
              <w:left w:type="dxa" w:w="100"/>
              <w:bottom w:type="dxa" w:w="80"/>
              <w:right w:type="dxa" w:w="100"/>
            </w:tcMar>
            <w:vAlign w:val="center"/>
          </w:tcPr>
          <w:p>
            <w:r>
              <w:t xml:space="preserve">Constante 252 codée en dur dans l'annualisation de volatilité (ml_signals.py)</w:t>
            </w:r>
          </w:p>
        </w:tc>
        <w:tc>
          <w:tcPr>
            <w:tcW w:type="dxa" w:w="4200"/>
            <w:tcMar>
              <w:top w:type="dxa" w:w="80"/>
              <w:left w:type="dxa" w:w="100"/>
              <w:bottom w:type="dxa" w:w="80"/>
              <w:right w:type="dxa" w:w="100"/>
            </w:tcMar>
            <w:vAlign w:val="center"/>
          </w:tcPr>
          <w:p>
            <w:r>
              <w:t xml:space="preserve">Corrigé — utilise désormais TRADING_DAYS_PER_YEAR</w:t>
            </w:r>
          </w:p>
        </w:tc>
      </w:tr>
      <w:tr>
        <w:tc>
          <w:tcPr>
            <w:tcW w:type="dxa" w:w="4600"/>
            <w:tcMar>
              <w:top w:type="dxa" w:w="80"/>
              <w:left w:type="dxa" w:w="100"/>
              <w:bottom w:type="dxa" w:w="80"/>
              <w:right w:type="dxa" w:w="100"/>
            </w:tcMar>
            <w:vAlign w:val="center"/>
          </w:tcPr>
          <w:p>
            <w:r>
              <w:t xml:space="preserve">model_type inconnu détecté tardivement (après construction du panel complet)</w:t>
            </w:r>
          </w:p>
        </w:tc>
        <w:tc>
          <w:tcPr>
            <w:tcW w:type="dxa" w:w="4200"/>
            <w:tcMar>
              <w:top w:type="dxa" w:w="80"/>
              <w:left w:type="dxa" w:w="100"/>
              <w:bottom w:type="dxa" w:w="80"/>
              <w:right w:type="dxa" w:w="100"/>
            </w:tcMar>
            <w:vAlign w:val="center"/>
          </w:tcPr>
          <w:p>
            <w:r>
              <w:t xml:space="preserve">Corrigé — validation précoce, repli immédiat avec avertissement clair</w:t>
            </w:r>
          </w:p>
        </w:tc>
      </w:tr>
      <w:tr>
        <w:tc>
          <w:tcPr>
            <w:tcW w:type="dxa" w:w="4600"/>
            <w:tcMar>
              <w:top w:type="dxa" w:w="80"/>
              <w:left w:type="dxa" w:w="100"/>
              <w:bottom w:type="dxa" w:w="80"/>
              <w:right w:type="dxa" w:w="100"/>
            </w:tcMar>
            <w:vAlign w:val="center"/>
          </w:tcPr>
          <w:p>
            <w:r>
              <w:t xml:space="preserve">Refit du HMM dupliqué entre RegimeConditionalStrategy et chaque _MLSignalStrategy</w:t>
            </w:r>
          </w:p>
        </w:tc>
        <w:tc>
          <w:tcPr>
            <w:tcW w:type="dxa" w:w="4200"/>
            <w:tcMar>
              <w:top w:type="dxa" w:w="80"/>
              <w:left w:type="dxa" w:w="100"/>
              <w:bottom w:type="dxa" w:w="80"/>
              <w:right w:type="dxa" w:w="100"/>
            </w:tcMar>
            <w:vAlign w:val="center"/>
          </w:tcPr>
          <w:p>
            <w:r>
              <w:t xml:space="preserve">Accepté et documenté — coût de performance réel mais pas de risque de correction (seeding déterministe), partage nécessiterait un nouveau contrat au niveau du moteur, hors périmètre de cette passe</w:t>
            </w:r>
          </w:p>
        </w:tc>
      </w:tr>
    </w:tbl>
    <w:p>
      <w:pPr>
        <w:spacing w:before="160"/>
      </w:pPr>
      <w:r>
        <w:t xml:space="preserve">Les deux corrections ont été re-vérifiées par ré-exécution de la suite complète (213 tests verts) avant de clore la revue.</w:t>
      </w:r>
    </w:p>
    <w:p>
      <w:pPr>
        <w:pStyle w:val="Heading1"/>
        <w:spacing w:after="120" w:before="240"/>
      </w:pPr>
      <w:r>
        <w:t xml:space="preserve">6. Les résultats — bout-en-bout, sur données réelles (P1–P4)</w:t>
      </w:r>
    </w:p>
    <w:p>
      <w:pPr>
        <w:spacing w:after="160"/>
      </w:pPr>
      <w:r>
        <w:t xml:space="preserve">Un seul run (</w:t>
      </w:r>
      <w:r>
        <w:rPr>
          <w:rFonts w:ascii="Consolas" w:cs="Consolas" w:eastAsia="Consolas" w:hAnsi="Consolas"/>
          <w:color w:val="9C2FA6"/>
          <w:sz w:val="20"/>
          <w:szCs w:val="20"/>
        </w:rPr>
        <w:t xml:space="preserve">src/run_phase4b.py</w:t>
      </w:r>
      <w:r>
        <w:t xml:space="preserve">, aussi l'étape DVC </w:t>
      </w:r>
      <w:r>
        <w:rPr>
          <w:rFonts w:ascii="Consolas" w:cs="Consolas" w:eastAsia="Consolas" w:hAnsi="Consolas"/>
          <w:color w:val="9C2FA6"/>
          <w:sz w:val="20"/>
          <w:szCs w:val="20"/>
        </w:rPr>
        <w:t xml:space="preserve">phase4b_compare</w:t>
      </w:r>
      <w:r>
        <w:t xml:space="preserve">) exécute les 7 stratégies existantes </w:t>
      </w:r>
      <w:r>
        <w:rPr>
          <w:b/>
          <w:bCs/>
        </w:rPr>
        <w:t xml:space="preserve">et</w:t>
      </w:r>
      <w:r>
        <w:t xml:space="preserve"> les 2 nouvelles stratégies F7 dans la même passe, sur le même instantané Gold — la réserve d'essais partagée que le Deflated Sharpe Ratio exige pour rester honnête.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00"/>
        <w:gridCol w:w="2800"/>
      </w:tblGrid>
      <w:tr>
        <w:trPr>
          <w:tblHeader/>
        </w:trPr>
        <w:tc>
          <w:tcPr>
            <w:tcW w:type="dxa" w:w="2200"/>
            <w:shd w:fill="DCE6F1" w:val="clear"/>
            <w:tcMar>
              <w:top w:type="dxa" w:w="80"/>
              <w:left w:type="dxa" w:w="100"/>
              <w:bottom w:type="dxa" w:w="80"/>
              <w:right w:type="dxa" w:w="100"/>
            </w:tcMar>
            <w:vAlign w:val="center"/>
          </w:tcPr>
          <w:p>
            <w:r>
              <w:rPr>
                <w:b/>
                <w:bCs/>
                <w:sz w:val="20"/>
                <w:szCs w:val="20"/>
              </w:rPr>
              <w:t xml:space="preserve">Univers</w:t>
            </w:r>
          </w:p>
        </w:tc>
        <w:tc>
          <w:tcPr>
            <w:tcW w:type="dxa" w:w="3200"/>
            <w:shd w:fill="DCE6F1" w:val="clear"/>
            <w:tcMar>
              <w:top w:type="dxa" w:w="80"/>
              <w:left w:type="dxa" w:w="100"/>
              <w:bottom w:type="dxa" w:w="80"/>
              <w:right w:type="dxa" w:w="100"/>
            </w:tcMar>
            <w:vAlign w:val="center"/>
          </w:tcPr>
          <w:p>
            <w:r>
              <w:rPr>
                <w:b/>
                <w:bCs/>
                <w:sz w:val="20"/>
                <w:szCs w:val="20"/>
              </w:rPr>
              <w:t xml:space="preserve">Stratégie gagnante</w:t>
            </w:r>
          </w:p>
        </w:tc>
        <w:tc>
          <w:tcPr>
            <w:tcW w:type="dxa" w:w="1600"/>
            <w:shd w:fill="DCE6F1" w:val="clear"/>
            <w:tcMar>
              <w:top w:type="dxa" w:w="80"/>
              <w:left w:type="dxa" w:w="100"/>
              <w:bottom w:type="dxa" w:w="80"/>
              <w:right w:type="dxa" w:w="100"/>
            </w:tcMar>
            <w:vAlign w:val="center"/>
          </w:tcPr>
          <w:p>
            <w:r>
              <w:rPr>
                <w:b/>
                <w:bCs/>
                <w:sz w:val="20"/>
                <w:szCs w:val="20"/>
              </w:rPr>
              <w:t xml:space="preserve">Sharpe net</w:t>
            </w:r>
          </w:p>
        </w:tc>
        <w:tc>
          <w:tcPr>
            <w:tcW w:type="dxa" w:w="2800"/>
            <w:shd w:fill="DCE6F1" w:val="clear"/>
            <w:tcMar>
              <w:top w:type="dxa" w:w="80"/>
              <w:left w:type="dxa" w:w="100"/>
              <w:bottom w:type="dxa" w:w="80"/>
              <w:right w:type="dxa" w:w="100"/>
            </w:tcMar>
            <w:vAlign w:val="center"/>
          </w:tcPr>
          <w:p>
            <w:r>
              <w:rPr>
                <w:b/>
                <w:bCs/>
                <w:sz w:val="20"/>
                <w:szCs w:val="20"/>
              </w:rPr>
              <w:t xml:space="preserve">vs. haie Phase 4</w:t>
            </w:r>
          </w:p>
        </w:tc>
      </w:tr>
      <w:tr>
        <w:tc>
          <w:tcPr>
            <w:tcW w:type="dxa" w:w="2200"/>
            <w:tcMar>
              <w:top w:type="dxa" w:w="80"/>
              <w:left w:type="dxa" w:w="100"/>
              <w:bottom w:type="dxa" w:w="80"/>
              <w:right w:type="dxa" w:w="100"/>
            </w:tcMar>
            <w:vAlign w:val="center"/>
          </w:tcPr>
          <w:p>
            <w:r>
              <w:rPr>
                <w:b w:val="false"/>
                <w:bCs w:val="false"/>
                <w:sz w:val="20"/>
                <w:szCs w:val="20"/>
              </w:rPr>
              <w:t xml:space="preserve">etf_2017</w:t>
            </w:r>
          </w:p>
        </w:tc>
        <w:tc>
          <w:tcPr>
            <w:tcW w:type="dxa" w:w="3200"/>
            <w:tcMar>
              <w:top w:type="dxa" w:w="80"/>
              <w:left w:type="dxa" w:w="100"/>
              <w:bottom w:type="dxa" w:w="80"/>
              <w:right w:type="dxa" w:w="100"/>
            </w:tcMar>
            <w:vAlign w:val="center"/>
          </w:tcPr>
          <w:p>
            <w:r>
              <w:rPr>
                <w:b w:val="false"/>
                <w:bCs w:val="false"/>
                <w:sz w:val="20"/>
                <w:szCs w:val="20"/>
              </w:rPr>
              <w:t xml:space="preserve">max_sharpe (Phase 4, inchangée)</w:t>
            </w:r>
          </w:p>
        </w:tc>
        <w:tc>
          <w:tcPr>
            <w:tcW w:type="dxa" w:w="1600"/>
            <w:tcMar>
              <w:top w:type="dxa" w:w="80"/>
              <w:left w:type="dxa" w:w="100"/>
              <w:bottom w:type="dxa" w:w="80"/>
              <w:right w:type="dxa" w:w="100"/>
            </w:tcMar>
            <w:vAlign w:val="center"/>
          </w:tcPr>
          <w:p>
            <w:r>
              <w:rPr>
                <w:b w:val="false"/>
                <w:bCs w:val="false"/>
                <w:sz w:val="20"/>
                <w:szCs w:val="20"/>
              </w:rPr>
              <w:t xml:space="preserve">0,936</w:t>
            </w:r>
          </w:p>
        </w:tc>
        <w:tc>
          <w:tcPr>
            <w:tcW w:type="dxa" w:w="2800"/>
            <w:tcMar>
              <w:top w:type="dxa" w:w="80"/>
              <w:left w:type="dxa" w:w="100"/>
              <w:bottom w:type="dxa" w:w="80"/>
              <w:right w:type="dxa" w:w="100"/>
            </w:tcMar>
            <w:vAlign w:val="center"/>
          </w:tcPr>
          <w:p>
            <w:r>
              <w:rPr>
                <w:b w:val="false"/>
                <w:bCs w:val="false"/>
                <w:sz w:val="20"/>
                <w:szCs w:val="20"/>
              </w:rPr>
              <w:t xml:space="preserve">Haie non déplacée — meilleur F7 : xgb_signal 0,747</w:t>
            </w:r>
          </w:p>
        </w:tc>
      </w:tr>
      <w:tr>
        <w:tc>
          <w:tcPr>
            <w:tcW w:type="dxa" w:w="2200"/>
            <w:tcMar>
              <w:top w:type="dxa" w:w="80"/>
              <w:left w:type="dxa" w:w="100"/>
              <w:bottom w:type="dxa" w:w="80"/>
              <w:right w:type="dxa" w:w="100"/>
            </w:tcMar>
            <w:vAlign w:val="center"/>
          </w:tcPr>
          <w:p>
            <w:r>
              <w:rPr>
                <w:b w:val="false"/>
                <w:bCs w:val="false"/>
                <w:sz w:val="20"/>
                <w:szCs w:val="20"/>
              </w:rPr>
              <w:t xml:space="preserve">full_2021</w:t>
            </w:r>
          </w:p>
        </w:tc>
        <w:tc>
          <w:tcPr>
            <w:tcW w:type="dxa" w:w="3200"/>
            <w:tcMar>
              <w:top w:type="dxa" w:w="80"/>
              <w:left w:type="dxa" w:w="100"/>
              <w:bottom w:type="dxa" w:w="80"/>
              <w:right w:type="dxa" w:w="100"/>
            </w:tcMar>
            <w:vAlign w:val="center"/>
          </w:tcPr>
          <w:p>
            <w:r>
              <w:rPr>
                <w:b w:val="false"/>
                <w:bCs w:val="false"/>
                <w:sz w:val="20"/>
                <w:szCs w:val="20"/>
              </w:rPr>
              <w:t xml:space="preserve">regime_conditional (Phase 4, inchangée)</w:t>
            </w:r>
          </w:p>
        </w:tc>
        <w:tc>
          <w:tcPr>
            <w:tcW w:type="dxa" w:w="1600"/>
            <w:tcMar>
              <w:top w:type="dxa" w:w="80"/>
              <w:left w:type="dxa" w:w="100"/>
              <w:bottom w:type="dxa" w:w="80"/>
              <w:right w:type="dxa" w:w="100"/>
            </w:tcMar>
            <w:vAlign w:val="center"/>
          </w:tcPr>
          <w:p>
            <w:r>
              <w:rPr>
                <w:b w:val="false"/>
                <w:bCs w:val="false"/>
                <w:sz w:val="20"/>
                <w:szCs w:val="20"/>
              </w:rPr>
              <w:t xml:space="preserve">1,122</w:t>
            </w:r>
          </w:p>
        </w:tc>
        <w:tc>
          <w:tcPr>
            <w:tcW w:type="dxa" w:w="2800"/>
            <w:tcMar>
              <w:top w:type="dxa" w:w="80"/>
              <w:left w:type="dxa" w:w="100"/>
              <w:bottom w:type="dxa" w:w="80"/>
              <w:right w:type="dxa" w:w="100"/>
            </w:tcMar>
            <w:vAlign w:val="center"/>
          </w:tcPr>
          <w:p>
            <w:r>
              <w:rPr>
                <w:b w:val="false"/>
                <w:bCs w:val="false"/>
                <w:sz w:val="20"/>
                <w:szCs w:val="20"/>
              </w:rPr>
              <w:t xml:space="preserve">Haie non déplacée — meilleur F7 : rf_signal 1,062</w:t>
            </w:r>
          </w:p>
        </w:tc>
      </w:tr>
    </w:tbl>
    <w:p>
      <w:pPr>
        <w:spacing w:before="200"/>
      </w:pPr>
      <w:r>
        <w:rPr>
          <w:b/>
          <w:bCs/>
        </w:rPr>
        <w:t xml:space="preserve">Détail complet — etf_2017 (103 rééquilibrages, OOS 2018-01-01 → 2026-07-20)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600"/>
      </w:tblGrid>
      <w:tr>
        <w:trPr>
          <w:tblHeader/>
        </w:trPr>
        <w:tc>
          <w:tcPr>
            <w:tcW w:type="dxa" w:w="3200"/>
            <w:shd w:fill="DCE6F1" w:val="clear"/>
            <w:tcMar>
              <w:top w:type="dxa" w:w="80"/>
              <w:left w:type="dxa" w:w="100"/>
              <w:bottom w:type="dxa" w:w="80"/>
              <w:right w:type="dxa" w:w="100"/>
            </w:tcMar>
            <w:vAlign w:val="center"/>
          </w:tcPr>
          <w:p>
            <w:r>
              <w:rPr>
                <w:b/>
                <w:bCs/>
                <w:sz w:val="20"/>
                <w:szCs w:val="20"/>
              </w:rPr>
              <w:t xml:space="preserve">Stratégie</w:t>
            </w:r>
          </w:p>
        </w:tc>
        <w:tc>
          <w:tcPr>
            <w:tcW w:type="dxa" w:w="1800"/>
            <w:shd w:fill="DCE6F1" w:val="clear"/>
            <w:tcMar>
              <w:top w:type="dxa" w:w="80"/>
              <w:left w:type="dxa" w:w="100"/>
              <w:bottom w:type="dxa" w:w="80"/>
              <w:right w:type="dxa" w:w="100"/>
            </w:tcMar>
            <w:vAlign w:val="center"/>
          </w:tcPr>
          <w:p>
            <w:r>
              <w:rPr>
                <w:b/>
                <w:bCs/>
                <w:sz w:val="20"/>
                <w:szCs w:val="20"/>
              </w:rPr>
              <w:t xml:space="preserve">Sharpe net</w:t>
            </w:r>
          </w:p>
        </w:tc>
        <w:tc>
          <w:tcPr>
            <w:tcW w:type="dxa" w:w="2200"/>
            <w:shd w:fill="DCE6F1" w:val="clear"/>
            <w:tcMar>
              <w:top w:type="dxa" w:w="80"/>
              <w:left w:type="dxa" w:w="100"/>
              <w:bottom w:type="dxa" w:w="80"/>
              <w:right w:type="dxa" w:w="100"/>
            </w:tcMar>
            <w:vAlign w:val="center"/>
          </w:tcPr>
          <w:p>
            <w:r>
              <w:rPr>
                <w:b/>
                <w:bCs/>
                <w:sz w:val="20"/>
                <w:szCs w:val="20"/>
              </w:rPr>
              <w:t xml:space="preserve">Turnover moyen</w:t>
            </w:r>
          </w:p>
        </w:tc>
        <w:tc>
          <w:tcPr>
            <w:tcW w:type="dxa" w:w="1600"/>
            <w:shd w:fill="DCE6F1" w:val="clear"/>
            <w:tcMar>
              <w:top w:type="dxa" w:w="80"/>
              <w:left w:type="dxa" w:w="100"/>
              <w:bottom w:type="dxa" w:w="80"/>
              <w:right w:type="dxa" w:w="100"/>
            </w:tcMar>
            <w:vAlign w:val="center"/>
          </w:tcPr>
          <w:p>
            <w:r>
              <w:rPr>
                <w:b/>
                <w:bCs/>
                <w:sz w:val="20"/>
                <w:szCs w:val="20"/>
              </w:rPr>
              <w:t xml:space="preserve">DSR</w:t>
            </w:r>
          </w:p>
        </w:tc>
      </w:tr>
      <w:tr>
        <w:tc>
          <w:tcPr>
            <w:tcW w:type="dxa" w:w="3200"/>
            <w:tcMar>
              <w:top w:type="dxa" w:w="80"/>
              <w:left w:type="dxa" w:w="100"/>
              <w:bottom w:type="dxa" w:w="80"/>
              <w:right w:type="dxa" w:w="100"/>
            </w:tcMar>
            <w:vAlign w:val="center"/>
          </w:tcPr>
          <w:p>
            <w:r>
              <w:rPr>
                <w:b w:val="false"/>
                <w:bCs w:val="false"/>
                <w:sz w:val="20"/>
                <w:szCs w:val="20"/>
              </w:rPr>
              <w:t xml:space="preserve">equal_weight</w:t>
            </w:r>
          </w:p>
        </w:tc>
        <w:tc>
          <w:tcPr>
            <w:tcW w:type="dxa" w:w="1800"/>
            <w:tcMar>
              <w:top w:type="dxa" w:w="80"/>
              <w:left w:type="dxa" w:w="100"/>
              <w:bottom w:type="dxa" w:w="80"/>
              <w:right w:type="dxa" w:w="100"/>
            </w:tcMar>
            <w:vAlign w:val="center"/>
          </w:tcPr>
          <w:p>
            <w:r>
              <w:rPr>
                <w:b w:val="false"/>
                <w:bCs w:val="false"/>
                <w:sz w:val="20"/>
                <w:szCs w:val="20"/>
              </w:rPr>
              <w:t xml:space="preserve">0,833</w:t>
            </w:r>
          </w:p>
        </w:tc>
        <w:tc>
          <w:tcPr>
            <w:tcW w:type="dxa" w:w="2200"/>
            <w:tcMar>
              <w:top w:type="dxa" w:w="80"/>
              <w:left w:type="dxa" w:w="100"/>
              <w:bottom w:type="dxa" w:w="80"/>
              <w:right w:type="dxa" w:w="100"/>
            </w:tcMar>
            <w:vAlign w:val="center"/>
          </w:tcPr>
          <w:p>
            <w:r>
              <w:rPr>
                <w:b w:val="false"/>
                <w:bCs w:val="false"/>
                <w:sz w:val="20"/>
                <w:szCs w:val="20"/>
              </w:rPr>
              <w:t xml:space="preserve">0,036</w:t>
            </w:r>
          </w:p>
        </w:tc>
        <w:tc>
          <w:tcPr>
            <w:tcW w:type="dxa" w:w="1600"/>
            <w:tcMar>
              <w:top w:type="dxa" w:w="80"/>
              <w:left w:type="dxa" w:w="100"/>
              <w:bottom w:type="dxa" w:w="80"/>
              <w:right w:type="dxa" w:w="100"/>
            </w:tcMar>
            <w:vAlign w:val="center"/>
          </w:tcPr>
          <w:p>
            <w:r>
              <w:rPr>
                <w:b w:val="false"/>
                <w:bCs w:val="false"/>
                <w:sz w:val="20"/>
                <w:szCs w:val="20"/>
              </w:rPr>
              <w:t xml:space="preserve">0,985</w:t>
            </w:r>
          </w:p>
        </w:tc>
      </w:tr>
      <w:tr>
        <w:tc>
          <w:tcPr>
            <w:tcW w:type="dxa" w:w="3200"/>
            <w:tcMar>
              <w:top w:type="dxa" w:w="80"/>
              <w:left w:type="dxa" w:w="100"/>
              <w:bottom w:type="dxa" w:w="80"/>
              <w:right w:type="dxa" w:w="100"/>
            </w:tcMar>
            <w:vAlign w:val="center"/>
          </w:tcPr>
          <w:p>
            <w:r>
              <w:rPr>
                <w:b w:val="false"/>
                <w:bCs w:val="false"/>
                <w:sz w:val="20"/>
                <w:szCs w:val="20"/>
              </w:rPr>
              <w:t xml:space="preserve">min_variance</w:t>
            </w:r>
          </w:p>
        </w:tc>
        <w:tc>
          <w:tcPr>
            <w:tcW w:type="dxa" w:w="1800"/>
            <w:tcMar>
              <w:top w:type="dxa" w:w="80"/>
              <w:left w:type="dxa" w:w="100"/>
              <w:bottom w:type="dxa" w:w="80"/>
              <w:right w:type="dxa" w:w="100"/>
            </w:tcMar>
            <w:vAlign w:val="center"/>
          </w:tcPr>
          <w:p>
            <w:r>
              <w:rPr>
                <w:b w:val="false"/>
                <w:bCs w:val="false"/>
                <w:sz w:val="20"/>
                <w:szCs w:val="20"/>
              </w:rPr>
              <w:t xml:space="preserve">0,826</w:t>
            </w:r>
          </w:p>
        </w:tc>
        <w:tc>
          <w:tcPr>
            <w:tcW w:type="dxa" w:w="2200"/>
            <w:tcMar>
              <w:top w:type="dxa" w:w="80"/>
              <w:left w:type="dxa" w:w="100"/>
              <w:bottom w:type="dxa" w:w="80"/>
              <w:right w:type="dxa" w:w="100"/>
            </w:tcMar>
            <w:vAlign w:val="center"/>
          </w:tcPr>
          <w:p>
            <w:r>
              <w:rPr>
                <w:b w:val="false"/>
                <w:bCs w:val="false"/>
                <w:sz w:val="20"/>
                <w:szCs w:val="20"/>
              </w:rPr>
              <w:t xml:space="preserve">0,042</w:t>
            </w:r>
          </w:p>
        </w:tc>
        <w:tc>
          <w:tcPr>
            <w:tcW w:type="dxa" w:w="1600"/>
            <w:tcMar>
              <w:top w:type="dxa" w:w="80"/>
              <w:left w:type="dxa" w:w="100"/>
              <w:bottom w:type="dxa" w:w="80"/>
              <w:right w:type="dxa" w:w="100"/>
            </w:tcMar>
            <w:vAlign w:val="center"/>
          </w:tcPr>
          <w:p>
            <w:r>
              <w:rPr>
                <w:b w:val="false"/>
                <w:bCs w:val="false"/>
                <w:sz w:val="20"/>
                <w:szCs w:val="20"/>
              </w:rPr>
              <w:t xml:space="preserve">0,984</w:t>
            </w:r>
          </w:p>
        </w:tc>
      </w:tr>
      <w:tr>
        <w:tc>
          <w:tcPr>
            <w:tcW w:type="dxa" w:w="3200"/>
            <w:tcMar>
              <w:top w:type="dxa" w:w="80"/>
              <w:left w:type="dxa" w:w="100"/>
              <w:bottom w:type="dxa" w:w="80"/>
              <w:right w:type="dxa" w:w="100"/>
            </w:tcMar>
            <w:vAlign w:val="center"/>
          </w:tcPr>
          <w:p>
            <w:r>
              <w:rPr>
                <w:b w:val="false"/>
                <w:bCs w:val="false"/>
                <w:sz w:val="20"/>
                <w:szCs w:val="20"/>
              </w:rPr>
              <w:t xml:space="preserve">min_variance_lw</w:t>
            </w:r>
          </w:p>
        </w:tc>
        <w:tc>
          <w:tcPr>
            <w:tcW w:type="dxa" w:w="1800"/>
            <w:tcMar>
              <w:top w:type="dxa" w:w="80"/>
              <w:left w:type="dxa" w:w="100"/>
              <w:bottom w:type="dxa" w:w="80"/>
              <w:right w:type="dxa" w:w="100"/>
            </w:tcMar>
            <w:vAlign w:val="center"/>
          </w:tcPr>
          <w:p>
            <w:r>
              <w:rPr>
                <w:b w:val="false"/>
                <w:bCs w:val="false"/>
                <w:sz w:val="20"/>
                <w:szCs w:val="20"/>
              </w:rPr>
              <w:t xml:space="preserve">0,825</w:t>
            </w:r>
          </w:p>
        </w:tc>
        <w:tc>
          <w:tcPr>
            <w:tcW w:type="dxa" w:w="2200"/>
            <w:tcMar>
              <w:top w:type="dxa" w:w="80"/>
              <w:left w:type="dxa" w:w="100"/>
              <w:bottom w:type="dxa" w:w="80"/>
              <w:right w:type="dxa" w:w="100"/>
            </w:tcMar>
            <w:vAlign w:val="center"/>
          </w:tcPr>
          <w:p>
            <w:r>
              <w:rPr>
                <w:b w:val="false"/>
                <w:bCs w:val="false"/>
                <w:sz w:val="20"/>
                <w:szCs w:val="20"/>
              </w:rPr>
              <w:t xml:space="preserve">0,042</w:t>
            </w:r>
          </w:p>
        </w:tc>
        <w:tc>
          <w:tcPr>
            <w:tcW w:type="dxa" w:w="1600"/>
            <w:tcMar>
              <w:top w:type="dxa" w:w="80"/>
              <w:left w:type="dxa" w:w="100"/>
              <w:bottom w:type="dxa" w:w="80"/>
              <w:right w:type="dxa" w:w="100"/>
            </w:tcMar>
            <w:vAlign w:val="center"/>
          </w:tcPr>
          <w:p>
            <w:r>
              <w:rPr>
                <w:b w:val="false"/>
                <w:bCs w:val="false"/>
                <w:sz w:val="20"/>
                <w:szCs w:val="20"/>
              </w:rPr>
              <w:t xml:space="preserve">0,984</w:t>
            </w:r>
          </w:p>
        </w:tc>
      </w:tr>
      <w:tr>
        <w:tc>
          <w:tcPr>
            <w:tcW w:type="dxa" w:w="3200"/>
            <w:tcMar>
              <w:top w:type="dxa" w:w="80"/>
              <w:left w:type="dxa" w:w="100"/>
              <w:bottom w:type="dxa" w:w="80"/>
              <w:right w:type="dxa" w:w="100"/>
            </w:tcMar>
            <w:vAlign w:val="center"/>
          </w:tcPr>
          <w:p>
            <w:r>
              <w:rPr>
                <w:b w:val="false"/>
                <w:bCs w:val="false"/>
                <w:sz w:val="20"/>
                <w:szCs w:val="20"/>
              </w:rPr>
              <w:t xml:space="preserve">max_sharpe (haie)</w:t>
            </w:r>
          </w:p>
        </w:tc>
        <w:tc>
          <w:tcPr>
            <w:tcW w:type="dxa" w:w="1800"/>
            <w:tcMar>
              <w:top w:type="dxa" w:w="80"/>
              <w:left w:type="dxa" w:w="100"/>
              <w:bottom w:type="dxa" w:w="80"/>
              <w:right w:type="dxa" w:w="100"/>
            </w:tcMar>
            <w:vAlign w:val="center"/>
          </w:tcPr>
          <w:p>
            <w:r>
              <w:rPr>
                <w:b w:val="false"/>
                <w:bCs w:val="false"/>
                <w:sz w:val="20"/>
                <w:szCs w:val="20"/>
              </w:rPr>
              <w:t xml:space="preserve">0,936</w:t>
            </w:r>
          </w:p>
        </w:tc>
        <w:tc>
          <w:tcPr>
            <w:tcW w:type="dxa" w:w="2200"/>
            <w:tcMar>
              <w:top w:type="dxa" w:w="80"/>
              <w:left w:type="dxa" w:w="100"/>
              <w:bottom w:type="dxa" w:w="80"/>
              <w:right w:type="dxa" w:w="100"/>
            </w:tcMar>
            <w:vAlign w:val="center"/>
          </w:tcPr>
          <w:p>
            <w:r>
              <w:rPr>
                <w:b w:val="false"/>
                <w:bCs w:val="false"/>
                <w:sz w:val="20"/>
                <w:szCs w:val="20"/>
              </w:rPr>
              <w:t xml:space="preserve">0,049</w:t>
            </w:r>
          </w:p>
        </w:tc>
        <w:tc>
          <w:tcPr>
            <w:tcW w:type="dxa" w:w="1600"/>
            <w:tcMar>
              <w:top w:type="dxa" w:w="80"/>
              <w:left w:type="dxa" w:w="100"/>
              <w:bottom w:type="dxa" w:w="80"/>
              <w:right w:type="dxa" w:w="100"/>
            </w:tcMar>
            <w:vAlign w:val="center"/>
          </w:tcPr>
          <w:p>
            <w:r>
              <w:rPr>
                <w:b w:val="false"/>
                <w:bCs w:val="false"/>
                <w:sz w:val="20"/>
                <w:szCs w:val="20"/>
              </w:rPr>
              <w:t xml:space="preserve">0,993</w:t>
            </w:r>
          </w:p>
        </w:tc>
      </w:tr>
      <w:tr>
        <w:tc>
          <w:tcPr>
            <w:tcW w:type="dxa" w:w="3200"/>
            <w:tcMar>
              <w:top w:type="dxa" w:w="80"/>
              <w:left w:type="dxa" w:w="100"/>
              <w:bottom w:type="dxa" w:w="80"/>
              <w:right w:type="dxa" w:w="100"/>
            </w:tcMar>
            <w:vAlign w:val="center"/>
          </w:tcPr>
          <w:p>
            <w:r>
              <w:rPr>
                <w:b w:val="false"/>
                <w:bCs w:val="false"/>
                <w:sz w:val="20"/>
                <w:szCs w:val="20"/>
              </w:rPr>
              <w:t xml:space="preserve">min_variance_ewma</w:t>
            </w:r>
          </w:p>
        </w:tc>
        <w:tc>
          <w:tcPr>
            <w:tcW w:type="dxa" w:w="1800"/>
            <w:tcMar>
              <w:top w:type="dxa" w:w="80"/>
              <w:left w:type="dxa" w:w="100"/>
              <w:bottom w:type="dxa" w:w="80"/>
              <w:right w:type="dxa" w:w="100"/>
            </w:tcMar>
            <w:vAlign w:val="center"/>
          </w:tcPr>
          <w:p>
            <w:r>
              <w:rPr>
                <w:b w:val="false"/>
                <w:bCs w:val="false"/>
                <w:sz w:val="20"/>
                <w:szCs w:val="20"/>
              </w:rPr>
              <w:t xml:space="preserve">0,849</w:t>
            </w:r>
          </w:p>
        </w:tc>
        <w:tc>
          <w:tcPr>
            <w:tcW w:type="dxa" w:w="2200"/>
            <w:tcMar>
              <w:top w:type="dxa" w:w="80"/>
              <w:left w:type="dxa" w:w="100"/>
              <w:bottom w:type="dxa" w:w="80"/>
              <w:right w:type="dxa" w:w="100"/>
            </w:tcMar>
            <w:vAlign w:val="center"/>
          </w:tcPr>
          <w:p>
            <w:r>
              <w:rPr>
                <w:b w:val="false"/>
                <w:bCs w:val="false"/>
                <w:sz w:val="20"/>
                <w:szCs w:val="20"/>
              </w:rPr>
              <w:t xml:space="preserve">0,086</w:t>
            </w:r>
          </w:p>
        </w:tc>
        <w:tc>
          <w:tcPr>
            <w:tcW w:type="dxa" w:w="1600"/>
            <w:tcMar>
              <w:top w:type="dxa" w:w="80"/>
              <w:left w:type="dxa" w:w="100"/>
              <w:bottom w:type="dxa" w:w="80"/>
              <w:right w:type="dxa" w:w="100"/>
            </w:tcMar>
            <w:vAlign w:val="center"/>
          </w:tcPr>
          <w:p>
            <w:r>
              <w:rPr>
                <w:b w:val="false"/>
                <w:bCs w:val="false"/>
                <w:sz w:val="20"/>
                <w:szCs w:val="20"/>
              </w:rPr>
              <w:t xml:space="preserve">0,986</w:t>
            </w:r>
          </w:p>
        </w:tc>
      </w:tr>
      <w:tr>
        <w:tc>
          <w:tcPr>
            <w:tcW w:type="dxa" w:w="3200"/>
            <w:tcMar>
              <w:top w:type="dxa" w:w="80"/>
              <w:left w:type="dxa" w:w="100"/>
              <w:bottom w:type="dxa" w:w="80"/>
              <w:right w:type="dxa" w:w="100"/>
            </w:tcMar>
            <w:vAlign w:val="center"/>
          </w:tcPr>
          <w:p>
            <w:r>
              <w:rPr>
                <w:b w:val="false"/>
                <w:bCs w:val="false"/>
                <w:sz w:val="20"/>
                <w:szCs w:val="20"/>
              </w:rPr>
              <w:t xml:space="preserve">dcc_garch</w:t>
            </w:r>
          </w:p>
        </w:tc>
        <w:tc>
          <w:tcPr>
            <w:tcW w:type="dxa" w:w="1800"/>
            <w:tcMar>
              <w:top w:type="dxa" w:w="80"/>
              <w:left w:type="dxa" w:w="100"/>
              <w:bottom w:type="dxa" w:w="80"/>
              <w:right w:type="dxa" w:w="100"/>
            </w:tcMar>
            <w:vAlign w:val="center"/>
          </w:tcPr>
          <w:p>
            <w:r>
              <w:rPr>
                <w:b w:val="false"/>
                <w:bCs w:val="false"/>
                <w:sz w:val="20"/>
                <w:szCs w:val="20"/>
              </w:rPr>
              <w:t xml:space="preserve">0,851</w:t>
            </w:r>
          </w:p>
        </w:tc>
        <w:tc>
          <w:tcPr>
            <w:tcW w:type="dxa" w:w="2200"/>
            <w:tcMar>
              <w:top w:type="dxa" w:w="80"/>
              <w:left w:type="dxa" w:w="100"/>
              <w:bottom w:type="dxa" w:w="80"/>
              <w:right w:type="dxa" w:w="100"/>
            </w:tcMar>
            <w:vAlign w:val="center"/>
          </w:tcPr>
          <w:p>
            <w:r>
              <w:rPr>
                <w:b w:val="false"/>
                <w:bCs w:val="false"/>
                <w:sz w:val="20"/>
                <w:szCs w:val="20"/>
              </w:rPr>
              <w:t xml:space="preserve">0,196</w:t>
            </w:r>
          </w:p>
        </w:tc>
        <w:tc>
          <w:tcPr>
            <w:tcW w:type="dxa" w:w="1600"/>
            <w:tcMar>
              <w:top w:type="dxa" w:w="80"/>
              <w:left w:type="dxa" w:w="100"/>
              <w:bottom w:type="dxa" w:w="80"/>
              <w:right w:type="dxa" w:w="100"/>
            </w:tcMar>
            <w:vAlign w:val="center"/>
          </w:tcPr>
          <w:p>
            <w:r>
              <w:rPr>
                <w:b w:val="false"/>
                <w:bCs w:val="false"/>
                <w:sz w:val="20"/>
                <w:szCs w:val="20"/>
              </w:rPr>
              <w:t xml:space="preserve">0,987</w:t>
            </w:r>
          </w:p>
        </w:tc>
      </w:tr>
      <w:tr>
        <w:tc>
          <w:tcPr>
            <w:tcW w:type="dxa" w:w="3200"/>
            <w:tcMar>
              <w:top w:type="dxa" w:w="80"/>
              <w:left w:type="dxa" w:w="100"/>
              <w:bottom w:type="dxa" w:w="80"/>
              <w:right w:type="dxa" w:w="100"/>
            </w:tcMar>
            <w:vAlign w:val="center"/>
          </w:tcPr>
          <w:p>
            <w:r>
              <w:rPr>
                <w:b w:val="false"/>
                <w:bCs w:val="false"/>
                <w:sz w:val="20"/>
                <w:szCs w:val="20"/>
              </w:rPr>
              <w:t xml:space="preserve">regime_conditional</w:t>
            </w:r>
          </w:p>
        </w:tc>
        <w:tc>
          <w:tcPr>
            <w:tcW w:type="dxa" w:w="1800"/>
            <w:tcMar>
              <w:top w:type="dxa" w:w="80"/>
              <w:left w:type="dxa" w:w="100"/>
              <w:bottom w:type="dxa" w:w="80"/>
              <w:right w:type="dxa" w:w="100"/>
            </w:tcMar>
            <w:vAlign w:val="center"/>
          </w:tcPr>
          <w:p>
            <w:r>
              <w:rPr>
                <w:b w:val="false"/>
                <w:bCs w:val="false"/>
                <w:sz w:val="20"/>
                <w:szCs w:val="20"/>
              </w:rPr>
              <w:t xml:space="preserve">0,894</w:t>
            </w:r>
          </w:p>
        </w:tc>
        <w:tc>
          <w:tcPr>
            <w:tcW w:type="dxa" w:w="2200"/>
            <w:tcMar>
              <w:top w:type="dxa" w:w="80"/>
              <w:left w:type="dxa" w:w="100"/>
              <w:bottom w:type="dxa" w:w="80"/>
              <w:right w:type="dxa" w:w="100"/>
            </w:tcMar>
            <w:vAlign w:val="center"/>
          </w:tcPr>
          <w:p>
            <w:r>
              <w:rPr>
                <w:b w:val="false"/>
                <w:bCs w:val="false"/>
                <w:sz w:val="20"/>
                <w:szCs w:val="20"/>
              </w:rPr>
              <w:t xml:space="preserve">0,113</w:t>
            </w:r>
          </w:p>
        </w:tc>
        <w:tc>
          <w:tcPr>
            <w:tcW w:type="dxa" w:w="1600"/>
            <w:tcMar>
              <w:top w:type="dxa" w:w="80"/>
              <w:left w:type="dxa" w:w="100"/>
              <w:bottom w:type="dxa" w:w="80"/>
              <w:right w:type="dxa" w:w="100"/>
            </w:tcMar>
            <w:vAlign w:val="center"/>
          </w:tcPr>
          <w:p>
            <w:r>
              <w:rPr>
                <w:b w:val="false"/>
                <w:bCs w:val="false"/>
                <w:sz w:val="20"/>
                <w:szCs w:val="20"/>
              </w:rPr>
              <w:t xml:space="preserve">0,990</w:t>
            </w:r>
          </w:p>
        </w:tc>
      </w:tr>
      <w:tr>
        <w:tc>
          <w:tcPr>
            <w:tcW w:type="dxa" w:w="3200"/>
            <w:tcMar>
              <w:top w:type="dxa" w:w="80"/>
              <w:left w:type="dxa" w:w="100"/>
              <w:bottom w:type="dxa" w:w="80"/>
              <w:right w:type="dxa" w:w="100"/>
            </w:tcMar>
            <w:vAlign w:val="center"/>
          </w:tcPr>
          <w:p>
            <w:r>
              <w:rPr>
                <w:b w:val="false"/>
                <w:bCs w:val="false"/>
                <w:sz w:val="20"/>
                <w:szCs w:val="20"/>
              </w:rPr>
              <w:t xml:space="preserve">rf_signal</w:t>
            </w:r>
          </w:p>
        </w:tc>
        <w:tc>
          <w:tcPr>
            <w:tcW w:type="dxa" w:w="1800"/>
            <w:tcMar>
              <w:top w:type="dxa" w:w="80"/>
              <w:left w:type="dxa" w:w="100"/>
              <w:bottom w:type="dxa" w:w="80"/>
              <w:right w:type="dxa" w:w="100"/>
            </w:tcMar>
            <w:vAlign w:val="center"/>
          </w:tcPr>
          <w:p>
            <w:r>
              <w:rPr>
                <w:b w:val="false"/>
                <w:bCs w:val="false"/>
                <w:sz w:val="20"/>
                <w:szCs w:val="20"/>
              </w:rPr>
              <w:t xml:space="preserve">0,727</w:t>
            </w:r>
          </w:p>
        </w:tc>
        <w:tc>
          <w:tcPr>
            <w:tcW w:type="dxa" w:w="2200"/>
            <w:tcMar>
              <w:top w:type="dxa" w:w="80"/>
              <w:left w:type="dxa" w:w="100"/>
              <w:bottom w:type="dxa" w:w="80"/>
              <w:right w:type="dxa" w:w="100"/>
            </w:tcMar>
            <w:vAlign w:val="center"/>
          </w:tcPr>
          <w:p>
            <w:r>
              <w:rPr>
                <w:b w:val="false"/>
                <w:bCs w:val="false"/>
                <w:sz w:val="20"/>
                <w:szCs w:val="20"/>
              </w:rPr>
              <w:t xml:space="preserve">0,232</w:t>
            </w:r>
          </w:p>
        </w:tc>
        <w:tc>
          <w:tcPr>
            <w:tcW w:type="dxa" w:w="1600"/>
            <w:tcMar>
              <w:top w:type="dxa" w:w="80"/>
              <w:left w:type="dxa" w:w="100"/>
              <w:bottom w:type="dxa" w:w="80"/>
              <w:right w:type="dxa" w:w="100"/>
            </w:tcMar>
            <w:vAlign w:val="center"/>
          </w:tcPr>
          <w:p>
            <w:r>
              <w:rPr>
                <w:b w:val="false"/>
                <w:bCs w:val="false"/>
                <w:sz w:val="20"/>
                <w:szCs w:val="20"/>
              </w:rPr>
              <w:t xml:space="preserve">0,967</w:t>
            </w:r>
          </w:p>
        </w:tc>
      </w:tr>
      <w:tr>
        <w:tc>
          <w:tcPr>
            <w:tcW w:type="dxa" w:w="3200"/>
            <w:tcMar>
              <w:top w:type="dxa" w:w="80"/>
              <w:left w:type="dxa" w:w="100"/>
              <w:bottom w:type="dxa" w:w="80"/>
              <w:right w:type="dxa" w:w="100"/>
            </w:tcMar>
            <w:vAlign w:val="center"/>
          </w:tcPr>
          <w:p>
            <w:r>
              <w:rPr>
                <w:b w:val="false"/>
                <w:bCs w:val="false"/>
                <w:sz w:val="20"/>
                <w:szCs w:val="20"/>
              </w:rPr>
              <w:t xml:space="preserve">xgb_signal</w:t>
            </w:r>
          </w:p>
        </w:tc>
        <w:tc>
          <w:tcPr>
            <w:tcW w:type="dxa" w:w="1800"/>
            <w:tcMar>
              <w:top w:type="dxa" w:w="80"/>
              <w:left w:type="dxa" w:w="100"/>
              <w:bottom w:type="dxa" w:w="80"/>
              <w:right w:type="dxa" w:w="100"/>
            </w:tcMar>
            <w:vAlign w:val="center"/>
          </w:tcPr>
          <w:p>
            <w:r>
              <w:rPr>
                <w:b w:val="false"/>
                <w:bCs w:val="false"/>
                <w:sz w:val="20"/>
                <w:szCs w:val="20"/>
              </w:rPr>
              <w:t xml:space="preserve">0,747</w:t>
            </w:r>
          </w:p>
        </w:tc>
        <w:tc>
          <w:tcPr>
            <w:tcW w:type="dxa" w:w="2200"/>
            <w:tcMar>
              <w:top w:type="dxa" w:w="80"/>
              <w:left w:type="dxa" w:w="100"/>
              <w:bottom w:type="dxa" w:w="80"/>
              <w:right w:type="dxa" w:w="100"/>
            </w:tcMar>
            <w:vAlign w:val="center"/>
          </w:tcPr>
          <w:p>
            <w:r>
              <w:rPr>
                <w:b w:val="false"/>
                <w:bCs w:val="false"/>
                <w:sz w:val="20"/>
                <w:szCs w:val="20"/>
              </w:rPr>
              <w:t xml:space="preserve">0,356</w:t>
            </w:r>
          </w:p>
        </w:tc>
        <w:tc>
          <w:tcPr>
            <w:tcW w:type="dxa" w:w="1600"/>
            <w:tcMar>
              <w:top w:type="dxa" w:w="80"/>
              <w:left w:type="dxa" w:w="100"/>
              <w:bottom w:type="dxa" w:w="80"/>
              <w:right w:type="dxa" w:w="100"/>
            </w:tcMar>
            <w:vAlign w:val="center"/>
          </w:tcPr>
          <w:p>
            <w:r>
              <w:rPr>
                <w:b w:val="false"/>
                <w:bCs w:val="false"/>
                <w:sz w:val="20"/>
                <w:szCs w:val="20"/>
              </w:rPr>
              <w:t xml:space="preserve">0,971</w:t>
            </w:r>
          </w:p>
        </w:tc>
      </w:tr>
    </w:tbl>
    <w:p>
      <w:pPr>
        <w:spacing w:before="200"/>
      </w:pPr>
      <w:r>
        <w:rPr>
          <w:b/>
          <w:bCs/>
        </w:rPr>
        <w:t xml:space="preserve">Détail complet — full_2021 (49 rééquilibrages, OOS 2022-07-01 → 2026-07-20)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1600"/>
      </w:tblGrid>
      <w:tr>
        <w:trPr>
          <w:tblHeader/>
        </w:trPr>
        <w:tc>
          <w:tcPr>
            <w:tcW w:type="dxa" w:w="3200"/>
            <w:shd w:fill="DCE6F1" w:val="clear"/>
            <w:tcMar>
              <w:top w:type="dxa" w:w="80"/>
              <w:left w:type="dxa" w:w="100"/>
              <w:bottom w:type="dxa" w:w="80"/>
              <w:right w:type="dxa" w:w="100"/>
            </w:tcMar>
            <w:vAlign w:val="center"/>
          </w:tcPr>
          <w:p>
            <w:r>
              <w:rPr>
                <w:b/>
                <w:bCs/>
                <w:sz w:val="20"/>
                <w:szCs w:val="20"/>
              </w:rPr>
              <w:t xml:space="preserve">Stratégie</w:t>
            </w:r>
          </w:p>
        </w:tc>
        <w:tc>
          <w:tcPr>
            <w:tcW w:type="dxa" w:w="1800"/>
            <w:shd w:fill="DCE6F1" w:val="clear"/>
            <w:tcMar>
              <w:top w:type="dxa" w:w="80"/>
              <w:left w:type="dxa" w:w="100"/>
              <w:bottom w:type="dxa" w:w="80"/>
              <w:right w:type="dxa" w:w="100"/>
            </w:tcMar>
            <w:vAlign w:val="center"/>
          </w:tcPr>
          <w:p>
            <w:r>
              <w:rPr>
                <w:b/>
                <w:bCs/>
                <w:sz w:val="20"/>
                <w:szCs w:val="20"/>
              </w:rPr>
              <w:t xml:space="preserve">Sharpe net</w:t>
            </w:r>
          </w:p>
        </w:tc>
        <w:tc>
          <w:tcPr>
            <w:tcW w:type="dxa" w:w="2200"/>
            <w:shd w:fill="DCE6F1" w:val="clear"/>
            <w:tcMar>
              <w:top w:type="dxa" w:w="80"/>
              <w:left w:type="dxa" w:w="100"/>
              <w:bottom w:type="dxa" w:w="80"/>
              <w:right w:type="dxa" w:w="100"/>
            </w:tcMar>
            <w:vAlign w:val="center"/>
          </w:tcPr>
          <w:p>
            <w:r>
              <w:rPr>
                <w:b/>
                <w:bCs/>
                <w:sz w:val="20"/>
                <w:szCs w:val="20"/>
              </w:rPr>
              <w:t xml:space="preserve">Turnover moyen</w:t>
            </w:r>
          </w:p>
        </w:tc>
        <w:tc>
          <w:tcPr>
            <w:tcW w:type="dxa" w:w="1600"/>
            <w:shd w:fill="DCE6F1" w:val="clear"/>
            <w:tcMar>
              <w:top w:type="dxa" w:w="80"/>
              <w:left w:type="dxa" w:w="100"/>
              <w:bottom w:type="dxa" w:w="80"/>
              <w:right w:type="dxa" w:w="100"/>
            </w:tcMar>
            <w:vAlign w:val="center"/>
          </w:tcPr>
          <w:p>
            <w:r>
              <w:rPr>
                <w:b/>
                <w:bCs/>
                <w:sz w:val="20"/>
                <w:szCs w:val="20"/>
              </w:rPr>
              <w:t xml:space="preserve">DSR</w:t>
            </w:r>
          </w:p>
        </w:tc>
      </w:tr>
      <w:tr>
        <w:tc>
          <w:tcPr>
            <w:tcW w:type="dxa" w:w="3200"/>
            <w:tcMar>
              <w:top w:type="dxa" w:w="80"/>
              <w:left w:type="dxa" w:w="100"/>
              <w:bottom w:type="dxa" w:w="80"/>
              <w:right w:type="dxa" w:w="100"/>
            </w:tcMar>
            <w:vAlign w:val="center"/>
          </w:tcPr>
          <w:p>
            <w:r>
              <w:rPr>
                <w:b w:val="false"/>
                <w:bCs w:val="false"/>
                <w:sz w:val="20"/>
                <w:szCs w:val="20"/>
              </w:rPr>
              <w:t xml:space="preserve">equal_weight</w:t>
            </w:r>
          </w:p>
        </w:tc>
        <w:tc>
          <w:tcPr>
            <w:tcW w:type="dxa" w:w="1800"/>
            <w:tcMar>
              <w:top w:type="dxa" w:w="80"/>
              <w:left w:type="dxa" w:w="100"/>
              <w:bottom w:type="dxa" w:w="80"/>
              <w:right w:type="dxa" w:w="100"/>
            </w:tcMar>
            <w:vAlign w:val="center"/>
          </w:tcPr>
          <w:p>
            <w:r>
              <w:rPr>
                <w:b w:val="false"/>
                <w:bCs w:val="false"/>
                <w:sz w:val="20"/>
                <w:szCs w:val="20"/>
              </w:rPr>
              <w:t xml:space="preserve">0,975</w:t>
            </w:r>
          </w:p>
        </w:tc>
        <w:tc>
          <w:tcPr>
            <w:tcW w:type="dxa" w:w="2200"/>
            <w:tcMar>
              <w:top w:type="dxa" w:w="80"/>
              <w:left w:type="dxa" w:w="100"/>
              <w:bottom w:type="dxa" w:w="80"/>
              <w:right w:type="dxa" w:w="100"/>
            </w:tcMar>
            <w:vAlign w:val="center"/>
          </w:tcPr>
          <w:p>
            <w:r>
              <w:rPr>
                <w:b w:val="false"/>
                <w:bCs w:val="false"/>
                <w:sz w:val="20"/>
                <w:szCs w:val="20"/>
              </w:rPr>
              <w:t xml:space="preserve">0,053</w:t>
            </w:r>
          </w:p>
        </w:tc>
        <w:tc>
          <w:tcPr>
            <w:tcW w:type="dxa" w:w="1600"/>
            <w:tcMar>
              <w:top w:type="dxa" w:w="80"/>
              <w:left w:type="dxa" w:w="100"/>
              <w:bottom w:type="dxa" w:w="80"/>
              <w:right w:type="dxa" w:w="100"/>
            </w:tcMar>
            <w:vAlign w:val="center"/>
          </w:tcPr>
          <w:p>
            <w:r>
              <w:rPr>
                <w:b w:val="false"/>
                <w:bCs w:val="false"/>
                <w:sz w:val="20"/>
                <w:szCs w:val="20"/>
              </w:rPr>
              <w:t xml:space="preserve">0,948</w:t>
            </w:r>
          </w:p>
        </w:tc>
      </w:tr>
      <w:tr>
        <w:tc>
          <w:tcPr>
            <w:tcW w:type="dxa" w:w="3200"/>
            <w:tcMar>
              <w:top w:type="dxa" w:w="80"/>
              <w:left w:type="dxa" w:w="100"/>
              <w:bottom w:type="dxa" w:w="80"/>
              <w:right w:type="dxa" w:w="100"/>
            </w:tcMar>
            <w:vAlign w:val="center"/>
          </w:tcPr>
          <w:p>
            <w:r>
              <w:rPr>
                <w:b w:val="false"/>
                <w:bCs w:val="false"/>
                <w:sz w:val="20"/>
                <w:szCs w:val="20"/>
              </w:rPr>
              <w:t xml:space="preserve">min_variance</w:t>
            </w:r>
          </w:p>
        </w:tc>
        <w:tc>
          <w:tcPr>
            <w:tcW w:type="dxa" w:w="1800"/>
            <w:tcMar>
              <w:top w:type="dxa" w:w="80"/>
              <w:left w:type="dxa" w:w="100"/>
              <w:bottom w:type="dxa" w:w="80"/>
              <w:right w:type="dxa" w:w="100"/>
            </w:tcMar>
            <w:vAlign w:val="center"/>
          </w:tcPr>
          <w:p>
            <w:r>
              <w:rPr>
                <w:b w:val="false"/>
                <w:bCs w:val="false"/>
                <w:sz w:val="20"/>
                <w:szCs w:val="20"/>
              </w:rPr>
              <w:t xml:space="preserve">0,901</w:t>
            </w:r>
          </w:p>
        </w:tc>
        <w:tc>
          <w:tcPr>
            <w:tcW w:type="dxa" w:w="2200"/>
            <w:tcMar>
              <w:top w:type="dxa" w:w="80"/>
              <w:left w:type="dxa" w:w="100"/>
              <w:bottom w:type="dxa" w:w="80"/>
              <w:right w:type="dxa" w:w="100"/>
            </w:tcMar>
            <w:vAlign w:val="center"/>
          </w:tcPr>
          <w:p>
            <w:r>
              <w:rPr>
                <w:b w:val="false"/>
                <w:bCs w:val="false"/>
                <w:sz w:val="20"/>
                <w:szCs w:val="20"/>
              </w:rPr>
              <w:t xml:space="preserve">0,075</w:t>
            </w:r>
          </w:p>
        </w:tc>
        <w:tc>
          <w:tcPr>
            <w:tcW w:type="dxa" w:w="1600"/>
            <w:tcMar>
              <w:top w:type="dxa" w:w="80"/>
              <w:left w:type="dxa" w:w="100"/>
              <w:bottom w:type="dxa" w:w="80"/>
              <w:right w:type="dxa" w:w="100"/>
            </w:tcMar>
            <w:vAlign w:val="center"/>
          </w:tcPr>
          <w:p>
            <w:r>
              <w:rPr>
                <w:b w:val="false"/>
                <w:bCs w:val="false"/>
                <w:sz w:val="20"/>
                <w:szCs w:val="20"/>
              </w:rPr>
              <w:t xml:space="preserve">0,930</w:t>
            </w:r>
          </w:p>
        </w:tc>
      </w:tr>
      <w:tr>
        <w:tc>
          <w:tcPr>
            <w:tcW w:type="dxa" w:w="3200"/>
            <w:tcMar>
              <w:top w:type="dxa" w:w="80"/>
              <w:left w:type="dxa" w:w="100"/>
              <w:bottom w:type="dxa" w:w="80"/>
              <w:right w:type="dxa" w:w="100"/>
            </w:tcMar>
            <w:vAlign w:val="center"/>
          </w:tcPr>
          <w:p>
            <w:r>
              <w:rPr>
                <w:b w:val="false"/>
                <w:bCs w:val="false"/>
                <w:sz w:val="20"/>
                <w:szCs w:val="20"/>
              </w:rPr>
              <w:t xml:space="preserve">min_variance_lw</w:t>
            </w:r>
          </w:p>
        </w:tc>
        <w:tc>
          <w:tcPr>
            <w:tcW w:type="dxa" w:w="1800"/>
            <w:tcMar>
              <w:top w:type="dxa" w:w="80"/>
              <w:left w:type="dxa" w:w="100"/>
              <w:bottom w:type="dxa" w:w="80"/>
              <w:right w:type="dxa" w:w="100"/>
            </w:tcMar>
            <w:vAlign w:val="center"/>
          </w:tcPr>
          <w:p>
            <w:r>
              <w:rPr>
                <w:b w:val="false"/>
                <w:bCs w:val="false"/>
                <w:sz w:val="20"/>
                <w:szCs w:val="20"/>
              </w:rPr>
              <w:t xml:space="preserve">0,904</w:t>
            </w:r>
          </w:p>
        </w:tc>
        <w:tc>
          <w:tcPr>
            <w:tcW w:type="dxa" w:w="2200"/>
            <w:tcMar>
              <w:top w:type="dxa" w:w="80"/>
              <w:left w:type="dxa" w:w="100"/>
              <w:bottom w:type="dxa" w:w="80"/>
              <w:right w:type="dxa" w:w="100"/>
            </w:tcMar>
            <w:vAlign w:val="center"/>
          </w:tcPr>
          <w:p>
            <w:r>
              <w:rPr>
                <w:b w:val="false"/>
                <w:bCs w:val="false"/>
                <w:sz w:val="20"/>
                <w:szCs w:val="20"/>
              </w:rPr>
              <w:t xml:space="preserve">0,071</w:t>
            </w:r>
          </w:p>
        </w:tc>
        <w:tc>
          <w:tcPr>
            <w:tcW w:type="dxa" w:w="1600"/>
            <w:tcMar>
              <w:top w:type="dxa" w:w="80"/>
              <w:left w:type="dxa" w:w="100"/>
              <w:bottom w:type="dxa" w:w="80"/>
              <w:right w:type="dxa" w:w="100"/>
            </w:tcMar>
            <w:vAlign w:val="center"/>
          </w:tcPr>
          <w:p>
            <w:r>
              <w:rPr>
                <w:b w:val="false"/>
                <w:bCs w:val="false"/>
                <w:sz w:val="20"/>
                <w:szCs w:val="20"/>
              </w:rPr>
              <w:t xml:space="preserve">0,930</w:t>
            </w:r>
          </w:p>
        </w:tc>
      </w:tr>
      <w:tr>
        <w:tc>
          <w:tcPr>
            <w:tcW w:type="dxa" w:w="3200"/>
            <w:tcMar>
              <w:top w:type="dxa" w:w="80"/>
              <w:left w:type="dxa" w:w="100"/>
              <w:bottom w:type="dxa" w:w="80"/>
              <w:right w:type="dxa" w:w="100"/>
            </w:tcMar>
            <w:vAlign w:val="center"/>
          </w:tcPr>
          <w:p>
            <w:r>
              <w:rPr>
                <w:b w:val="false"/>
                <w:bCs w:val="false"/>
                <w:sz w:val="20"/>
                <w:szCs w:val="20"/>
              </w:rPr>
              <w:t xml:space="preserve">max_sharpe</w:t>
            </w:r>
          </w:p>
        </w:tc>
        <w:tc>
          <w:tcPr>
            <w:tcW w:type="dxa" w:w="1800"/>
            <w:tcMar>
              <w:top w:type="dxa" w:w="80"/>
              <w:left w:type="dxa" w:w="100"/>
              <w:bottom w:type="dxa" w:w="80"/>
              <w:right w:type="dxa" w:w="100"/>
            </w:tcMar>
            <w:vAlign w:val="center"/>
          </w:tcPr>
          <w:p>
            <w:r>
              <w:rPr>
                <w:b w:val="false"/>
                <w:bCs w:val="false"/>
                <w:sz w:val="20"/>
                <w:szCs w:val="20"/>
              </w:rPr>
              <w:t xml:space="preserve">0,963</w:t>
            </w:r>
          </w:p>
        </w:tc>
        <w:tc>
          <w:tcPr>
            <w:tcW w:type="dxa" w:w="2200"/>
            <w:tcMar>
              <w:top w:type="dxa" w:w="80"/>
              <w:left w:type="dxa" w:w="100"/>
              <w:bottom w:type="dxa" w:w="80"/>
              <w:right w:type="dxa" w:w="100"/>
            </w:tcMar>
            <w:vAlign w:val="center"/>
          </w:tcPr>
          <w:p>
            <w:r>
              <w:rPr>
                <w:b w:val="false"/>
                <w:bCs w:val="false"/>
                <w:sz w:val="20"/>
                <w:szCs w:val="20"/>
              </w:rPr>
              <w:t xml:space="preserve">0,186</w:t>
            </w:r>
          </w:p>
        </w:tc>
        <w:tc>
          <w:tcPr>
            <w:tcW w:type="dxa" w:w="1600"/>
            <w:tcMar>
              <w:top w:type="dxa" w:w="80"/>
              <w:left w:type="dxa" w:w="100"/>
              <w:bottom w:type="dxa" w:w="80"/>
              <w:right w:type="dxa" w:w="100"/>
            </w:tcMar>
            <w:vAlign w:val="center"/>
          </w:tcPr>
          <w:p>
            <w:r>
              <w:rPr>
                <w:b w:val="false"/>
                <w:bCs w:val="false"/>
                <w:sz w:val="20"/>
                <w:szCs w:val="20"/>
              </w:rPr>
              <w:t xml:space="preserve">0,945</w:t>
            </w:r>
          </w:p>
        </w:tc>
      </w:tr>
      <w:tr>
        <w:tc>
          <w:tcPr>
            <w:tcW w:type="dxa" w:w="3200"/>
            <w:tcMar>
              <w:top w:type="dxa" w:w="80"/>
              <w:left w:type="dxa" w:w="100"/>
              <w:bottom w:type="dxa" w:w="80"/>
              <w:right w:type="dxa" w:w="100"/>
            </w:tcMar>
            <w:vAlign w:val="center"/>
          </w:tcPr>
          <w:p>
            <w:r>
              <w:rPr>
                <w:b w:val="false"/>
                <w:bCs w:val="false"/>
                <w:sz w:val="20"/>
                <w:szCs w:val="20"/>
              </w:rPr>
              <w:t xml:space="preserve">min_variance_ewma</w:t>
            </w:r>
          </w:p>
        </w:tc>
        <w:tc>
          <w:tcPr>
            <w:tcW w:type="dxa" w:w="1800"/>
            <w:tcMar>
              <w:top w:type="dxa" w:w="80"/>
              <w:left w:type="dxa" w:w="100"/>
              <w:bottom w:type="dxa" w:w="80"/>
              <w:right w:type="dxa" w:w="100"/>
            </w:tcMar>
            <w:vAlign w:val="center"/>
          </w:tcPr>
          <w:p>
            <w:r>
              <w:rPr>
                <w:b w:val="false"/>
                <w:bCs w:val="false"/>
                <w:sz w:val="20"/>
                <w:szCs w:val="20"/>
              </w:rPr>
              <w:t xml:space="preserve">1,041</w:t>
            </w:r>
          </w:p>
        </w:tc>
        <w:tc>
          <w:tcPr>
            <w:tcW w:type="dxa" w:w="2200"/>
            <w:tcMar>
              <w:top w:type="dxa" w:w="80"/>
              <w:left w:type="dxa" w:w="100"/>
              <w:bottom w:type="dxa" w:w="80"/>
              <w:right w:type="dxa" w:w="100"/>
            </w:tcMar>
            <w:vAlign w:val="center"/>
          </w:tcPr>
          <w:p>
            <w:r>
              <w:rPr>
                <w:b w:val="false"/>
                <w:bCs w:val="false"/>
                <w:sz w:val="20"/>
                <w:szCs w:val="20"/>
              </w:rPr>
              <w:t xml:space="preserve">0,178</w:t>
            </w:r>
          </w:p>
        </w:tc>
        <w:tc>
          <w:tcPr>
            <w:tcW w:type="dxa" w:w="1600"/>
            <w:tcMar>
              <w:top w:type="dxa" w:w="80"/>
              <w:left w:type="dxa" w:w="100"/>
              <w:bottom w:type="dxa" w:w="80"/>
              <w:right w:type="dxa" w:w="100"/>
            </w:tcMar>
            <w:vAlign w:val="center"/>
          </w:tcPr>
          <w:p>
            <w:r>
              <w:rPr>
                <w:b w:val="false"/>
                <w:bCs w:val="false"/>
                <w:sz w:val="20"/>
                <w:szCs w:val="20"/>
              </w:rPr>
              <w:t xml:space="preserve">0,961</w:t>
            </w:r>
          </w:p>
        </w:tc>
      </w:tr>
      <w:tr>
        <w:tc>
          <w:tcPr>
            <w:tcW w:type="dxa" w:w="3200"/>
            <w:tcMar>
              <w:top w:type="dxa" w:w="80"/>
              <w:left w:type="dxa" w:w="100"/>
              <w:bottom w:type="dxa" w:w="80"/>
              <w:right w:type="dxa" w:w="100"/>
            </w:tcMar>
            <w:vAlign w:val="center"/>
          </w:tcPr>
          <w:p>
            <w:r>
              <w:rPr>
                <w:b w:val="false"/>
                <w:bCs w:val="false"/>
                <w:sz w:val="20"/>
                <w:szCs w:val="20"/>
              </w:rPr>
              <w:t xml:space="preserve">dcc_garch</w:t>
            </w:r>
          </w:p>
        </w:tc>
        <w:tc>
          <w:tcPr>
            <w:tcW w:type="dxa" w:w="1800"/>
            <w:tcMar>
              <w:top w:type="dxa" w:w="80"/>
              <w:left w:type="dxa" w:w="100"/>
              <w:bottom w:type="dxa" w:w="80"/>
              <w:right w:type="dxa" w:w="100"/>
            </w:tcMar>
            <w:vAlign w:val="center"/>
          </w:tcPr>
          <w:p>
            <w:r>
              <w:rPr>
                <w:b w:val="false"/>
                <w:bCs w:val="false"/>
                <w:sz w:val="20"/>
                <w:szCs w:val="20"/>
              </w:rPr>
              <w:t xml:space="preserve">1,046</w:t>
            </w:r>
          </w:p>
        </w:tc>
        <w:tc>
          <w:tcPr>
            <w:tcW w:type="dxa" w:w="2200"/>
            <w:tcMar>
              <w:top w:type="dxa" w:w="80"/>
              <w:left w:type="dxa" w:w="100"/>
              <w:bottom w:type="dxa" w:w="80"/>
              <w:right w:type="dxa" w:w="100"/>
            </w:tcMar>
            <w:vAlign w:val="center"/>
          </w:tcPr>
          <w:p>
            <w:r>
              <w:rPr>
                <w:b w:val="false"/>
                <w:bCs w:val="false"/>
                <w:sz w:val="20"/>
                <w:szCs w:val="20"/>
              </w:rPr>
              <w:t xml:space="preserve">0,353</w:t>
            </w:r>
          </w:p>
        </w:tc>
        <w:tc>
          <w:tcPr>
            <w:tcW w:type="dxa" w:w="1600"/>
            <w:tcMar>
              <w:top w:type="dxa" w:w="80"/>
              <w:left w:type="dxa" w:w="100"/>
              <w:bottom w:type="dxa" w:w="80"/>
              <w:right w:type="dxa" w:w="100"/>
            </w:tcMar>
            <w:vAlign w:val="center"/>
          </w:tcPr>
          <w:p>
            <w:r>
              <w:rPr>
                <w:b w:val="false"/>
                <w:bCs w:val="false"/>
                <w:sz w:val="20"/>
                <w:szCs w:val="20"/>
              </w:rPr>
              <w:t xml:space="preserve">0,963</w:t>
            </w:r>
          </w:p>
        </w:tc>
      </w:tr>
      <w:tr>
        <w:tc>
          <w:tcPr>
            <w:tcW w:type="dxa" w:w="3200"/>
            <w:tcMar>
              <w:top w:type="dxa" w:w="80"/>
              <w:left w:type="dxa" w:w="100"/>
              <w:bottom w:type="dxa" w:w="80"/>
              <w:right w:type="dxa" w:w="100"/>
            </w:tcMar>
            <w:vAlign w:val="center"/>
          </w:tcPr>
          <w:p>
            <w:r>
              <w:rPr>
                <w:b w:val="false"/>
                <w:bCs w:val="false"/>
                <w:sz w:val="20"/>
                <w:szCs w:val="20"/>
              </w:rPr>
              <w:t xml:space="preserve">regime_conditional (haie)</w:t>
            </w:r>
          </w:p>
        </w:tc>
        <w:tc>
          <w:tcPr>
            <w:tcW w:type="dxa" w:w="1800"/>
            <w:tcMar>
              <w:top w:type="dxa" w:w="80"/>
              <w:left w:type="dxa" w:w="100"/>
              <w:bottom w:type="dxa" w:w="80"/>
              <w:right w:type="dxa" w:w="100"/>
            </w:tcMar>
            <w:vAlign w:val="center"/>
          </w:tcPr>
          <w:p>
            <w:r>
              <w:rPr>
                <w:b w:val="false"/>
                <w:bCs w:val="false"/>
                <w:sz w:val="20"/>
                <w:szCs w:val="20"/>
              </w:rPr>
              <w:t xml:space="preserve">1,122</w:t>
            </w:r>
          </w:p>
        </w:tc>
        <w:tc>
          <w:tcPr>
            <w:tcW w:type="dxa" w:w="2200"/>
            <w:tcMar>
              <w:top w:type="dxa" w:w="80"/>
              <w:left w:type="dxa" w:w="100"/>
              <w:bottom w:type="dxa" w:w="80"/>
              <w:right w:type="dxa" w:w="100"/>
            </w:tcMar>
            <w:vAlign w:val="center"/>
          </w:tcPr>
          <w:p>
            <w:r>
              <w:rPr>
                <w:b w:val="false"/>
                <w:bCs w:val="false"/>
                <w:sz w:val="20"/>
                <w:szCs w:val="20"/>
              </w:rPr>
              <w:t xml:space="preserve">0,327</w:t>
            </w:r>
          </w:p>
        </w:tc>
        <w:tc>
          <w:tcPr>
            <w:tcW w:type="dxa" w:w="1600"/>
            <w:tcMar>
              <w:top w:type="dxa" w:w="80"/>
              <w:left w:type="dxa" w:w="100"/>
              <w:bottom w:type="dxa" w:w="80"/>
              <w:right w:type="dxa" w:w="100"/>
            </w:tcMar>
            <w:vAlign w:val="center"/>
          </w:tcPr>
          <w:p>
            <w:r>
              <w:rPr>
                <w:b w:val="false"/>
                <w:bCs w:val="false"/>
                <w:sz w:val="20"/>
                <w:szCs w:val="20"/>
              </w:rPr>
              <w:t xml:space="preserve">0,972</w:t>
            </w:r>
          </w:p>
        </w:tc>
      </w:tr>
      <w:tr>
        <w:tc>
          <w:tcPr>
            <w:tcW w:type="dxa" w:w="3200"/>
            <w:tcMar>
              <w:top w:type="dxa" w:w="80"/>
              <w:left w:type="dxa" w:w="100"/>
              <w:bottom w:type="dxa" w:w="80"/>
              <w:right w:type="dxa" w:w="100"/>
            </w:tcMar>
            <w:vAlign w:val="center"/>
          </w:tcPr>
          <w:p>
            <w:r>
              <w:rPr>
                <w:b w:val="false"/>
                <w:bCs w:val="false"/>
                <w:sz w:val="20"/>
                <w:szCs w:val="20"/>
              </w:rPr>
              <w:t xml:space="preserve">rf_signal</w:t>
            </w:r>
          </w:p>
        </w:tc>
        <w:tc>
          <w:tcPr>
            <w:tcW w:type="dxa" w:w="1800"/>
            <w:tcMar>
              <w:top w:type="dxa" w:w="80"/>
              <w:left w:type="dxa" w:w="100"/>
              <w:bottom w:type="dxa" w:w="80"/>
              <w:right w:type="dxa" w:w="100"/>
            </w:tcMar>
            <w:vAlign w:val="center"/>
          </w:tcPr>
          <w:p>
            <w:r>
              <w:rPr>
                <w:b w:val="false"/>
                <w:bCs w:val="false"/>
                <w:sz w:val="20"/>
                <w:szCs w:val="20"/>
              </w:rPr>
              <w:t xml:space="preserve">1,062</w:t>
            </w:r>
          </w:p>
        </w:tc>
        <w:tc>
          <w:tcPr>
            <w:tcW w:type="dxa" w:w="2200"/>
            <w:tcMar>
              <w:top w:type="dxa" w:w="80"/>
              <w:left w:type="dxa" w:w="100"/>
              <w:bottom w:type="dxa" w:w="80"/>
              <w:right w:type="dxa" w:w="100"/>
            </w:tcMar>
            <w:vAlign w:val="center"/>
          </w:tcPr>
          <w:p>
            <w:r>
              <w:rPr>
                <w:b w:val="false"/>
                <w:bCs w:val="false"/>
                <w:sz w:val="20"/>
                <w:szCs w:val="20"/>
              </w:rPr>
              <w:t xml:space="preserve">0,885</w:t>
            </w:r>
          </w:p>
        </w:tc>
        <w:tc>
          <w:tcPr>
            <w:tcW w:type="dxa" w:w="1600"/>
            <w:tcMar>
              <w:top w:type="dxa" w:w="80"/>
              <w:left w:type="dxa" w:w="100"/>
              <w:bottom w:type="dxa" w:w="80"/>
              <w:right w:type="dxa" w:w="100"/>
            </w:tcMar>
            <w:vAlign w:val="center"/>
          </w:tcPr>
          <w:p>
            <w:r>
              <w:rPr>
                <w:b w:val="false"/>
                <w:bCs w:val="false"/>
                <w:sz w:val="20"/>
                <w:szCs w:val="20"/>
              </w:rPr>
              <w:t xml:space="preserve">0,965</w:t>
            </w:r>
          </w:p>
        </w:tc>
      </w:tr>
      <w:tr>
        <w:tc>
          <w:tcPr>
            <w:tcW w:type="dxa" w:w="3200"/>
            <w:tcMar>
              <w:top w:type="dxa" w:w="80"/>
              <w:left w:type="dxa" w:w="100"/>
              <w:bottom w:type="dxa" w:w="80"/>
              <w:right w:type="dxa" w:w="100"/>
            </w:tcMar>
            <w:vAlign w:val="center"/>
          </w:tcPr>
          <w:p>
            <w:r>
              <w:rPr>
                <w:b w:val="false"/>
                <w:bCs w:val="false"/>
                <w:sz w:val="20"/>
                <w:szCs w:val="20"/>
              </w:rPr>
              <w:t xml:space="preserve">xgb_signal</w:t>
            </w:r>
          </w:p>
        </w:tc>
        <w:tc>
          <w:tcPr>
            <w:tcW w:type="dxa" w:w="1800"/>
            <w:tcMar>
              <w:top w:type="dxa" w:w="80"/>
              <w:left w:type="dxa" w:w="100"/>
              <w:bottom w:type="dxa" w:w="80"/>
              <w:right w:type="dxa" w:w="100"/>
            </w:tcMar>
            <w:vAlign w:val="center"/>
          </w:tcPr>
          <w:p>
            <w:r>
              <w:rPr>
                <w:b w:val="false"/>
                <w:bCs w:val="false"/>
                <w:sz w:val="20"/>
                <w:szCs w:val="20"/>
              </w:rPr>
              <w:t xml:space="preserve">0,743</w:t>
            </w:r>
          </w:p>
        </w:tc>
        <w:tc>
          <w:tcPr>
            <w:tcW w:type="dxa" w:w="2200"/>
            <w:tcMar>
              <w:top w:type="dxa" w:w="80"/>
              <w:left w:type="dxa" w:w="100"/>
              <w:bottom w:type="dxa" w:w="80"/>
              <w:right w:type="dxa" w:w="100"/>
            </w:tcMar>
            <w:vAlign w:val="center"/>
          </w:tcPr>
          <w:p>
            <w:r>
              <w:rPr>
                <w:b w:val="false"/>
                <w:bCs w:val="false"/>
                <w:sz w:val="20"/>
                <w:szCs w:val="20"/>
              </w:rPr>
              <w:t xml:space="preserve">1,076</w:t>
            </w:r>
          </w:p>
        </w:tc>
        <w:tc>
          <w:tcPr>
            <w:tcW w:type="dxa" w:w="1600"/>
            <w:tcMar>
              <w:top w:type="dxa" w:w="80"/>
              <w:left w:type="dxa" w:w="100"/>
              <w:bottom w:type="dxa" w:w="80"/>
              <w:right w:type="dxa" w:w="100"/>
            </w:tcMar>
            <w:vAlign w:val="center"/>
          </w:tcPr>
          <w:p>
            <w:r>
              <w:rPr>
                <w:b w:val="false"/>
                <w:bCs w:val="false"/>
                <w:sz w:val="20"/>
                <w:szCs w:val="20"/>
              </w:rPr>
              <w:t xml:space="preserve">0,876</w:t>
            </w:r>
          </w:p>
        </w:tc>
      </w:tr>
    </w:tbl>
    <w:p>
      <w:pPr>
        <w:spacing w:before="200"/>
      </w:pPr>
      <w:r>
        <w:rPr>
          <w:b/>
          <w:bCs/>
        </w:rPr>
        <w:t xml:space="preserve">Un résultat réel, honnête et négatif — non présenté comme une victoire partielle. </w:t>
      </w:r>
      <w:r>
        <w:t xml:space="preserve">Le repli de secours de DCC-GARCH s'est de nouveau déclenché exactement comme en Phase 4 (IAM.CS, </w:t>
      </w:r>
      <w:r>
        <w:rPr>
          <w:rFonts w:ascii="Consolas" w:cs="Consolas" w:eastAsia="Consolas" w:hAnsi="Consolas"/>
          <w:color w:val="9C2FA6"/>
          <w:sz w:val="20"/>
          <w:szCs w:val="20"/>
        </w:rPr>
        <w:t xml:space="preserve">full_2021</w:t>
      </w:r>
      <w:r>
        <w:t xml:space="preserve">) — cohérence entre les deux runs, pas une coïncidence.</w:t>
      </w:r>
    </w:p>
    <w:p>
      <w:pPr>
        <w:pStyle w:val="Heading1"/>
        <w:spacing w:after="120" w:before="240"/>
      </w:pPr>
      <w:r>
        <w:t xml:space="preserve">7. Pourquoi F7 ne bat-il pas la haie ? — investigation, pas un haussement d'épaules</w:t>
      </w:r>
    </w:p>
    <w:p>
      <w:pPr>
        <w:spacing w:after="160"/>
      </w:pPr>
      <w:r>
        <w:t xml:space="preserve">La haie que F7 doit battre </w:t>
      </w:r>
      <w:r>
        <w:rPr>
          <w:b/>
          <w:bCs/>
        </w:rPr>
        <w:t xml:space="preserve">n'est pas la même</w:t>
      </w:r>
      <w:r>
        <w:t xml:space="preserve"> que celle de la Phase 4 : sur </w:t>
      </w:r>
      <w:r>
        <w:rPr>
          <w:rFonts w:ascii="Consolas" w:cs="Consolas" w:eastAsia="Consolas" w:hAnsi="Consolas"/>
          <w:color w:val="9C2FA6"/>
          <w:sz w:val="20"/>
          <w:szCs w:val="20"/>
        </w:rPr>
        <w:t xml:space="preserve">full_2021</w:t>
      </w:r>
      <w:r>
        <w:t xml:space="preserve">, c'est </w:t>
      </w:r>
      <w:r>
        <w:rPr>
          <w:rFonts w:ascii="Consolas" w:cs="Consolas" w:eastAsia="Consolas" w:hAnsi="Consolas"/>
          <w:color w:val="9C2FA6"/>
          <w:sz w:val="20"/>
          <w:szCs w:val="20"/>
        </w:rPr>
        <w:t xml:space="preserve">regime_conditional</w:t>
      </w:r>
      <w:r>
        <w:t xml:space="preserve"> à 1,122 — le </w:t>
      </w:r>
      <w:r>
        <w:rPr>
          <w:i/>
          <w:iCs/>
        </w:rPr>
        <w:t xml:space="preserve">meilleur</w:t>
      </w:r>
      <w:r>
        <w:t xml:space="preserve"> résultat de toute la Phase 4, pas la baseline naïve </w:t>
      </w:r>
      <w:r>
        <w:rPr>
          <w:rFonts w:ascii="Consolas" w:cs="Consolas" w:eastAsia="Consolas" w:hAnsi="Consolas"/>
          <w:color w:val="9C2FA6"/>
          <w:sz w:val="20"/>
          <w:szCs w:val="20"/>
        </w:rPr>
        <w:t xml:space="preserve">equal_weight</w:t>
      </w:r>
      <w:r>
        <w:t xml:space="preserve"> que la Phase 4 avait battue sur ce même univers. F7 affronte donc structurellement une barre plus haute que celle que la Phase 4 avait à franchir.</w:t>
      </w:r>
      <w:r>
        <w:rPr>
          <w:b/>
          <w:color w:val="B03000"/>
          <w:sz w:val="19"/>
        </w:rPr>
        <w:t xml:space="preserve">  [RÉTRACTÉ 25/07/2026] La « baseline DeMiguel » n'existe pas une fois les dividendes comptés. L'asymétrie décrite reste vraie (F7 affronte le vainqueur de la Phase 4), mais pas pour cette raison.</w:t>
      </w:r>
    </w:p>
    <w:p>
      <w:pPr>
        <w:pStyle w:val="Heading2"/>
        <w:spacing w:after="120" w:before="240"/>
      </w:pPr>
      <w:r>
        <w:t xml:space="preserve">7.1 Décomposition brut / net — deux diagnostics différents selon l'univers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1600"/>
        <w:gridCol w:w="1600"/>
      </w:tblGrid>
      <w:tr>
        <w:trPr>
          <w:tblHeader/>
        </w:trPr>
        <w:tc>
          <w:tcPr>
            <w:tcW w:type="dxa" w:w="3400"/>
            <w:shd w:fill="DCE6F1" w:val="clear"/>
            <w:tcMar>
              <w:top w:type="dxa" w:w="80"/>
              <w:left w:type="dxa" w:w="100"/>
              <w:bottom w:type="dxa" w:w="80"/>
              <w:right w:type="dxa" w:w="100"/>
            </w:tcMar>
            <w:vAlign w:val="center"/>
          </w:tcPr>
          <w:p>
            <w:r>
              <w:rPr>
                <w:b/>
                <w:bCs/>
                <w:sz w:val="20"/>
                <w:szCs w:val="20"/>
              </w:rPr>
              <w:t xml:space="preserve">Univers / Stratégie</w:t>
            </w:r>
          </w:p>
        </w:tc>
        <w:tc>
          <w:tcPr>
            <w:tcW w:type="dxa" w:w="1600"/>
            <w:shd w:fill="DCE6F1" w:val="clear"/>
            <w:tcMar>
              <w:top w:type="dxa" w:w="80"/>
              <w:left w:type="dxa" w:w="100"/>
              <w:bottom w:type="dxa" w:w="80"/>
              <w:right w:type="dxa" w:w="100"/>
            </w:tcMar>
            <w:vAlign w:val="center"/>
          </w:tcPr>
          <w:p>
            <w:r>
              <w:rPr>
                <w:b/>
                <w:bCs/>
                <w:sz w:val="20"/>
                <w:szCs w:val="20"/>
              </w:rPr>
              <w:t xml:space="preserve">Sharpe brut</w:t>
            </w:r>
          </w:p>
        </w:tc>
        <w:tc>
          <w:tcPr>
            <w:tcW w:type="dxa" w:w="1600"/>
            <w:shd w:fill="DCE6F1" w:val="clear"/>
            <w:tcMar>
              <w:top w:type="dxa" w:w="80"/>
              <w:left w:type="dxa" w:w="100"/>
              <w:bottom w:type="dxa" w:w="80"/>
              <w:right w:type="dxa" w:w="100"/>
            </w:tcMar>
            <w:vAlign w:val="center"/>
          </w:tcPr>
          <w:p>
            <w:r>
              <w:rPr>
                <w:b/>
                <w:bCs/>
                <w:sz w:val="20"/>
                <w:szCs w:val="20"/>
              </w:rPr>
              <w:t xml:space="preserve">Sharpe net</w:t>
            </w:r>
          </w:p>
        </w:tc>
        <w:tc>
          <w:tcPr>
            <w:tcW w:type="dxa" w:w="1600"/>
            <w:shd w:fill="DCE6F1" w:val="clear"/>
            <w:tcMar>
              <w:top w:type="dxa" w:w="80"/>
              <w:left w:type="dxa" w:w="100"/>
              <w:bottom w:type="dxa" w:w="80"/>
              <w:right w:type="dxa" w:w="100"/>
            </w:tcMar>
            <w:vAlign w:val="center"/>
          </w:tcPr>
          <w:p>
            <w:r>
              <w:rPr>
                <w:b/>
                <w:bCs/>
                <w:sz w:val="20"/>
                <w:szCs w:val="20"/>
              </w:rPr>
              <w:t xml:space="preserve">Écart de coût</w:t>
            </w:r>
          </w:p>
        </w:tc>
        <w:tc>
          <w:tcPr>
            <w:tcW w:type="dxa" w:w="1600"/>
            <w:shd w:fill="DCE6F1" w:val="clear"/>
            <w:tcMar>
              <w:top w:type="dxa" w:w="80"/>
              <w:left w:type="dxa" w:w="100"/>
              <w:bottom w:type="dxa" w:w="80"/>
              <w:right w:type="dxa" w:w="100"/>
            </w:tcMar>
            <w:vAlign w:val="center"/>
          </w:tcPr>
          <w:p>
            <w:r>
              <w:rPr>
                <w:b/>
                <w:bCs/>
                <w:sz w:val="20"/>
                <w:szCs w:val="20"/>
              </w:rPr>
              <w:t xml:space="preserve">Turnover moyen</w:t>
            </w:r>
          </w:p>
        </w:tc>
      </w:tr>
      <w:tr>
        <w:tc>
          <w:tcPr>
            <w:tcW w:type="dxa" w:w="3400"/>
            <w:tcMar>
              <w:top w:type="dxa" w:w="80"/>
              <w:left w:type="dxa" w:w="100"/>
              <w:bottom w:type="dxa" w:w="80"/>
              <w:right w:type="dxa" w:w="100"/>
            </w:tcMar>
            <w:vAlign w:val="center"/>
          </w:tcPr>
          <w:p>
            <w:r>
              <w:rPr>
                <w:b w:val="false"/>
                <w:bCs w:val="false"/>
                <w:sz w:val="20"/>
                <w:szCs w:val="20"/>
              </w:rPr>
              <w:t xml:space="preserve">etf_2017 — haie (max_sharpe)</w:t>
            </w:r>
          </w:p>
        </w:tc>
        <w:tc>
          <w:tcPr>
            <w:tcW w:type="dxa" w:w="1600"/>
            <w:tcMar>
              <w:top w:type="dxa" w:w="80"/>
              <w:left w:type="dxa" w:w="100"/>
              <w:bottom w:type="dxa" w:w="80"/>
              <w:right w:type="dxa" w:w="100"/>
            </w:tcMar>
            <w:vAlign w:val="center"/>
          </w:tcPr>
          <w:p>
            <w:r>
              <w:rPr>
                <w:b w:val="false"/>
                <w:bCs w:val="false"/>
                <w:sz w:val="20"/>
                <w:szCs w:val="20"/>
              </w:rPr>
              <w:t xml:space="preserve">0,941</w:t>
            </w:r>
          </w:p>
        </w:tc>
        <w:tc>
          <w:tcPr>
            <w:tcW w:type="dxa" w:w="1600"/>
            <w:tcMar>
              <w:top w:type="dxa" w:w="80"/>
              <w:left w:type="dxa" w:w="100"/>
              <w:bottom w:type="dxa" w:w="80"/>
              <w:right w:type="dxa" w:w="100"/>
            </w:tcMar>
            <w:vAlign w:val="center"/>
          </w:tcPr>
          <w:p>
            <w:r>
              <w:rPr>
                <w:b w:val="false"/>
                <w:bCs w:val="false"/>
                <w:sz w:val="20"/>
                <w:szCs w:val="20"/>
              </w:rPr>
              <w:t xml:space="preserve">0,936</w:t>
            </w:r>
          </w:p>
        </w:tc>
        <w:tc>
          <w:tcPr>
            <w:tcW w:type="dxa" w:w="1600"/>
            <w:tcMar>
              <w:top w:type="dxa" w:w="80"/>
              <w:left w:type="dxa" w:w="100"/>
              <w:bottom w:type="dxa" w:w="80"/>
              <w:right w:type="dxa" w:w="100"/>
            </w:tcMar>
            <w:vAlign w:val="center"/>
          </w:tcPr>
          <w:p>
            <w:r>
              <w:rPr>
                <w:b w:val="false"/>
                <w:bCs w:val="false"/>
                <w:sz w:val="20"/>
                <w:szCs w:val="20"/>
              </w:rPr>
              <w:t xml:space="preserve">0,005</w:t>
            </w:r>
          </w:p>
        </w:tc>
        <w:tc>
          <w:tcPr>
            <w:tcW w:type="dxa" w:w="1600"/>
            <w:tcMar>
              <w:top w:type="dxa" w:w="80"/>
              <w:left w:type="dxa" w:w="100"/>
              <w:bottom w:type="dxa" w:w="80"/>
              <w:right w:type="dxa" w:w="100"/>
            </w:tcMar>
            <w:vAlign w:val="center"/>
          </w:tcPr>
          <w:p>
            <w:r>
              <w:rPr>
                <w:b w:val="false"/>
                <w:bCs w:val="false"/>
                <w:sz w:val="20"/>
                <w:szCs w:val="20"/>
              </w:rPr>
              <w:t xml:space="preserve">0,049</w:t>
            </w:r>
          </w:p>
        </w:tc>
      </w:tr>
      <w:tr>
        <w:tc>
          <w:tcPr>
            <w:tcW w:type="dxa" w:w="3400"/>
            <w:tcMar>
              <w:top w:type="dxa" w:w="80"/>
              <w:left w:type="dxa" w:w="100"/>
              <w:bottom w:type="dxa" w:w="80"/>
              <w:right w:type="dxa" w:w="100"/>
            </w:tcMar>
            <w:vAlign w:val="center"/>
          </w:tcPr>
          <w:p>
            <w:r>
              <w:rPr>
                <w:b w:val="false"/>
                <w:bCs w:val="false"/>
                <w:sz w:val="20"/>
                <w:szCs w:val="20"/>
              </w:rPr>
              <w:t xml:space="preserve">etf_2017 — rf_signal</w:t>
            </w:r>
          </w:p>
        </w:tc>
        <w:tc>
          <w:tcPr>
            <w:tcW w:type="dxa" w:w="1600"/>
            <w:tcMar>
              <w:top w:type="dxa" w:w="80"/>
              <w:left w:type="dxa" w:w="100"/>
              <w:bottom w:type="dxa" w:w="80"/>
              <w:right w:type="dxa" w:w="100"/>
            </w:tcMar>
            <w:vAlign w:val="center"/>
          </w:tcPr>
          <w:p>
            <w:r>
              <w:rPr>
                <w:b w:val="false"/>
                <w:bCs w:val="false"/>
                <w:sz w:val="20"/>
                <w:szCs w:val="20"/>
              </w:rPr>
              <w:t xml:space="preserve">0,748</w:t>
            </w:r>
          </w:p>
        </w:tc>
        <w:tc>
          <w:tcPr>
            <w:tcW w:type="dxa" w:w="1600"/>
            <w:tcMar>
              <w:top w:type="dxa" w:w="80"/>
              <w:left w:type="dxa" w:w="100"/>
              <w:bottom w:type="dxa" w:w="80"/>
              <w:right w:type="dxa" w:w="100"/>
            </w:tcMar>
            <w:vAlign w:val="center"/>
          </w:tcPr>
          <w:p>
            <w:r>
              <w:rPr>
                <w:b w:val="false"/>
                <w:bCs w:val="false"/>
                <w:sz w:val="20"/>
                <w:szCs w:val="20"/>
              </w:rPr>
              <w:t xml:space="preserve">0,727</w:t>
            </w:r>
          </w:p>
        </w:tc>
        <w:tc>
          <w:tcPr>
            <w:tcW w:type="dxa" w:w="1600"/>
            <w:tcMar>
              <w:top w:type="dxa" w:w="80"/>
              <w:left w:type="dxa" w:w="100"/>
              <w:bottom w:type="dxa" w:w="80"/>
              <w:right w:type="dxa" w:w="100"/>
            </w:tcMar>
            <w:vAlign w:val="center"/>
          </w:tcPr>
          <w:p>
            <w:r>
              <w:rPr>
                <w:b w:val="false"/>
                <w:bCs w:val="false"/>
                <w:sz w:val="20"/>
                <w:szCs w:val="20"/>
              </w:rPr>
              <w:t xml:space="preserve">0,021</w:t>
            </w:r>
          </w:p>
        </w:tc>
        <w:tc>
          <w:tcPr>
            <w:tcW w:type="dxa" w:w="1600"/>
            <w:tcMar>
              <w:top w:type="dxa" w:w="80"/>
              <w:left w:type="dxa" w:w="100"/>
              <w:bottom w:type="dxa" w:w="80"/>
              <w:right w:type="dxa" w:w="100"/>
            </w:tcMar>
            <w:vAlign w:val="center"/>
          </w:tcPr>
          <w:p>
            <w:r>
              <w:rPr>
                <w:b w:val="false"/>
                <w:bCs w:val="false"/>
                <w:sz w:val="20"/>
                <w:szCs w:val="20"/>
              </w:rPr>
              <w:t xml:space="preserve">0,232</w:t>
            </w:r>
          </w:p>
        </w:tc>
      </w:tr>
      <w:tr>
        <w:tc>
          <w:tcPr>
            <w:tcW w:type="dxa" w:w="3400"/>
            <w:tcMar>
              <w:top w:type="dxa" w:w="80"/>
              <w:left w:type="dxa" w:w="100"/>
              <w:bottom w:type="dxa" w:w="80"/>
              <w:right w:type="dxa" w:w="100"/>
            </w:tcMar>
            <w:vAlign w:val="center"/>
          </w:tcPr>
          <w:p>
            <w:r>
              <w:rPr>
                <w:b w:val="false"/>
                <w:bCs w:val="false"/>
                <w:sz w:val="20"/>
                <w:szCs w:val="20"/>
              </w:rPr>
              <w:t xml:space="preserve">etf_2017 — xgb_signal</w:t>
            </w:r>
          </w:p>
        </w:tc>
        <w:tc>
          <w:tcPr>
            <w:tcW w:type="dxa" w:w="1600"/>
            <w:tcMar>
              <w:top w:type="dxa" w:w="80"/>
              <w:left w:type="dxa" w:w="100"/>
              <w:bottom w:type="dxa" w:w="80"/>
              <w:right w:type="dxa" w:w="100"/>
            </w:tcMar>
            <w:vAlign w:val="center"/>
          </w:tcPr>
          <w:p>
            <w:r>
              <w:rPr>
                <w:b w:val="false"/>
                <w:bCs w:val="false"/>
                <w:sz w:val="20"/>
                <w:szCs w:val="20"/>
              </w:rPr>
              <w:t xml:space="preserve">0,778</w:t>
            </w:r>
          </w:p>
        </w:tc>
        <w:tc>
          <w:tcPr>
            <w:tcW w:type="dxa" w:w="1600"/>
            <w:tcMar>
              <w:top w:type="dxa" w:w="80"/>
              <w:left w:type="dxa" w:w="100"/>
              <w:bottom w:type="dxa" w:w="80"/>
              <w:right w:type="dxa" w:w="100"/>
            </w:tcMar>
            <w:vAlign w:val="center"/>
          </w:tcPr>
          <w:p>
            <w:r>
              <w:rPr>
                <w:b w:val="false"/>
                <w:bCs w:val="false"/>
                <w:sz w:val="20"/>
                <w:szCs w:val="20"/>
              </w:rPr>
              <w:t xml:space="preserve">0,747</w:t>
            </w:r>
          </w:p>
        </w:tc>
        <w:tc>
          <w:tcPr>
            <w:tcW w:type="dxa" w:w="1600"/>
            <w:tcMar>
              <w:top w:type="dxa" w:w="80"/>
              <w:left w:type="dxa" w:w="100"/>
              <w:bottom w:type="dxa" w:w="80"/>
              <w:right w:type="dxa" w:w="100"/>
            </w:tcMar>
            <w:vAlign w:val="center"/>
          </w:tcPr>
          <w:p>
            <w:r>
              <w:rPr>
                <w:b w:val="false"/>
                <w:bCs w:val="false"/>
                <w:sz w:val="20"/>
                <w:szCs w:val="20"/>
              </w:rPr>
              <w:t xml:space="preserve">0,031</w:t>
            </w:r>
          </w:p>
        </w:tc>
        <w:tc>
          <w:tcPr>
            <w:tcW w:type="dxa" w:w="1600"/>
            <w:tcMar>
              <w:top w:type="dxa" w:w="80"/>
              <w:left w:type="dxa" w:w="100"/>
              <w:bottom w:type="dxa" w:w="80"/>
              <w:right w:type="dxa" w:w="100"/>
            </w:tcMar>
            <w:vAlign w:val="center"/>
          </w:tcPr>
          <w:p>
            <w:r>
              <w:rPr>
                <w:b w:val="false"/>
                <w:bCs w:val="false"/>
                <w:sz w:val="20"/>
                <w:szCs w:val="20"/>
              </w:rPr>
              <w:t xml:space="preserve">0,356</w:t>
            </w:r>
          </w:p>
        </w:tc>
      </w:tr>
      <w:tr>
        <w:tc>
          <w:tcPr>
            <w:tcW w:type="dxa" w:w="3400"/>
            <w:tcMar>
              <w:top w:type="dxa" w:w="80"/>
              <w:left w:type="dxa" w:w="100"/>
              <w:bottom w:type="dxa" w:w="80"/>
              <w:right w:type="dxa" w:w="100"/>
            </w:tcMar>
            <w:vAlign w:val="center"/>
          </w:tcPr>
          <w:p>
            <w:r>
              <w:rPr>
                <w:b w:val="false"/>
                <w:bCs w:val="false"/>
                <w:sz w:val="20"/>
                <w:szCs w:val="20"/>
              </w:rPr>
              <w:t xml:space="preserve">full_2021 — haie (regime_conditional)</w:t>
            </w:r>
          </w:p>
        </w:tc>
        <w:tc>
          <w:tcPr>
            <w:tcW w:type="dxa" w:w="1600"/>
            <w:tcMar>
              <w:top w:type="dxa" w:w="80"/>
              <w:left w:type="dxa" w:w="100"/>
              <w:bottom w:type="dxa" w:w="80"/>
              <w:right w:type="dxa" w:w="100"/>
            </w:tcMar>
            <w:vAlign w:val="center"/>
          </w:tcPr>
          <w:p>
            <w:r>
              <w:rPr>
                <w:b w:val="false"/>
                <w:bCs w:val="false"/>
                <w:sz w:val="20"/>
                <w:szCs w:val="20"/>
              </w:rPr>
              <w:t xml:space="preserve">1,204</w:t>
            </w:r>
          </w:p>
        </w:tc>
        <w:tc>
          <w:tcPr>
            <w:tcW w:type="dxa" w:w="1600"/>
            <w:tcMar>
              <w:top w:type="dxa" w:w="80"/>
              <w:left w:type="dxa" w:w="100"/>
              <w:bottom w:type="dxa" w:w="80"/>
              <w:right w:type="dxa" w:w="100"/>
            </w:tcMar>
            <w:vAlign w:val="center"/>
          </w:tcPr>
          <w:p>
            <w:r>
              <w:rPr>
                <w:b w:val="false"/>
                <w:bCs w:val="false"/>
                <w:sz w:val="20"/>
                <w:szCs w:val="20"/>
              </w:rPr>
              <w:t xml:space="preserve">1,122</w:t>
            </w:r>
          </w:p>
        </w:tc>
        <w:tc>
          <w:tcPr>
            <w:tcW w:type="dxa" w:w="1600"/>
            <w:tcMar>
              <w:top w:type="dxa" w:w="80"/>
              <w:left w:type="dxa" w:w="100"/>
              <w:bottom w:type="dxa" w:w="80"/>
              <w:right w:type="dxa" w:w="100"/>
            </w:tcMar>
            <w:vAlign w:val="center"/>
          </w:tcPr>
          <w:p>
            <w:r>
              <w:rPr>
                <w:b w:val="false"/>
                <w:bCs w:val="false"/>
                <w:sz w:val="20"/>
                <w:szCs w:val="20"/>
              </w:rPr>
              <w:t xml:space="preserve">0,082</w:t>
            </w:r>
          </w:p>
        </w:tc>
        <w:tc>
          <w:tcPr>
            <w:tcW w:type="dxa" w:w="1600"/>
            <w:tcMar>
              <w:top w:type="dxa" w:w="80"/>
              <w:left w:type="dxa" w:w="100"/>
              <w:bottom w:type="dxa" w:w="80"/>
              <w:right w:type="dxa" w:w="100"/>
            </w:tcMar>
            <w:vAlign w:val="center"/>
          </w:tcPr>
          <w:p>
            <w:r>
              <w:rPr>
                <w:b w:val="false"/>
                <w:bCs w:val="false"/>
                <w:sz w:val="20"/>
                <w:szCs w:val="20"/>
              </w:rPr>
              <w:t xml:space="preserve">0,327</w:t>
            </w:r>
          </w:p>
        </w:tc>
      </w:tr>
      <w:tr>
        <w:tc>
          <w:tcPr>
            <w:tcW w:type="dxa" w:w="3400"/>
            <w:tcMar>
              <w:top w:type="dxa" w:w="80"/>
              <w:left w:type="dxa" w:w="100"/>
              <w:bottom w:type="dxa" w:w="80"/>
              <w:right w:type="dxa" w:w="100"/>
            </w:tcMar>
            <w:vAlign w:val="center"/>
          </w:tcPr>
          <w:p>
            <w:r>
              <w:rPr>
                <w:b w:val="false"/>
                <w:bCs w:val="false"/>
                <w:sz w:val="20"/>
                <w:szCs w:val="20"/>
              </w:rPr>
              <w:t xml:space="preserve">full_2021 — rf_signal</w:t>
            </w:r>
          </w:p>
        </w:tc>
        <w:tc>
          <w:tcPr>
            <w:tcW w:type="dxa" w:w="1600"/>
            <w:tcMar>
              <w:top w:type="dxa" w:w="80"/>
              <w:left w:type="dxa" w:w="100"/>
              <w:bottom w:type="dxa" w:w="80"/>
              <w:right w:type="dxa" w:w="100"/>
            </w:tcMar>
            <w:vAlign w:val="center"/>
          </w:tcPr>
          <w:p>
            <w:r>
              <w:rPr>
                <w:b w:val="false"/>
                <w:bCs w:val="false"/>
                <w:sz w:val="20"/>
                <w:szCs w:val="20"/>
              </w:rPr>
              <w:t xml:space="preserve">1,240</w:t>
            </w:r>
          </w:p>
        </w:tc>
        <w:tc>
          <w:tcPr>
            <w:tcW w:type="dxa" w:w="1600"/>
            <w:tcMar>
              <w:top w:type="dxa" w:w="80"/>
              <w:left w:type="dxa" w:w="100"/>
              <w:bottom w:type="dxa" w:w="80"/>
              <w:right w:type="dxa" w:w="100"/>
            </w:tcMar>
            <w:vAlign w:val="center"/>
          </w:tcPr>
          <w:p>
            <w:r>
              <w:rPr>
                <w:b w:val="false"/>
                <w:bCs w:val="false"/>
                <w:sz w:val="20"/>
                <w:szCs w:val="20"/>
              </w:rPr>
              <w:t xml:space="preserve">1,062</w:t>
            </w:r>
          </w:p>
        </w:tc>
        <w:tc>
          <w:tcPr>
            <w:tcW w:type="dxa" w:w="1600"/>
            <w:tcMar>
              <w:top w:type="dxa" w:w="80"/>
              <w:left w:type="dxa" w:w="100"/>
              <w:bottom w:type="dxa" w:w="80"/>
              <w:right w:type="dxa" w:w="100"/>
            </w:tcMar>
            <w:vAlign w:val="center"/>
          </w:tcPr>
          <w:p>
            <w:r>
              <w:rPr>
                <w:b w:val="false"/>
                <w:bCs w:val="false"/>
                <w:sz w:val="20"/>
                <w:szCs w:val="20"/>
              </w:rPr>
              <w:t xml:space="preserve">0,178</w:t>
            </w:r>
          </w:p>
        </w:tc>
        <w:tc>
          <w:tcPr>
            <w:tcW w:type="dxa" w:w="1600"/>
            <w:tcMar>
              <w:top w:type="dxa" w:w="80"/>
              <w:left w:type="dxa" w:w="100"/>
              <w:bottom w:type="dxa" w:w="80"/>
              <w:right w:type="dxa" w:w="100"/>
            </w:tcMar>
            <w:vAlign w:val="center"/>
          </w:tcPr>
          <w:p>
            <w:r>
              <w:rPr>
                <w:b w:val="false"/>
                <w:bCs w:val="false"/>
                <w:sz w:val="20"/>
                <w:szCs w:val="20"/>
              </w:rPr>
              <w:t xml:space="preserve">0,885</w:t>
            </w:r>
          </w:p>
        </w:tc>
      </w:tr>
      <w:tr>
        <w:tc>
          <w:tcPr>
            <w:tcW w:type="dxa" w:w="3400"/>
            <w:tcMar>
              <w:top w:type="dxa" w:w="80"/>
              <w:left w:type="dxa" w:w="100"/>
              <w:bottom w:type="dxa" w:w="80"/>
              <w:right w:type="dxa" w:w="100"/>
            </w:tcMar>
            <w:vAlign w:val="center"/>
          </w:tcPr>
          <w:p>
            <w:r>
              <w:rPr>
                <w:b w:val="false"/>
                <w:bCs w:val="false"/>
                <w:sz w:val="20"/>
                <w:szCs w:val="20"/>
              </w:rPr>
              <w:t xml:space="preserve">full_2021 — xgb_signal</w:t>
            </w:r>
          </w:p>
        </w:tc>
        <w:tc>
          <w:tcPr>
            <w:tcW w:type="dxa" w:w="1600"/>
            <w:tcMar>
              <w:top w:type="dxa" w:w="80"/>
              <w:left w:type="dxa" w:w="100"/>
              <w:bottom w:type="dxa" w:w="80"/>
              <w:right w:type="dxa" w:w="100"/>
            </w:tcMar>
            <w:vAlign w:val="center"/>
          </w:tcPr>
          <w:p>
            <w:r>
              <w:rPr>
                <w:b w:val="false"/>
                <w:bCs w:val="false"/>
                <w:sz w:val="20"/>
                <w:szCs w:val="20"/>
              </w:rPr>
              <w:t xml:space="preserve">0,948</w:t>
            </w:r>
          </w:p>
        </w:tc>
        <w:tc>
          <w:tcPr>
            <w:tcW w:type="dxa" w:w="1600"/>
            <w:tcMar>
              <w:top w:type="dxa" w:w="80"/>
              <w:left w:type="dxa" w:w="100"/>
              <w:bottom w:type="dxa" w:w="80"/>
              <w:right w:type="dxa" w:w="100"/>
            </w:tcMar>
            <w:vAlign w:val="center"/>
          </w:tcPr>
          <w:p>
            <w:r>
              <w:rPr>
                <w:b w:val="false"/>
                <w:bCs w:val="false"/>
                <w:sz w:val="20"/>
                <w:szCs w:val="20"/>
              </w:rPr>
              <w:t xml:space="preserve">0,743</w:t>
            </w:r>
          </w:p>
        </w:tc>
        <w:tc>
          <w:tcPr>
            <w:tcW w:type="dxa" w:w="1600"/>
            <w:tcMar>
              <w:top w:type="dxa" w:w="80"/>
              <w:left w:type="dxa" w:w="100"/>
              <w:bottom w:type="dxa" w:w="80"/>
              <w:right w:type="dxa" w:w="100"/>
            </w:tcMar>
            <w:vAlign w:val="center"/>
          </w:tcPr>
          <w:p>
            <w:r>
              <w:rPr>
                <w:b w:val="false"/>
                <w:bCs w:val="false"/>
                <w:sz w:val="20"/>
                <w:szCs w:val="20"/>
              </w:rPr>
              <w:t xml:space="preserve">0,205</w:t>
            </w:r>
          </w:p>
        </w:tc>
        <w:tc>
          <w:tcPr>
            <w:tcW w:type="dxa" w:w="1600"/>
            <w:tcMar>
              <w:top w:type="dxa" w:w="80"/>
              <w:left w:type="dxa" w:w="100"/>
              <w:bottom w:type="dxa" w:w="80"/>
              <w:right w:type="dxa" w:w="100"/>
            </w:tcMar>
            <w:vAlign w:val="center"/>
          </w:tcPr>
          <w:p>
            <w:r>
              <w:rPr>
                <w:b w:val="false"/>
                <w:bCs w:val="false"/>
                <w:sz w:val="20"/>
                <w:szCs w:val="20"/>
              </w:rPr>
              <w:t xml:space="preserve">1,076</w:t>
            </w:r>
          </w:p>
        </w:tc>
      </w:tr>
    </w:tbl>
    <w:p>
      <w:pPr>
        <w:spacing w:before="160"/>
      </w:pPr>
      <w:r>
        <w:rPr>
          <w:b/>
          <w:bCs/>
        </w:rPr>
        <w:t xml:space="preserve">Sur etf_2017 : </w:t>
      </w:r>
      <w:r>
        <w:t xml:space="preserve">le Sharpe </w:t>
      </w:r>
      <w:r>
        <w:rPr>
          <w:i/>
          <w:iCs/>
        </w:rPr>
        <w:t xml:space="preserve">brut</w:t>
      </w:r>
      <w:r>
        <w:t xml:space="preserve"> des deux stratégies F7 (0,748 et 0,778) reste </w:t>
      </w:r>
      <w:r>
        <w:rPr>
          <w:b/>
          <w:bCs/>
        </w:rPr>
        <w:t xml:space="preserve">en dessous</w:t>
      </w:r>
      <w:r>
        <w:t xml:space="preserve"> du Sharpe brut de la haie (0,941) — le signal prédictif lui-même n'apporte pas d'information suffisante sur cet univers, avant même de compter les coûts. L'écart de coût reste modeste (0,021 et 0,031).</w:t>
      </w:r>
    </w:p>
    <w:p>
      <w:pPr>
        <w:spacing w:before="160"/>
      </w:pPr>
      <w:r>
        <w:rPr>
          <w:b/>
          <w:bCs/>
        </w:rPr>
        <w:t xml:space="preserve">Sur full_2021 — un diagnostic différent : </w:t>
      </w:r>
      <w:r>
        <w:t xml:space="preserve">le Sharpe </w:t>
      </w:r>
      <w:r>
        <w:rPr>
          <w:i/>
          <w:iCs/>
        </w:rPr>
        <w:t xml:space="preserve">brut</w:t>
      </w:r>
      <w:r>
        <w:t xml:space="preserve"> de </w:t>
      </w:r>
      <w:r>
        <w:rPr>
          <w:rFonts w:ascii="Consolas" w:cs="Consolas" w:eastAsia="Consolas" w:hAnsi="Consolas"/>
          <w:color w:val="9C2FA6"/>
          <w:sz w:val="20"/>
          <w:szCs w:val="20"/>
        </w:rPr>
        <w:t xml:space="preserve">rf_signal</w:t>
      </w:r>
      <w:r>
        <w:t xml:space="preserve"> (1,240) </w:t>
      </w:r>
      <w:r>
        <w:rPr>
          <w:b/>
          <w:bCs/>
        </w:rPr>
        <w:t xml:space="preserve">dépasse</w:t>
      </w:r>
      <w:r>
        <w:t xml:space="preserve"> celui de la haie (1,204) — le signal brut est réellement meilleur. Mais son turnover moyen (0,885, jusqu'à 1,58 lors de certains rééquilibrages) produit un écart de coût de 0,178, plus de deux fois celui de la haie (0,082) — c'est le </w:t>
      </w:r>
      <w:r>
        <w:rPr>
          <w:b/>
          <w:bCs/>
        </w:rPr>
        <w:t xml:space="preserve">coût de transaction</w:t>
      </w:r>
      <w:r>
        <w:t xml:space="preserve">, pas la qualité du signal, qui efface l'avantage et ramène le Sharpe net à 1,062, sous la haie. </w:t>
      </w:r>
      <w:r>
        <w:rPr>
          <w:rFonts w:ascii="Consolas" w:cs="Consolas" w:eastAsia="Consolas" w:hAnsi="Consolas"/>
          <w:color w:val="9C2FA6"/>
          <w:sz w:val="20"/>
          <w:szCs w:val="20"/>
        </w:rPr>
        <w:t xml:space="preserve">xgb_signal</w:t>
      </w:r>
      <w:r>
        <w:t xml:space="preserve"> cumule les deux problèmes : signal brut plus faible (0,948) </w:t>
      </w:r>
      <w:r>
        <w:rPr>
          <w:i/>
          <w:iCs/>
        </w:rPr>
        <w:t xml:space="preserve">et</w:t>
      </w:r>
      <w:r>
        <w:t xml:space="preserve"> le turnover le plus élevé de toute la comparaison (1,076, une rotation quasi complète du portefeuille à chaque rééquilibrage).</w:t>
      </w:r>
    </w:p>
    <w:p>
      <w:pPr>
        <w:pStyle w:val="Heading2"/>
        <w:spacing w:after="120" w:before="240"/>
      </w:pPr>
      <w:r>
        <w:t xml:space="preserve">7.2 Le modèle utilise-t-il vraiment la feature de régime ?</w:t>
      </w:r>
    </w:p>
    <w:p>
      <w:pPr>
        <w:spacing w:after="160"/>
      </w:pPr>
      <w:r>
        <w:t xml:space="preserve">Vérifié directement en inspectant </w:t>
      </w:r>
      <w:r>
        <w:rPr>
          <w:rFonts w:ascii="Consolas" w:cs="Consolas" w:eastAsia="Consolas" w:hAnsi="Consolas"/>
          <w:color w:val="9C2FA6"/>
          <w:sz w:val="20"/>
          <w:szCs w:val="20"/>
        </w:rPr>
        <w:t xml:space="preserve">feature_importances_</w:t>
      </w:r>
      <w:r>
        <w:t xml:space="preserve"> (notebook §3), pas supposé à partir du nom « regime-conditional » :</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400"/>
        <w:gridCol w:w="1400"/>
        <w:gridCol w:w="1400"/>
      </w:tblGrid>
      <w:tr>
        <w:trPr>
          <w:tblHeader/>
        </w:trPr>
        <w:tc>
          <w:tcPr>
            <w:tcW w:type="dxa" w:w="3200"/>
            <w:shd w:fill="DCE6F1" w:val="clear"/>
            <w:tcMar>
              <w:top w:type="dxa" w:w="80"/>
              <w:left w:type="dxa" w:w="100"/>
              <w:bottom w:type="dxa" w:w="80"/>
              <w:right w:type="dxa" w:w="100"/>
            </w:tcMar>
            <w:vAlign w:val="center"/>
          </w:tcPr>
          <w:p>
            <w:r>
              <w:rPr>
                <w:b/>
                <w:bCs/>
                <w:sz w:val="20"/>
                <w:szCs w:val="20"/>
              </w:rPr>
              <w:t xml:space="preserve">Univers</w:t>
            </w:r>
          </w:p>
        </w:tc>
        <w:tc>
          <w:tcPr>
            <w:tcW w:type="dxa" w:w="3000"/>
            <w:shd w:fill="DCE6F1" w:val="clear"/>
            <w:tcMar>
              <w:top w:type="dxa" w:w="80"/>
              <w:left w:type="dxa" w:w="100"/>
              <w:bottom w:type="dxa" w:w="80"/>
              <w:right w:type="dxa" w:w="100"/>
            </w:tcMar>
            <w:vAlign w:val="center"/>
          </w:tcPr>
          <w:p>
            <w:r>
              <w:rPr>
                <w:b/>
                <w:bCs/>
                <w:sz w:val="20"/>
                <w:szCs w:val="20"/>
              </w:rPr>
              <w:t xml:space="preserve">Rang REGIME_BULL_PROB (RandomForest)</w:t>
            </w:r>
          </w:p>
        </w:tc>
        <w:tc>
          <w:tcPr>
            <w:tcW w:type="dxa" w:w="1400"/>
            <w:shd w:fill="DCE6F1" w:val="clear"/>
            <w:tcMar>
              <w:top w:type="dxa" w:w="80"/>
              <w:left w:type="dxa" w:w="100"/>
              <w:bottom w:type="dxa" w:w="80"/>
              <w:right w:type="dxa" w:w="100"/>
            </w:tcMar>
            <w:vAlign w:val="center"/>
          </w:tcPr>
          <w:p>
            <w:r>
              <w:rPr>
                <w:b/>
                <w:bCs/>
                <w:sz w:val="20"/>
                <w:szCs w:val="20"/>
              </w:rPr>
              <w:t xml:space="preserve">Importance RF</w:t>
            </w:r>
          </w:p>
        </w:tc>
        <w:tc>
          <w:tcPr>
            <w:tcW w:type="dxa" w:w="1400"/>
            <w:shd w:fill="DCE6F1" w:val="clear"/>
            <w:tcMar>
              <w:top w:type="dxa" w:w="80"/>
              <w:left w:type="dxa" w:w="100"/>
              <w:bottom w:type="dxa" w:w="80"/>
              <w:right w:type="dxa" w:w="100"/>
            </w:tcMar>
            <w:vAlign w:val="center"/>
          </w:tcPr>
          <w:p>
            <w:r>
              <w:rPr>
                <w:b/>
                <w:bCs/>
                <w:sz w:val="20"/>
                <w:szCs w:val="20"/>
              </w:rPr>
              <w:t xml:space="preserve">Rang (XGBoost)</w:t>
            </w:r>
          </w:p>
        </w:tc>
        <w:tc>
          <w:tcPr>
            <w:tcW w:type="dxa" w:w="1400"/>
            <w:shd w:fill="DCE6F1" w:val="clear"/>
            <w:tcMar>
              <w:top w:type="dxa" w:w="80"/>
              <w:left w:type="dxa" w:w="100"/>
              <w:bottom w:type="dxa" w:w="80"/>
              <w:right w:type="dxa" w:w="100"/>
            </w:tcMar>
            <w:vAlign w:val="center"/>
          </w:tcPr>
          <w:p>
            <w:r>
              <w:rPr>
                <w:b/>
                <w:bCs/>
                <w:sz w:val="20"/>
                <w:szCs w:val="20"/>
              </w:rPr>
              <w:t xml:space="preserve">Importance XGB</w:t>
            </w:r>
          </w:p>
        </w:tc>
      </w:tr>
      <w:tr>
        <w:tc>
          <w:tcPr>
            <w:tcW w:type="dxa" w:w="3200"/>
            <w:tcMar>
              <w:top w:type="dxa" w:w="80"/>
              <w:left w:type="dxa" w:w="100"/>
              <w:bottom w:type="dxa" w:w="80"/>
              <w:right w:type="dxa" w:w="100"/>
            </w:tcMar>
            <w:vAlign w:val="center"/>
          </w:tcPr>
          <w:p>
            <w:r>
              <w:rPr>
                <w:b w:val="false"/>
                <w:bCs w:val="false"/>
                <w:sz w:val="20"/>
                <w:szCs w:val="20"/>
              </w:rPr>
              <w:t xml:space="preserve">etf_2017 (7 features)</w:t>
            </w:r>
          </w:p>
        </w:tc>
        <w:tc>
          <w:tcPr>
            <w:tcW w:type="dxa" w:w="3000"/>
            <w:tcMar>
              <w:top w:type="dxa" w:w="80"/>
              <w:left w:type="dxa" w:w="100"/>
              <w:bottom w:type="dxa" w:w="80"/>
              <w:right w:type="dxa" w:w="100"/>
            </w:tcMar>
            <w:vAlign w:val="center"/>
          </w:tcPr>
          <w:p>
            <w:r>
              <w:rPr>
                <w:b w:val="false"/>
                <w:bCs w:val="false"/>
                <w:sz w:val="20"/>
                <w:szCs w:val="20"/>
              </w:rPr>
              <w:t xml:space="preserve">7 / 7 (dernier)</w:t>
            </w:r>
          </w:p>
        </w:tc>
        <w:tc>
          <w:tcPr>
            <w:tcW w:type="dxa" w:w="1400"/>
            <w:tcMar>
              <w:top w:type="dxa" w:w="80"/>
              <w:left w:type="dxa" w:w="100"/>
              <w:bottom w:type="dxa" w:w="80"/>
              <w:right w:type="dxa" w:w="100"/>
            </w:tcMar>
            <w:vAlign w:val="center"/>
          </w:tcPr>
          <w:p>
            <w:r>
              <w:rPr>
                <w:b w:val="false"/>
                <w:bCs w:val="false"/>
                <w:sz w:val="20"/>
                <w:szCs w:val="20"/>
              </w:rPr>
              <w:t xml:space="preserve">0,0048</w:t>
            </w:r>
          </w:p>
        </w:tc>
        <w:tc>
          <w:tcPr>
            <w:tcW w:type="dxa" w:w="1400"/>
            <w:tcMar>
              <w:top w:type="dxa" w:w="80"/>
              <w:left w:type="dxa" w:w="100"/>
              <w:bottom w:type="dxa" w:w="80"/>
              <w:right w:type="dxa" w:w="100"/>
            </w:tcMar>
            <w:vAlign w:val="center"/>
          </w:tcPr>
          <w:p>
            <w:r>
              <w:rPr>
                <w:b w:val="false"/>
                <w:bCs w:val="false"/>
                <w:sz w:val="20"/>
                <w:szCs w:val="20"/>
              </w:rPr>
              <w:t xml:space="preserve">5 / 7</w:t>
            </w:r>
          </w:p>
        </w:tc>
        <w:tc>
          <w:tcPr>
            <w:tcW w:type="dxa" w:w="1400"/>
            <w:tcMar>
              <w:top w:type="dxa" w:w="80"/>
              <w:left w:type="dxa" w:w="100"/>
              <w:bottom w:type="dxa" w:w="80"/>
              <w:right w:type="dxa" w:w="100"/>
            </w:tcMar>
            <w:vAlign w:val="center"/>
          </w:tcPr>
          <w:p>
            <w:r>
              <w:rPr>
                <w:b w:val="false"/>
                <w:bCs w:val="false"/>
                <w:sz w:val="20"/>
                <w:szCs w:val="20"/>
              </w:rPr>
              <w:t xml:space="preserve">0,1198</w:t>
            </w:r>
          </w:p>
        </w:tc>
      </w:tr>
      <w:tr>
        <w:tc>
          <w:tcPr>
            <w:tcW w:type="dxa" w:w="3200"/>
            <w:tcMar>
              <w:top w:type="dxa" w:w="80"/>
              <w:left w:type="dxa" w:w="100"/>
              <w:bottom w:type="dxa" w:w="80"/>
              <w:right w:type="dxa" w:w="100"/>
            </w:tcMar>
            <w:vAlign w:val="center"/>
          </w:tcPr>
          <w:p>
            <w:r>
              <w:rPr>
                <w:b w:val="false"/>
                <w:bCs w:val="false"/>
                <w:sz w:val="20"/>
                <w:szCs w:val="20"/>
              </w:rPr>
              <w:t xml:space="preserve">full_2021 (7 features)</w:t>
            </w:r>
          </w:p>
        </w:tc>
        <w:tc>
          <w:tcPr>
            <w:tcW w:type="dxa" w:w="3000"/>
            <w:tcMar>
              <w:top w:type="dxa" w:w="80"/>
              <w:left w:type="dxa" w:w="100"/>
              <w:bottom w:type="dxa" w:w="80"/>
              <w:right w:type="dxa" w:w="100"/>
            </w:tcMar>
            <w:vAlign w:val="center"/>
          </w:tcPr>
          <w:p>
            <w:r>
              <w:rPr>
                <w:b w:val="false"/>
                <w:bCs w:val="false"/>
                <w:sz w:val="20"/>
                <w:szCs w:val="20"/>
              </w:rPr>
              <w:t xml:space="preserve">7 / 7 (dernier)</w:t>
            </w:r>
          </w:p>
        </w:tc>
        <w:tc>
          <w:tcPr>
            <w:tcW w:type="dxa" w:w="1400"/>
            <w:tcMar>
              <w:top w:type="dxa" w:w="80"/>
              <w:left w:type="dxa" w:w="100"/>
              <w:bottom w:type="dxa" w:w="80"/>
              <w:right w:type="dxa" w:w="100"/>
            </w:tcMar>
            <w:vAlign w:val="center"/>
          </w:tcPr>
          <w:p>
            <w:r>
              <w:rPr>
                <w:b w:val="false"/>
                <w:bCs w:val="false"/>
                <w:sz w:val="20"/>
                <w:szCs w:val="20"/>
              </w:rPr>
              <w:t xml:space="preserve">0,0307</w:t>
            </w:r>
          </w:p>
        </w:tc>
        <w:tc>
          <w:tcPr>
            <w:tcW w:type="dxa" w:w="1400"/>
            <w:tcMar>
              <w:top w:type="dxa" w:w="80"/>
              <w:left w:type="dxa" w:w="100"/>
              <w:bottom w:type="dxa" w:w="80"/>
              <w:right w:type="dxa" w:w="100"/>
            </w:tcMar>
            <w:vAlign w:val="center"/>
          </w:tcPr>
          <w:p>
            <w:r>
              <w:rPr>
                <w:b w:val="false"/>
                <w:bCs w:val="false"/>
                <w:sz w:val="20"/>
                <w:szCs w:val="20"/>
              </w:rPr>
              <w:t xml:space="preserve">2 / 7</w:t>
            </w:r>
          </w:p>
        </w:tc>
        <w:tc>
          <w:tcPr>
            <w:tcW w:type="dxa" w:w="1400"/>
            <w:tcMar>
              <w:top w:type="dxa" w:w="80"/>
              <w:left w:type="dxa" w:w="100"/>
              <w:bottom w:type="dxa" w:w="80"/>
              <w:right w:type="dxa" w:w="100"/>
            </w:tcMar>
            <w:vAlign w:val="center"/>
          </w:tcPr>
          <w:p>
            <w:r>
              <w:rPr>
                <w:b w:val="false"/>
                <w:bCs w:val="false"/>
                <w:sz w:val="20"/>
                <w:szCs w:val="20"/>
              </w:rPr>
              <w:t xml:space="preserve">0,1467</w:t>
            </w:r>
          </w:p>
        </w:tc>
      </w:tr>
    </w:tbl>
    <w:p>
      <w:pPr>
        <w:spacing w:before="160"/>
      </w:pPr>
      <w:r>
        <w:t xml:space="preserve">Sur les deux univers, </w:t>
      </w:r>
      <w:r>
        <w:rPr>
          <w:rFonts w:ascii="Consolas" w:cs="Consolas" w:eastAsia="Consolas" w:hAnsi="Consolas"/>
          <w:color w:val="9C2FA6"/>
          <w:sz w:val="20"/>
          <w:szCs w:val="20"/>
        </w:rPr>
        <w:t xml:space="preserve">RandomForestRegressor</w:t>
      </w:r>
      <w:r>
        <w:t xml:space="preserve"> place </w:t>
      </w:r>
      <w:r>
        <w:rPr>
          <w:rFonts w:ascii="Consolas" w:cs="Consolas" w:eastAsia="Consolas" w:hAnsi="Consolas"/>
          <w:color w:val="9C2FA6"/>
          <w:sz w:val="20"/>
          <w:szCs w:val="20"/>
        </w:rPr>
        <w:t xml:space="preserve">REGIME_BULL_PROB</w:t>
      </w:r>
      <w:r>
        <w:t xml:space="preserve"> en </w:t>
      </w:r>
      <w:r>
        <w:rPr>
          <w:b/>
          <w:bCs/>
        </w:rPr>
        <w:t xml:space="preserve">dernière position</w:t>
      </w:r>
      <w:r>
        <w:t xml:space="preserve">, avec une importance quasi nulle (&lt; 3,1 %) — le modèle s'appuie presque exclusivement sur les features par actif (rendement glissant, volatilité, retour-à-la-moyenne). </w:t>
      </w:r>
      <w:r>
        <w:rPr>
          <w:rFonts w:ascii="Consolas" w:cs="Consolas" w:eastAsia="Consolas" w:hAnsi="Consolas"/>
          <w:color w:val="9C2FA6"/>
          <w:sz w:val="20"/>
          <w:szCs w:val="20"/>
        </w:rPr>
        <w:t xml:space="preserve">XGBRegressor</w:t>
      </w:r>
      <w:r>
        <w:t xml:space="preserve"> lui accorde en revanche un poids proche de l'uniforme (12–15 %, comparable au poids moyen de 1/7 ≈ 14,3 %) — ni ignoré, ni dominant. </w:t>
      </w:r>
      <w:r>
        <w:rPr>
          <w:b/>
          <w:bCs/>
        </w:rPr>
        <w:t xml:space="preserve">Conclusion honnête : </w:t>
      </w:r>
      <w:r>
        <w:t xml:space="preserve">la réclamation « conditionné au régime » n'est pas vide de sens pour XGBoost, mais elle ne l'est pratiquement pas pour RandomForest — un résultat à corriger dans une passe future plutôt qu'à ignorer.</w:t>
      </w:r>
    </w:p>
    <w:p>
      <w:pPr>
        <w:pStyle w:val="Heading2"/>
        <w:spacing w:after="120" w:before="240"/>
      </w:pPr>
      <w:r>
        <w:t xml:space="preserve">7.3 Synthèse</w:t>
      </w:r>
    </w:p>
    <w:p>
      <w:pPr>
        <w:pStyle w:val="ListParagraph"/>
        <w:numPr>
          <w:ilvl w:val="0"/>
          <w:numId w:val="2"/>
        </w:numPr>
        <w:spacing w:after="100"/>
      </w:pPr>
      <w:r>
        <w:rPr>
          <w:b/>
          <w:bCs/>
        </w:rPr>
        <w:t xml:space="preserve">etf_2017 : </w:t>
      </w:r>
      <w:r>
        <w:t xml:space="preserve">problème de qualité de signal, pas de coût — le signal brut n'apporte pas assez d'information sur cet univers déjà bien servi par un optimiseur simple (§7 de la Phase 4 avait déjà noté qu'il restait peu de mauvaise tarification à corriger).</w:t>
      </w:r>
    </w:p>
    <w:p>
      <w:pPr>
        <w:pStyle w:val="ListParagraph"/>
        <w:numPr>
          <w:ilvl w:val="0"/>
          <w:numId w:val="2"/>
        </w:numPr>
        <w:spacing w:after="100"/>
      </w:pPr>
      <w:r>
        <w:rPr>
          <w:b/>
          <w:bCs/>
        </w:rPr>
        <w:t xml:space="preserve">full_2021, rf_signal : </w:t>
      </w:r>
      <w:r>
        <w:t xml:space="preserve">problème de coût, pas de signal — le signal brut est bon, mais le turnover qu'il induit efface l'avantage net de coûts. Une piste directe pour une passe future : contraindre le turnover ou réduire la fréquence de rééquilibrage du signal.</w:t>
      </w:r>
    </w:p>
    <w:p>
      <w:pPr>
        <w:pStyle w:val="ListParagraph"/>
        <w:numPr>
          <w:ilvl w:val="0"/>
          <w:numId w:val="2"/>
        </w:numPr>
        <w:spacing w:after="100"/>
      </w:pPr>
      <w:r>
        <w:rPr>
          <w:b/>
          <w:bCs/>
        </w:rPr>
        <w:t xml:space="preserve">full_2021, xgb_signal : </w:t>
      </w:r>
      <w:r>
        <w:t xml:space="preserve">les deux problèmes cumulés — signal brut plus faible et turnover le plus élevé de la comparaison.</w:t>
      </w:r>
    </w:p>
    <w:p>
      <w:pPr>
        <w:pStyle w:val="Heading1"/>
        <w:spacing w:after="120" w:before="240"/>
      </w:pPr>
      <w:r>
        <w:t xml:space="preserve">8. Stratégie de test</w:t>
      </w:r>
    </w:p>
    <w:p>
      <w:pPr>
        <w:spacing w:after="160"/>
      </w:pPr>
      <w:r>
        <w:t xml:space="preserve">48 tests Phase 4B, hors-ligne et synthétiques (jamais sur les données Gold réelles — seul </w:t>
      </w:r>
      <w:r>
        <w:rPr>
          <w:rFonts w:ascii="Consolas" w:cs="Consolas" w:eastAsia="Consolas" w:hAnsi="Consolas"/>
          <w:color w:val="9C2FA6"/>
          <w:sz w:val="20"/>
          <w:szCs w:val="20"/>
        </w:rPr>
        <w:t xml:space="preserve">src/run_phase4b.py</w:t>
      </w:r>
      <w:r>
        <w:t xml:space="preserve"> exécuté manuellement l'est), nommés d'après la règle qu'ils verrouillent.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DCE6F1" w:val="clear"/>
            <w:tcMar>
              <w:top w:type="dxa" w:w="80"/>
              <w:left w:type="dxa" w:w="100"/>
              <w:bottom w:type="dxa" w:w="80"/>
              <w:right w:type="dxa" w:w="100"/>
            </w:tcMar>
            <w:vAlign w:val="center"/>
          </w:tcPr>
          <w:p>
            <w:r>
              <w:rPr>
                <w:b/>
                <w:bCs/>
                <w:sz w:val="20"/>
                <w:szCs w:val="20"/>
              </w:rPr>
              <w:t xml:space="preserve">Test (extrait)</w:t>
            </w:r>
          </w:p>
        </w:tc>
        <w:tc>
          <w:tcPr>
            <w:tcW w:type="dxa" w:w="4600"/>
            <w:shd w:fill="DCE6F1" w:val="clear"/>
            <w:tcMar>
              <w:top w:type="dxa" w:w="80"/>
              <w:left w:type="dxa" w:w="100"/>
              <w:bottom w:type="dxa" w:w="80"/>
              <w:right w:type="dxa" w:w="100"/>
            </w:tcMar>
            <w:vAlign w:val="center"/>
          </w:tcPr>
          <w:p>
            <w:r>
              <w:rPr>
                <w:b/>
                <w:bCs/>
                <w:sz w:val="20"/>
                <w:szCs w:val="20"/>
              </w:rPr>
              <w:t xml:space="preserve">Règle verrouillée</w:t>
            </w:r>
          </w:p>
        </w:tc>
      </w:tr>
      <w:tr>
        <w:tc>
          <w:tcPr>
            <w:tcW w:type="dxa" w:w="4200"/>
            <w:tcMar>
              <w:top w:type="dxa" w:w="80"/>
              <w:left w:type="dxa" w:w="100"/>
              <w:bottom w:type="dxa" w:w="80"/>
              <w:right w:type="dxa" w:w="100"/>
            </w:tcMar>
            <w:vAlign w:val="center"/>
          </w:tcPr>
          <w:p>
            <w:r>
              <w:t xml:space="preserve">test_last_date_excluded_even_if_log_returns_extends_past_the_panel</w:t>
            </w:r>
          </w:p>
        </w:tc>
        <w:tc>
          <w:tcPr>
            <w:tcW w:type="dxa" w:w="4600"/>
            <w:tcMar>
              <w:top w:type="dxa" w:w="80"/>
              <w:left w:type="dxa" w:w="100"/>
              <w:bottom w:type="dxa" w:w="80"/>
              <w:right w:type="dxa" w:w="100"/>
            </w:tcMar>
            <w:vAlign w:val="center"/>
          </w:tcPr>
          <w:p>
            <w:r>
              <w:t xml:space="preserve">La dernière date τ est exclue de l'entraînement par sa DATE, jamais par un filtre de NaN qui pourrait être contourné.</w:t>
            </w:r>
          </w:p>
        </w:tc>
      </w:tr>
      <w:tr>
        <w:tc>
          <w:tcPr>
            <w:tcW w:type="dxa" w:w="4200"/>
            <w:tcMar>
              <w:top w:type="dxa" w:w="80"/>
              <w:left w:type="dxa" w:w="100"/>
              <w:bottom w:type="dxa" w:w="80"/>
              <w:right w:type="dxa" w:w="100"/>
            </w:tcMar>
            <w:vAlign w:val="center"/>
          </w:tcPr>
          <w:p>
            <w:r>
              <w:t xml:space="preserve">test_future_return_corruption_cannot_change_past_weights (paramétré sur les 2 stratégies)</w:t>
            </w:r>
          </w:p>
        </w:tc>
        <w:tc>
          <w:tcPr>
            <w:tcW w:type="dxa" w:w="4600"/>
            <w:tcMar>
              <w:top w:type="dxa" w:w="80"/>
              <w:left w:type="dxa" w:w="100"/>
              <w:bottom w:type="dxa" w:w="80"/>
              <w:right w:type="dxa" w:w="100"/>
            </w:tcMar>
            <w:vAlign w:val="center"/>
          </w:tcPr>
          <w:p>
            <w:r>
              <w:t xml:space="preserve">Intégration bout-en-bout : corrompre le futur de log_returns ne bouge aucun poids passé — preuve que la construction des LABELS, pas seulement des features, ne fuit pas.</w:t>
            </w:r>
          </w:p>
        </w:tc>
      </w:tr>
      <w:tr>
        <w:tc>
          <w:tcPr>
            <w:tcW w:type="dxa" w:w="4200"/>
            <w:tcMar>
              <w:top w:type="dxa" w:w="80"/>
              <w:left w:type="dxa" w:w="100"/>
              <w:bottom w:type="dxa" w:w="80"/>
              <w:right w:type="dxa" w:w="100"/>
            </w:tcMar>
            <w:vAlign w:val="center"/>
          </w:tcPr>
          <w:p>
            <w:r>
              <w:t xml:space="preserve">test_unknown_model_type_falls_back_rather_than_raising</w:t>
            </w:r>
          </w:p>
        </w:tc>
        <w:tc>
          <w:tcPr>
            <w:tcW w:type="dxa" w:w="4600"/>
            <w:tcMar>
              <w:top w:type="dxa" w:w="80"/>
              <w:left w:type="dxa" w:w="100"/>
              <w:bottom w:type="dxa" w:w="80"/>
              <w:right w:type="dxa" w:w="100"/>
            </w:tcMar>
            <w:vAlign w:val="center"/>
          </w:tcPr>
          <w:p>
            <w:r>
              <w:t xml:space="preserve">Un model_type invalide dégrade proprement (moyenne naïve + avertissement), ne plante jamais le backtest.</w:t>
            </w:r>
          </w:p>
        </w:tc>
      </w:tr>
      <w:tr>
        <w:tc>
          <w:tcPr>
            <w:tcW w:type="dxa" w:w="4200"/>
            <w:tcMar>
              <w:top w:type="dxa" w:w="80"/>
              <w:left w:type="dxa" w:w="100"/>
              <w:bottom w:type="dxa" w:w="80"/>
              <w:right w:type="dxa" w:w="100"/>
            </w:tcMar>
            <w:vAlign w:val="center"/>
          </w:tcPr>
          <w:p>
            <w:r>
              <w:t xml:space="preserve">test_output_indexed_exactly_by_train_returns_columns (RF + XGBoost)</w:t>
            </w:r>
          </w:p>
        </w:tc>
        <w:tc>
          <w:tcPr>
            <w:tcW w:type="dxa" w:w="4600"/>
            <w:tcMar>
              <w:top w:type="dxa" w:w="80"/>
              <w:left w:type="dxa" w:w="100"/>
              <w:bottom w:type="dxa" w:w="80"/>
              <w:right w:type="dxa" w:w="100"/>
            </w:tcMar>
            <w:vAlign w:val="center"/>
          </w:tcPr>
          <w:p>
            <w:r>
              <w:t xml:space="preserve">La prédiction respecte exactement le contrat d'index que _optimize_weights exige pour mu.</w:t>
            </w:r>
          </w:p>
        </w:tc>
      </w:tr>
      <w:tr>
        <w:tc>
          <w:tcPr>
            <w:tcW w:type="dxa" w:w="4200"/>
            <w:tcMar>
              <w:top w:type="dxa" w:w="80"/>
              <w:left w:type="dxa" w:w="100"/>
              <w:bottom w:type="dxa" w:w="80"/>
              <w:right w:type="dxa" w:w="100"/>
            </w:tcMar>
            <w:vAlign w:val="center"/>
          </w:tcPr>
          <w:p>
            <w:r>
              <w:t xml:space="preserve">test_works_with_regime_conditioning_enabled (RF + XGBoost)</w:t>
            </w:r>
          </w:p>
        </w:tc>
        <w:tc>
          <w:tcPr>
            <w:tcW w:type="dxa" w:w="4600"/>
            <w:tcMar>
              <w:top w:type="dxa" w:w="80"/>
              <w:left w:type="dxa" w:w="100"/>
              <w:bottom w:type="dxa" w:w="80"/>
              <w:right w:type="dxa" w:w="100"/>
            </w:tcMar>
            <w:vAlign w:val="center"/>
          </w:tcPr>
          <w:p>
            <w:r>
              <w:t xml:space="preserve">Le rattachement de la feature de régime ne casse pas le pipeline pour l'un ou l'autre modèle.</w:t>
            </w:r>
          </w:p>
        </w:tc>
      </w:tr>
      <w:tr>
        <w:tc>
          <w:tcPr>
            <w:tcW w:type="dxa" w:w="4200"/>
            <w:tcMar>
              <w:top w:type="dxa" w:w="80"/>
              <w:left w:type="dxa" w:w="100"/>
              <w:bottom w:type="dxa" w:w="80"/>
              <w:right w:type="dxa" w:w="100"/>
            </w:tcMar>
            <w:vAlign w:val="center"/>
          </w:tcPr>
          <w:p>
            <w:r>
              <w:t xml:space="preserve">ALL_STRATEGIES (test_strategies.py, extension)</w:t>
            </w:r>
          </w:p>
        </w:tc>
        <w:tc>
          <w:tcPr>
            <w:tcW w:type="dxa" w:w="4600"/>
            <w:tcMar>
              <w:top w:type="dxa" w:w="80"/>
              <w:left w:type="dxa" w:w="100"/>
              <w:bottom w:type="dxa" w:w="80"/>
              <w:right w:type="dxa" w:w="100"/>
            </w:tcMar>
            <w:vAlign w:val="center"/>
          </w:tcPr>
          <w:p>
            <w:r>
              <w:t xml:space="preserve">Couverture gratuite pour les 2 nouvelles stratégies : somme à 1, pas de poids négatif, plafond respecté, extras acceptés et ignorés.</w:t>
            </w:r>
          </w:p>
        </w:tc>
      </w:tr>
    </w:tbl>
    <w:p>
      <w:pPr>
        <w:spacing w:before="160"/>
      </w:pPr>
      <w:r>
        <w:t xml:space="preserve">L'intégration continue (GitHub Actions) exécute la suite complète (213 tests) sur machine vierge à chaque push et pull request.</w:t>
      </w:r>
    </w:p>
    <w:p>
      <w:pPr>
        <w:pStyle w:val="Heading1"/>
        <w:spacing w:after="120" w:before="240"/>
      </w:pPr>
      <w:r>
        <w:t xml:space="preserve">9. Limitations connues et réserves</w:t>
      </w:r>
    </w:p>
    <w:p>
      <w:pPr>
        <w:pStyle w:val="ListParagraph"/>
        <w:numPr>
          <w:ilvl w:val="0"/>
          <w:numId w:val="2"/>
        </w:numPr>
        <w:spacing w:after="100"/>
      </w:pPr>
      <w:r>
        <w:rPr>
          <w:b/>
          <w:bCs/>
        </w:rPr>
        <w:t xml:space="preserve">Résultat négatif, non résolu dans cette passe.</w:t>
      </w:r>
      <w:r>
        <w:t xml:space="preserve"> Ni rf_signal ni xgb_signal ne bat sa haie — un fait à porter dans tout livrable, pas à minimiser.</w:t>
      </w:r>
    </w:p>
    <w:p>
      <w:pPr>
        <w:pStyle w:val="ListParagraph"/>
        <w:numPr>
          <w:ilvl w:val="0"/>
          <w:numId w:val="2"/>
        </w:numPr>
        <w:spacing w:after="100"/>
      </w:pPr>
      <w:r>
        <w:rPr>
          <w:b/>
          <w:bCs/>
        </w:rPr>
        <w:t xml:space="preserve">LSTM non exécuté dans cette comparaison.</w:t>
      </w:r>
      <w:r>
        <w:t xml:space="preserve"> Construit, testé standalone (10 tests verts), retiré après un conflit d'environnement torch/xgboost — reporté, pas abandonné (§5.4).</w:t>
      </w:r>
    </w:p>
    <w:p>
      <w:pPr>
        <w:pStyle w:val="ListParagraph"/>
        <w:numPr>
          <w:ilvl w:val="0"/>
          <w:numId w:val="2"/>
        </w:numPr>
        <w:spacing w:after="100"/>
      </w:pPr>
      <w:r>
        <w:rPr>
          <w:b/>
          <w:bCs/>
        </w:rPr>
        <w:t xml:space="preserve">Régime comme une seule feature, pas deux sous-modèles dispatchés.</w:t>
      </w:r>
      <w:r>
        <w:t xml:space="preserve"> §7.2 montre que RandomForest s'appuie très peu sur cette feature — un choix de conception dont l'effet est désormais mesuré, pas seulement supposé.</w:t>
      </w:r>
    </w:p>
    <w:p>
      <w:pPr>
        <w:pStyle w:val="ListParagraph"/>
        <w:numPr>
          <w:ilvl w:val="0"/>
          <w:numId w:val="2"/>
        </w:numPr>
        <w:spacing w:after="100"/>
      </w:pPr>
      <w:r>
        <w:rPr>
          <w:b/>
          <w:bCs/>
        </w:rPr>
        <w:t xml:space="preserve">Covariance fixée à Ledoit-Wolf pour les deux stratégies F7.</w:t>
      </w:r>
      <w:r>
        <w:t xml:space="preserve"> Combiner un bon mu avec la covariance dynamique de DCC-GARCH est un échelon orthogonal déjà résolu, non construit dans cette passe.</w:t>
      </w:r>
    </w:p>
    <w:p>
      <w:pPr>
        <w:pStyle w:val="ListParagraph"/>
        <w:numPr>
          <w:ilvl w:val="0"/>
          <w:numId w:val="2"/>
        </w:numPr>
        <w:spacing w:after="100"/>
      </w:pPr>
      <w:r>
        <w:rPr>
          <w:b/>
          <w:bCs/>
        </w:rPr>
        <w:t xml:space="preserve">DSR utilise n_trials=9 au sein de CE run</w:t>
      </w:r>
      <w:r>
        <w:t xml:space="preserve"> ; il ne cumule pas encore les stratégies essayées lors de sessions passées — limitation héritée, décision reportée à la Phase 5.</w:t>
      </w:r>
    </w:p>
    <w:p>
      <w:pPr>
        <w:pStyle w:val="ListParagraph"/>
        <w:numPr>
          <w:ilvl w:val="0"/>
          <w:numId w:val="2"/>
        </w:numPr>
        <w:spacing w:after="100"/>
      </w:pPr>
      <w:r>
        <w:rPr>
          <w:b/>
          <w:bCs/>
        </w:rPr>
        <w:t xml:space="preserve">Hyperparamètres non ajustés.</w:t>
      </w:r>
      <w:r>
        <w:t xml:space="preserve"> n_estimators, max_depth, learning_rate viennent des valeurs par défaut de params.yaml, jamais optimisés contre ce résultat out-of-sample précis — la validation croisée purgée de la Phase 5 est l'endroit naturel pour le faire correctement.</w:t>
      </w:r>
    </w:p>
    <w:p>
      <w:pPr>
        <w:pStyle w:val="Heading1"/>
        <w:spacing w:after="120" w:before="240"/>
      </w:pPr>
      <w:r>
        <w:t xml:space="preserve">10. Traçabilité P1–P4</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300"/>
      </w:tblGrid>
      <w:tr>
        <w:trPr>
          <w:tblHeader/>
        </w:trPr>
        <w:tc>
          <w:tcPr>
            <w:tcW w:type="dxa" w:w="900"/>
            <w:shd w:fill="DCE6F1" w:val="clear"/>
            <w:tcMar>
              <w:top w:type="dxa" w:w="80"/>
              <w:left w:type="dxa" w:w="100"/>
              <w:bottom w:type="dxa" w:w="80"/>
              <w:right w:type="dxa" w:w="100"/>
            </w:tcMar>
            <w:vAlign w:val="center"/>
          </w:tcPr>
          <w:p>
            <w:r>
              <w:rPr>
                <w:b/>
                <w:bCs/>
                <w:sz w:val="20"/>
                <w:szCs w:val="20"/>
              </w:rPr>
              <w:t xml:space="preserve">Pb.</w:t>
            </w:r>
          </w:p>
        </w:tc>
        <w:tc>
          <w:tcPr>
            <w:tcW w:type="dxa" w:w="3600"/>
            <w:shd w:fill="DCE6F1" w:val="clear"/>
            <w:tcMar>
              <w:top w:type="dxa" w:w="80"/>
              <w:left w:type="dxa" w:w="100"/>
              <w:bottom w:type="dxa" w:w="80"/>
              <w:right w:type="dxa" w:w="100"/>
            </w:tcMar>
            <w:vAlign w:val="center"/>
          </w:tcPr>
          <w:p>
            <w:r>
              <w:rPr>
                <w:b/>
                <w:bCs/>
                <w:sz w:val="20"/>
                <w:szCs w:val="20"/>
              </w:rPr>
              <w:t xml:space="preserve">Composants Phase 4B</w:t>
            </w:r>
          </w:p>
        </w:tc>
        <w:tc>
          <w:tcPr>
            <w:tcW w:type="dxa" w:w="3300"/>
            <w:shd w:fill="DCE6F1" w:val="clear"/>
            <w:tcMar>
              <w:top w:type="dxa" w:w="80"/>
              <w:left w:type="dxa" w:w="100"/>
              <w:bottom w:type="dxa" w:w="80"/>
              <w:right w:type="dxa" w:w="100"/>
            </w:tcMar>
            <w:vAlign w:val="center"/>
          </w:tcPr>
          <w:p>
            <w:r>
              <w:rPr>
                <w:b/>
                <w:bCs/>
                <w:sz w:val="20"/>
                <w:szCs w:val="20"/>
              </w:rPr>
              <w:t xml:space="preserve">Mécanisme</w:t>
            </w:r>
          </w:p>
        </w:tc>
      </w:tr>
      <w:tr>
        <w:tc>
          <w:tcPr>
            <w:tcW w:type="dxa" w:w="900"/>
            <w:tcMar>
              <w:top w:type="dxa" w:w="80"/>
              <w:left w:type="dxa" w:w="100"/>
              <w:bottom w:type="dxa" w:w="80"/>
              <w:right w:type="dxa" w:w="100"/>
            </w:tcMar>
            <w:vAlign w:val="center"/>
          </w:tcPr>
          <w:p>
            <w:r>
              <w:t xml:space="preserve">P1</w:t>
            </w:r>
          </w:p>
        </w:tc>
        <w:tc>
          <w:tcPr>
            <w:tcW w:type="dxa" w:w="3600"/>
            <w:tcMar>
              <w:top w:type="dxa" w:w="80"/>
              <w:left w:type="dxa" w:w="100"/>
              <w:bottom w:type="dxa" w:w="80"/>
              <w:right w:type="dxa" w:w="100"/>
            </w:tcMar>
            <w:vAlign w:val="center"/>
          </w:tcPr>
          <w:p>
            <w:r>
              <w:t xml:space="preserve">RandomForestSignalStrategy, XGBoostSignalStrategy</w:t>
            </w:r>
          </w:p>
        </w:tc>
        <w:tc>
          <w:tcPr>
            <w:tcW w:type="dxa" w:w="3300"/>
            <w:tcMar>
              <w:top w:type="dxa" w:w="80"/>
              <w:left w:type="dxa" w:w="100"/>
              <w:bottom w:type="dxa" w:w="80"/>
              <w:right w:type="dxa" w:w="100"/>
            </w:tcMar>
            <w:vAlign w:val="center"/>
          </w:tcPr>
          <w:p>
            <w:r>
              <w:t xml:space="preserve">mu prédit remplace la moyenne d'échantillon naïve dans l'objectif de Sharpe déjà utilisé par MaxSharpe — mesuré comme un échec net de coûts sur les deux univers (§6), pas supposé être un gain.</w:t>
            </w:r>
          </w:p>
        </w:tc>
      </w:tr>
      <w:tr>
        <w:tc>
          <w:tcPr>
            <w:tcW w:type="dxa" w:w="900"/>
            <w:tcMar>
              <w:top w:type="dxa" w:w="80"/>
              <w:left w:type="dxa" w:w="100"/>
              <w:bottom w:type="dxa" w:w="80"/>
              <w:right w:type="dxa" w:w="100"/>
            </w:tcMar>
            <w:vAlign w:val="center"/>
          </w:tcPr>
          <w:p>
            <w:r>
              <w:t xml:space="preserve">P2</w:t>
            </w:r>
          </w:p>
        </w:tc>
        <w:tc>
          <w:tcPr>
            <w:tcW w:type="dxa" w:w="3600"/>
            <w:tcMar>
              <w:top w:type="dxa" w:w="80"/>
              <w:left w:type="dxa" w:w="100"/>
              <w:bottom w:type="dxa" w:w="80"/>
              <w:right w:type="dxa" w:w="100"/>
            </w:tcMar>
            <w:vAlign w:val="center"/>
          </w:tcPr>
          <w:p>
            <w:r>
              <w:t xml:space="preserve">attach_regime_feature, panel par actif</w:t>
            </w:r>
          </w:p>
        </w:tc>
        <w:tc>
          <w:tcPr>
            <w:tcW w:type="dxa" w:w="3300"/>
            <w:tcMar>
              <w:top w:type="dxa" w:w="80"/>
              <w:left w:type="dxa" w:w="100"/>
              <w:bottom w:type="dxa" w:w="80"/>
              <w:right w:type="dxa" w:w="100"/>
            </w:tcMar>
            <w:vAlign w:val="center"/>
          </w:tcPr>
          <w:p>
            <w:r>
              <w:t xml:space="preserve">Le modèle conditionne sur le régime détecté et des features glissantes plutôt qu'une distribution statique — l'usage réel de cette conditionnalité est vérifié, pas affirmé (§7.2).</w:t>
            </w:r>
          </w:p>
        </w:tc>
      </w:tr>
      <w:tr>
        <w:tc>
          <w:tcPr>
            <w:tcW w:type="dxa" w:w="900"/>
            <w:tcMar>
              <w:top w:type="dxa" w:w="80"/>
              <w:left w:type="dxa" w:w="100"/>
              <w:bottom w:type="dxa" w:w="80"/>
              <w:right w:type="dxa" w:w="100"/>
            </w:tcMar>
            <w:vAlign w:val="center"/>
          </w:tcPr>
          <w:p>
            <w:r>
              <w:t xml:space="preserve">P3</w:t>
            </w:r>
          </w:p>
        </w:tc>
        <w:tc>
          <w:tcPr>
            <w:tcW w:type="dxa" w:w="3600"/>
            <w:tcMar>
              <w:top w:type="dxa" w:w="80"/>
              <w:left w:type="dxa" w:w="100"/>
              <w:bottom w:type="dxa" w:w="80"/>
              <w:right w:type="dxa" w:w="100"/>
            </w:tcMar>
            <w:vAlign w:val="center"/>
          </w:tcPr>
          <w:p>
            <w:r>
              <w:t xml:space="preserve">melt_to_panel (panel groupé)</w:t>
            </w:r>
          </w:p>
        </w:tc>
        <w:tc>
          <w:tcPr>
            <w:tcW w:type="dxa" w:w="3300"/>
            <w:tcMar>
              <w:top w:type="dxa" w:w="80"/>
              <w:left w:type="dxa" w:w="100"/>
              <w:bottom w:type="dxa" w:w="80"/>
              <w:right w:type="dxa" w:w="100"/>
            </w:tcMar>
            <w:vAlign w:val="center"/>
          </w:tcPr>
          <w:p>
            <w:r>
              <w:t xml:space="preserve">Tous les actifs partagent un seul modèle entraîné, multipliant les lignes effectives par le nombre d'actifs — la réponse directe à l'historique court de full_2021.</w:t>
            </w:r>
          </w:p>
        </w:tc>
      </w:tr>
      <w:tr>
        <w:tc>
          <w:tcPr>
            <w:tcW w:type="dxa" w:w="900"/>
            <w:tcMar>
              <w:top w:type="dxa" w:w="80"/>
              <w:left w:type="dxa" w:w="100"/>
              <w:bottom w:type="dxa" w:w="80"/>
              <w:right w:type="dxa" w:w="100"/>
            </w:tcMar>
            <w:vAlign w:val="center"/>
          </w:tcPr>
          <w:p>
            <w:r>
              <w:t xml:space="preserve">P4</w:t>
            </w:r>
          </w:p>
        </w:tc>
        <w:tc>
          <w:tcPr>
            <w:tcW w:type="dxa" w:w="3600"/>
            <w:tcMar>
              <w:top w:type="dxa" w:w="80"/>
              <w:left w:type="dxa" w:w="100"/>
              <w:bottom w:type="dxa" w:w="80"/>
              <w:right w:type="dxa" w:w="100"/>
            </w:tcMar>
            <w:vAlign w:val="center"/>
          </w:tcPr>
          <w:p>
            <w:r>
              <w:t xml:space="preserve">Interface Strategy inchangée, canal extras, DSR à réserve d'essais partagée, test_phase4b_integration.py</w:t>
            </w:r>
          </w:p>
        </w:tc>
        <w:tc>
          <w:tcPr>
            <w:tcW w:type="dxa" w:w="3300"/>
            <w:tcMar>
              <w:top w:type="dxa" w:w="80"/>
              <w:left w:type="dxa" w:w="100"/>
              <w:bottom w:type="dxa" w:w="80"/>
              <w:right w:type="dxa" w:w="100"/>
            </w:tcMar>
            <w:vAlign w:val="center"/>
          </w:tcPr>
          <w:p>
            <w:r>
              <w:t xml:space="preserve">Aucune modification du moteur ; preuve bout-en-bout que la construction des LABELS (pas seulement les features) ne fuit pas ; 9 stratégies comparées dans la même passe pour une DSR honnête.</w:t>
            </w:r>
          </w:p>
        </w:tc>
      </w:tr>
    </w:tbl>
    <w:p>
      <w:pPr>
        <w:pStyle w:val="Heading1"/>
        <w:spacing w:after="120" w:before="240"/>
      </w:pPr>
      <w:r>
        <w:t xml:space="preserve">11. Transition vers la Phase 5</w:t>
      </w:r>
    </w:p>
    <w:p>
      <w:pPr>
        <w:spacing w:after="160"/>
      </w:pPr>
      <w:r>
        <w:t xml:space="preserve">F7 laisse une infrastructure prouvée — panel de features causales, construction de labels sans fuite, deux modèles branchés sur le moteur inchangé — mais un résultat de performance qui ne clarifie pas encore si le signal a de la valeur. Trois pistes concrètes ressortent de l'investigation (§7), à traiter dans une passe future plutôt que dans cette Phase 4B :</w:t>
      </w:r>
    </w:p>
    <w:p>
      <w:pPr>
        <w:pStyle w:val="ListParagraph"/>
        <w:numPr>
          <w:ilvl w:val="0"/>
          <w:numId w:val="2"/>
        </w:numPr>
        <w:spacing w:after="100"/>
      </w:pPr>
      <w:r>
        <w:t xml:space="preserve">Contraindre ou pénaliser le turnover du signal prédit pour </w:t>
      </w:r>
      <w:r>
        <w:rPr>
          <w:rFonts w:ascii="Consolas" w:cs="Consolas" w:eastAsia="Consolas" w:hAnsi="Consolas"/>
          <w:color w:val="9C2FA6"/>
          <w:sz w:val="20"/>
          <w:szCs w:val="20"/>
        </w:rPr>
        <w:t xml:space="preserve">rf_signal</w:t>
      </w:r>
      <w:r>
        <w:t xml:space="preserve"> sur </w:t>
      </w:r>
      <w:r>
        <w:rPr>
          <w:rFonts w:ascii="Consolas" w:cs="Consolas" w:eastAsia="Consolas" w:hAnsi="Consolas"/>
          <w:color w:val="9C2FA6"/>
          <w:sz w:val="20"/>
          <w:szCs w:val="20"/>
        </w:rPr>
        <w:t xml:space="preserve">full_2021</w:t>
      </w:r>
      <w:r>
        <w:t xml:space="preserve">, où le signal brut est déjà meilleur que la haie — la piste la plus directement actionnable.</w:t>
      </w:r>
    </w:p>
    <w:p>
      <w:pPr>
        <w:pStyle w:val="ListParagraph"/>
        <w:numPr>
          <w:ilvl w:val="0"/>
          <w:numId w:val="2"/>
        </w:numPr>
        <w:spacing w:after="100"/>
      </w:pPr>
      <w:r>
        <w:t xml:space="preserve">Ajuster les hyperparamètres via la validation croisée K-Fold purgée de la Phase 5, plutôt que les valeurs par défaut jamais optimisées de cette passe.</w:t>
      </w:r>
    </w:p>
    <w:p>
      <w:pPr>
        <w:pStyle w:val="ListParagraph"/>
        <w:numPr>
          <w:ilvl w:val="0"/>
          <w:numId w:val="2"/>
        </w:numPr>
        <w:spacing w:after="100"/>
      </w:pPr>
      <w:r>
        <w:t xml:space="preserve">Réexécuter LSTM sur un environnement où torch et xgboost coexistent sans conflit — le code de base existe déjà en historique git, prêt à être réintroduit.</w:t>
      </w:r>
    </w:p>
    <w:p>
      <w:pPr>
        <w:spacing w:before="160"/>
      </w:pPr>
      <w:r>
        <w:t xml:space="preserve">La question centrale de la Phase 5 reste inchangée depuis la Phase 4 : les résultats survivent-ils à une sélection d'hyperparamètres purgée, ou sont-ils en partie un artefact de sélection sur un seul découpage walk-forward ? Le résultat négatif de F7 est, en un sens, une preuve supplémentaire que le projet ne cherche pas à forcer un résultat positif — l'honnêteté du résultat est elle-même une donnée pour la Phase 5.</w:t>
      </w:r>
    </w:p>
    <w:p>
      <w:pPr>
        <w:pStyle w:val="Heading1"/>
        <w:spacing w:after="120" w:before="240"/>
      </w:pPr>
      <w:r>
        <w:t xml:space="preserve">Annexe — Commandes de référence</w:t>
      </w:r>
    </w:p>
    <w:p>
      <w:pPr>
        <w:shd w:fill="F2F2F2" w:val="clear"/>
        <w:spacing w:after="0" w:before="0"/>
      </w:pPr>
      <w:r>
        <w:rPr>
          <w:rFonts w:ascii="Consolas" w:cs="Consolas" w:eastAsia="Consolas" w:hAnsi="Consolas"/>
          <w:color w:val="333333"/>
          <w:sz w:val="18"/>
          <w:szCs w:val="18"/>
        </w:rPr>
        <w:t xml:space="preserve">python src/run_phase4b.py   # compare 9 strategies x 2 univers</w:t>
      </w:r>
    </w:p>
    <w:p>
      <w:pPr>
        <w:shd w:fill="F2F2F2" w:val="clear"/>
        <w:spacing w:after="0" w:before="0"/>
      </w:pPr>
      <w:r>
        <w:rPr>
          <w:rFonts w:ascii="Consolas" w:cs="Consolas" w:eastAsia="Consolas" w:hAnsi="Consolas"/>
          <w:color w:val="333333"/>
          <w:sz w:val="18"/>
          <w:szCs w:val="18"/>
        </w:rPr>
        <w:t xml:space="preserve">pytest tests/test_ml_signals.py tests/test_phase4b_integration.py \</w:t>
      </w:r>
    </w:p>
    <w:p>
      <w:pPr>
        <w:shd w:fill="F2F2F2" w:val="clear"/>
        <w:spacing w:after="0" w:before="0"/>
      </w:pPr>
      <w:r>
        <w:rPr>
          <w:rFonts w:ascii="Consolas" w:cs="Consolas" w:eastAsia="Consolas" w:hAnsi="Consolas"/>
          <w:color w:val="333333"/>
          <w:sz w:val="18"/>
          <w:szCs w:val="18"/>
        </w:rPr>
        <w:t xml:space="preserve">       tests/test_run_phase4b.py -q</w:t>
      </w:r>
    </w:p>
    <w:p>
      <w:pPr>
        <w:shd w:fill="F2F2F2" w:val="clear"/>
        <w:spacing w:after="0" w:before="0"/>
      </w:pPr>
      <w:r>
        <w:rPr>
          <w:rFonts w:ascii="Consolas" w:cs="Consolas" w:eastAsia="Consolas" w:hAnsi="Consolas"/>
          <w:color w:val="333333"/>
          <w:sz w:val="18"/>
          <w:szCs w:val="18"/>
        </w:rPr>
        <w:t xml:space="preserve">jupyter notebook notebooks/phase4b_adaptive_ml_signals.ipynb</w:t>
      </w:r>
    </w:p>
    <w:p>
      <w:pPr>
        <w:shd w:fill="F2F2F2" w:val="clear"/>
        <w:spacing w:after="160" w:before="0"/>
      </w:pPr>
      <w:r>
        <w:rPr>
          <w:rFonts w:ascii="Consolas" w:cs="Consolas" w:eastAsia="Consolas" w:hAnsi="Consolas"/>
          <w:color w:val="333333"/>
          <w:sz w:val="18"/>
          <w:szCs w:val="18"/>
        </w:rPr>
        <w:t xml:space="preserve">dvc repro phase4b_compare   # regenere l'etape si une dependance change</w:t>
      </w:r>
    </w:p>
    <w:p>
      <w:pPr>
        <w:pStyle w:val="Heading1"/>
        <w:spacing w:after="120" w:before="240"/>
      </w:pPr>
      <w:r>
        <w:t xml:space="preserve">Références</w:t>
      </w:r>
    </w:p>
    <w:p>
      <w:pPr>
        <w:pStyle w:val="ListParagraph"/>
        <w:numPr>
          <w:ilvl w:val="0"/>
          <w:numId w:val="2"/>
        </w:numPr>
        <w:spacing w:after="100"/>
      </w:pPr>
      <w:r>
        <w:t xml:space="preserve">Breiman, L. (2001). Random Forests. Machine Learning.</w:t>
      </w:r>
    </w:p>
    <w:p>
      <w:pPr>
        <w:pStyle w:val="ListParagraph"/>
        <w:numPr>
          <w:ilvl w:val="0"/>
          <w:numId w:val="2"/>
        </w:numPr>
        <w:spacing w:after="100"/>
      </w:pPr>
      <w:r>
        <w:t xml:space="preserve">Chen, T. &amp; Guestrin, C. (2016). XGBoost: A Scalable Tree Boosting System. KDD.</w:t>
      </w:r>
    </w:p>
    <w:p>
      <w:pPr>
        <w:pStyle w:val="ListParagraph"/>
        <w:numPr>
          <w:ilvl w:val="0"/>
          <w:numId w:val="2"/>
        </w:numPr>
        <w:spacing w:after="100"/>
      </w:pPr>
      <w:r>
        <w:t xml:space="preserve">Ledoit, O. &amp; Wolf, M. (2004). A Well-Conditioned Estimator for Large-Dimensional Covariance Matrices.</w:t>
      </w:r>
    </w:p>
    <w:p>
      <w:pPr>
        <w:pStyle w:val="ListParagraph"/>
        <w:numPr>
          <w:ilvl w:val="0"/>
          <w:numId w:val="2"/>
        </w:numPr>
        <w:spacing w:after="100"/>
      </w:pPr>
      <w:r>
        <w:t xml:space="preserve">López de Prado, M. (2018). Advances in Financial Machine Learning. Wiley — Deflated Sharpe Ratio.</w:t>
      </w:r>
    </w:p>
    <w:p>
      <w:pPr>
        <w:pStyle w:val="ListParagraph"/>
        <w:numPr>
          <w:ilvl w:val="0"/>
          <w:numId w:val="2"/>
        </w:numPr>
        <w:spacing w:after="100"/>
      </w:pPr>
      <w:r>
        <w:t xml:space="preserve">Gu, S., Kelly, B. &amp; Xiu, D. (2020). Empirical Asset Pricing via Machine Learning. Review of Financial Studies — modélisation cross-sectionnelle groupée du rendement, la justification académique du choix §5.3.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EURAFRIC Information — PFA INPT — Page </w:t>
    </w:r>
    <w:r>
      <w:rPr>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Phase 4B — Modèles de Signal ML Adaptatifs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8"/>
      <w:szCs w:val="28"/>
    </w:rPr>
  </w:style>
  <w:style w:type="paragraph" w:styleId="Heading2">
    <w:name w:val="Heading 2"/>
    <w:basedOn w:val="Normal"/>
    <w:next w:val="Normal"/>
    <w:qFormat/>
    <w:pPr>
      <w:spacing w:after="120" w:before="24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Phase 4B — Modèles de Signal ML Adaptatifs</dc:title>
  <dc:creator>Souhail Bourhim</dc:creator>
  <cp:lastModifiedBy>Un-named</cp:lastModifiedBy>
  <cp:revision>1</cp:revision>
  <dcterms:created xsi:type="dcterms:W3CDTF">2026-07-21T18:29:02.833Z</dcterms:created>
  <dcterms:modified xsi:type="dcterms:W3CDTF">2026-07-21T18:29:02.841Z</dcterms:modified>
</cp:coreProperties>
</file>

<file path=docProps/custom.xml><?xml version="1.0" encoding="utf-8"?>
<Properties xmlns="http://schemas.openxmlformats.org/officeDocument/2006/custom-properties" xmlns:vt="http://schemas.openxmlformats.org/officeDocument/2006/docPropsVTypes"/>
</file>