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300"/>
        <w:jc w:val="center"/>
      </w:pPr>
      <w:r>
        <w:rPr>
          <w:rFonts w:ascii="Calibri" w:cs="Calibri" w:eastAsia="Calibri" w:hAnsi="Calibri"/>
          <w:b/>
          <w:bCs/>
          <w:color w:val="1F3864"/>
          <w:sz w:val="30"/>
          <w:szCs w:val="30"/>
        </w:rPr>
        <w:t xml:space="preserve">Système d'Optimisation de Portefeuille par Machine Learning</w:t>
      </w:r>
    </w:p>
    <w:p>
      <w:pPr>
        <w:spacing w:after="100"/>
        <w:jc w:val="center"/>
      </w:pPr>
      <w:r>
        <w:rPr>
          <w:rFonts w:ascii="Calibri" w:cs="Calibri" w:eastAsia="Calibri" w:hAnsi="Calibri"/>
          <w:b/>
          <w:bCs/>
          <w:color w:val="2E75B6"/>
          <w:sz w:val="26"/>
          <w:szCs w:val="26"/>
        </w:rPr>
        <w:t xml:space="preserve">Livrable de la Phase 4 — Modèles de Portefeuille ML</w:t>
      </w:r>
    </w:p>
    <w:p>
      <w:pPr>
        <w:spacing w:after="400"/>
        <w:jc w:val="center"/>
      </w:pPr>
      <w:r>
        <w:rPr>
          <w:rFonts w:ascii="Calibri" w:cs="Calibri" w:eastAsia="Calibri" w:hAnsi="Calibri"/>
          <w:b/>
          <w:bCs/>
          <w:color w:val="2E75B6"/>
          <w:sz w:val="26"/>
          <w:szCs w:val="26"/>
        </w:rPr>
        <w:t xml:space="preserve">Détection de régime &amp; Covariance dynamique</w:t>
      </w:r>
    </w:p>
    <w:p>
      <w:pPr>
        <w:spacing w:after="700"/>
        <w:jc w:val="center"/>
      </w:pPr>
      <w:r>
        <w:rPr>
          <w:rFonts w:ascii="Calibri" w:cs="Calibri" w:eastAsia="Calibri" w:hAnsi="Calibri"/>
          <w:i/>
          <w:iCs/>
          <w:color w:val="595959"/>
          <w:sz w:val="22"/>
          <w:szCs w:val="22"/>
        </w:rPr>
        <w:t xml:space="preserve">Détection de régime par HMM et échelle complète de covariance dynamique (Ledoit-Wolf → EWMA → DCC-GARCH), jugées contre la haie nette de la Phase 2</w:t>
      </w:r>
    </w:p>
    <w:p>
      <w:pPr>
        <w:spacing w:after="100"/>
        <w:jc w:val="center"/>
      </w:pPr>
      <w:r>
        <w:rPr>
          <w:rFonts w:ascii="Calibri" w:cs="Calibri" w:eastAsia="Calibri" w:hAnsi="Calibri"/>
          <w:sz w:val="22"/>
          <w:szCs w:val="22"/>
        </w:rPr>
        <w:t xml:space="preserve">Projet de Fin d'Année (PFA) — INPT</w:t>
      </w:r>
    </w:p>
    <w:p>
      <w:pPr>
        <w:spacing w:after="100"/>
        <w:jc w:val="center"/>
      </w:pPr>
      <w:r>
        <w:rPr>
          <w:rFonts w:ascii="Calibri" w:cs="Calibri" w:eastAsia="Calibri" w:hAnsi="Calibri"/>
          <w:sz w:val="22"/>
          <w:szCs w:val="22"/>
        </w:rPr>
        <w:t xml:space="preserve">Client : EURAFRIC Information, Bouskoura</w:t>
      </w:r>
    </w:p>
    <w:p>
      <w:pPr>
        <w:spacing w:after="100"/>
        <w:jc w:val="center"/>
      </w:pPr>
      <w:r>
        <w:rPr>
          <w:rFonts w:ascii="Calibri" w:cs="Calibri" w:eastAsia="Calibri" w:hAnsi="Calibri"/>
          <w:sz w:val="22"/>
          <w:szCs w:val="22"/>
        </w:rPr>
        <w:t xml:space="preserve">Développement &amp; revue : Souhail BOURHIM</w:t>
      </w:r>
    </w:p>
    <w:p>
      <w:pPr>
        <w:spacing w:after="100"/>
        <w:jc w:val="center"/>
      </w:pPr>
      <w:r>
        <w:rPr>
          <w:rFonts w:ascii="Calibri" w:cs="Calibri" w:eastAsia="Calibri" w:hAnsi="Calibri"/>
          <w:sz w:val="20"/>
          <w:szCs w:val="20"/>
        </w:rPr>
        <w:t xml:space="preserve">Équipe : Souhail BOURHIM · Zakarya EL WALI · Yasmine BOUAJINE — Encadrant : M. Abdelmouttalib</w:t>
      </w:r>
    </w:p>
    <w:p>
      <w:pPr>
        <w:spacing w:after="700"/>
        <w:jc w:val="center"/>
      </w:pPr>
      <w:r>
        <w:rPr>
          <w:rFonts w:ascii="Calibri" w:cs="Calibri" w:eastAsia="Calibri" w:hAnsi="Calibri"/>
          <w:i/>
          <w:iCs/>
          <w:sz w:val="20"/>
          <w:szCs w:val="20"/>
        </w:rPr>
        <w:t xml:space="preserve">Version 1.0 — 20 juillet 2026</w:t>
      </w:r>
    </w:p>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00" w:before="400"/>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Résumé exécutif</w:t>
      </w:r>
    </w:p>
    <w:p>
      <w:pPr>
        <w:pStyle w:val="Heading1"/>
        <w:spacing w:after="200" w:before="400"/>
      </w:pPr>
      <w:r>
        <w:rPr>
          <w:b/>
          <w:color w:val="B03000"/>
          <w:sz w:val="22"/>
        </w:rPr>
        <w:t>⚠️ Avertissement — chiffres antérieurs à la correction du 25/07/2026</w:t>
      </w:r>
    </w:p>
    <w:p>
      <w:pPr>
        <w:pStyle w:val="Heading1"/>
        <w:spacing w:after="200" w:before="400"/>
      </w:pPr>
      <w:r>
        <w:rPr>
          <w:i/>
          <w:sz w:val="19"/>
        </w:rPr>
        <w:t>Deux corrections de données sont intervenues après la rédaction de ce livrable. Tous les ratios de Sharpe qui suivent sont conservés comme le compte rendu honnête de ce que cette phase a mesuré à l'époque — ce ne sont plus les chiffres courants.</w:t>
      </w:r>
    </w:p>
    <w:p>
      <w:pPr>
        <w:pStyle w:val="Heading1"/>
        <w:spacing w:after="200" w:before="400"/>
      </w:pPr>
      <w:r>
        <w:rPr>
          <w:i/>
          <w:sz w:val="19"/>
        </w:rPr>
        <w:t>1. Biais de dividendes BVC. Le pipeline mélangeait deux définitions du rendement : les ETF arrivaient ajustés des dividendes (yfinance auto_adjust=True, rendement total) tandis que les actions BVC arrivaient en prix seul (BVCscrap feature="Value"), écartant 3,0 à 4,3 %/an de dividendes réels. Le biais ne s'annule pas entre stratégies : equal_weight est contraint de détenir les actifs sous-évalués alors que les optimiseurs peuvent les sous-pondérer — il gonflait donc l'avantage mesuré de tout optimiseur. Corrigé par src/dividends.py, qui applique chaque dividende à sa date de détachement.</w:t>
      </w:r>
    </w:p>
    <w:p>
      <w:pPr>
        <w:pStyle w:val="Heading1"/>
        <w:spacing w:after="200" w:before="400"/>
      </w:pPr>
      <w:r>
        <w:rPr>
          <w:i/>
          <w:sz w:val="19"/>
        </w:rPr>
        <w:t>2. Fenêtre ETF profonde. L'univers etf_2017 démarre désormais au 18/11/2004 (création de GLD) et non au 01/01/2017 — l'ancienne date était une décision de projet, pas une limite de données. Cela réduit de 38 % la largeur des intervalles de confiance bootstrap et intègre la crise de 2008.</w:t>
      </w:r>
    </w:p>
    <w:p>
      <w:pPr>
        <w:pStyle w:val="Heading1"/>
        <w:spacing w:after="200" w:before="400"/>
      </w:pPr>
      <w:r>
        <w:rPr>
          <w:i/>
          <w:sz w:val="19"/>
        </w:rPr>
        <w:t>Chiffres courants : haie etf_2017 0,936 → 0.9525 (min_variance_lw) · haie full_2021 0,975 → 1.1644 (max_sharpe) · regime_conditional sur full_2021 1,122 → 1.2363 · gain net +14,3 % → +6.2 %.</w:t>
      </w:r>
    </w:p>
    <w:p>
      <w:pPr>
        <w:pStyle w:val="Heading1"/>
        <w:spacing w:after="200" w:before="400"/>
      </w:pPr>
      <w:r>
        <w:rPr>
          <w:i/>
          <w:sz w:val="19"/>
        </w:rPr>
        <w:t>Les conclusions subsistent ; les amplitudes ont diminué. Deux affirmations sont en revanche rétractées — voir les mentions [RÉTRACTÉ] et [SUPERSÉDÉ] dans le corps du document.</w:t>
      </w:r>
    </w:p>
    <w:p>
      <w:pPr>
        <w:pStyle w:val="Heading1"/>
        <w:spacing w:after="200" w:before="400"/>
      </w:pPr>
      <w:r>
        <w:rPr>
          <w:i/>
          <w:sz w:val="19"/>
        </w:rPr>
        <w:t>Analyse complète : docs/DIVIDEND_BIAS.md et docs/ETF_DEEP_HISTORY_EXPERIMENT.md.</w:t>
      </w:r>
    </w:p>
    <w:p>
      <w:pPr>
        <w:spacing w:after="160"/>
      </w:pPr>
      <w:r>
        <w:rPr>
          <w:rFonts w:ascii="Calibri" w:cs="Calibri" w:eastAsia="Calibri" w:hAnsi="Calibri"/>
          <w:sz w:val="21"/>
          <w:szCs w:val="21"/>
        </w:rPr>
        <w:t xml:space="preserve">La Phase 4 transforme les caractéristiques causales de la Phase 3 en décisions de portefeuille : une détection de régime par </w:t>
      </w:r>
      <w:r>
        <w:rPr>
          <w:rFonts w:ascii="Calibri" w:cs="Calibri" w:eastAsia="Calibri" w:hAnsi="Calibri"/>
          <w:b/>
          <w:bCs/>
          <w:sz w:val="21"/>
          <w:szCs w:val="21"/>
        </w:rPr>
        <w:t xml:space="preserve">modèle de Markov caché</w:t>
      </w:r>
      <w:r>
        <w:rPr>
          <w:rFonts w:ascii="Calibri" w:cs="Calibri" w:eastAsia="Calibri" w:hAnsi="Calibri"/>
          <w:sz w:val="21"/>
          <w:szCs w:val="21"/>
        </w:rPr>
        <w:t xml:space="preserve"> (HMM, 2 états bull/bear) qui commute entre deux stratégies déjà éprouvées de la Phase 2, et l'achèvement de </w:t>
      </w:r>
      <w:r>
        <w:rPr>
          <w:rFonts w:ascii="Calibri" w:cs="Calibri" w:eastAsia="Calibri" w:hAnsi="Calibri"/>
          <w:b/>
          <w:bCs/>
          <w:sz w:val="21"/>
          <w:szCs w:val="21"/>
        </w:rPr>
        <w:t xml:space="preserve">l'échelle complète de covariance dynamique</w:t>
      </w:r>
      <w:r>
        <w:rPr>
          <w:rFonts w:ascii="Calibri" w:cs="Calibri" w:eastAsia="Calibri" w:hAnsi="Calibri"/>
          <w:sz w:val="21"/>
          <w:szCs w:val="21"/>
        </w:rPr>
        <w:t xml:space="preserve"> (sample → Ledoit-Wolf → EWMA → DCC-GARCH). Les trois nouvelles stratégies s'insèrent dans le moteur de la Phase 2 </w:t>
      </w:r>
      <w:r>
        <w:rPr>
          <w:rFonts w:ascii="Calibri" w:cs="Calibri" w:eastAsia="Calibri" w:hAnsi="Calibri"/>
          <w:b/>
          <w:bCs/>
          <w:sz w:val="21"/>
          <w:szCs w:val="21"/>
        </w:rPr>
        <w:t xml:space="preserve">sans le modifier</w:t>
      </w:r>
      <w:r>
        <w:rPr>
          <w:rFonts w:ascii="Calibri" w:cs="Calibri" w:eastAsia="Calibri" w:hAnsi="Calibri"/>
          <w:sz w:val="21"/>
          <w:szCs w:val="21"/>
        </w:rPr>
        <w:t xml:space="preserve">, via l'interface </w:t>
      </w:r>
      <w:r>
        <w:rPr>
          <w:rFonts w:ascii="Consolas" w:cs="Consolas" w:eastAsia="Consolas" w:hAnsi="Consolas"/>
          <w:color w:val="AA3355"/>
          <w:sz w:val="19"/>
          <w:szCs w:val="19"/>
        </w:rPr>
        <w:t xml:space="preserve">Strategy</w:t>
      </w:r>
      <w:r>
        <w:rPr>
          <w:rFonts w:ascii="Calibri" w:cs="Calibri" w:eastAsia="Calibri" w:hAnsi="Calibri"/>
          <w:sz w:val="21"/>
          <w:szCs w:val="21"/>
        </w:rPr>
        <w:t xml:space="preserve"> et le canal </w:t>
      </w:r>
      <w:r>
        <w:rPr>
          <w:rFonts w:ascii="Consolas" w:cs="Consolas" w:eastAsia="Consolas" w:hAnsi="Consolas"/>
          <w:color w:val="AA3355"/>
          <w:sz w:val="19"/>
          <w:szCs w:val="19"/>
        </w:rPr>
        <w:t xml:space="preserve">extras</w:t>
      </w:r>
      <w:r>
        <w:rPr>
          <w:rFonts w:ascii="Calibri" w:cs="Calibri" w:eastAsia="Calibri" w:hAnsi="Calibri"/>
          <w:sz w:val="21"/>
          <w:szCs w:val="21"/>
        </w:rPr>
        <w:t xml:space="preserve"> déjà prouvé sans fuite par la Phase 3.</w:t>
      </w:r>
    </w:p>
    <w:p>
      <w:pPr>
        <w:spacing w:after="160"/>
      </w:pPr>
      <w:r>
        <w:rPr>
          <w:rFonts w:ascii="Calibri" w:cs="Calibri" w:eastAsia="Calibri" w:hAnsi="Calibri"/>
          <w:b/>
          <w:bCs/>
          <w:sz w:val="21"/>
          <w:szCs w:val="21"/>
        </w:rPr>
        <w:t xml:space="preserve">Jugé contre la haie nette de la Phase 2, sur données réelles :</w:t>
      </w:r>
      <w:r>
        <w:rPr>
          <w:rFonts w:ascii="Calibri" w:cs="Calibri" w:eastAsia="Calibri" w:hAnsi="Calibri"/>
          <w:sz w:val="21"/>
          <w:szCs w:val="21"/>
        </w:rPr>
        <w:t xml:space="preserve"> </w:t>
      </w:r>
      <w:r>
        <w:rPr>
          <w:rFonts w:ascii="Consolas" w:cs="Consolas" w:eastAsia="Consolas" w:hAnsi="Consolas"/>
          <w:color w:val="AA3355"/>
          <w:sz w:val="19"/>
          <w:szCs w:val="19"/>
        </w:rPr>
        <w:t xml:space="preserve">regime_conditional</w:t>
      </w:r>
      <w:r>
        <w:rPr>
          <w:rFonts w:ascii="Calibri" w:cs="Calibri" w:eastAsia="Calibri" w:hAnsi="Calibri"/>
          <w:sz w:val="21"/>
          <w:szCs w:val="21"/>
        </w:rPr>
        <w:t xml:space="preserve"> bat la haie sur l'univers 9 actifs (Sharpe net </w:t>
      </w:r>
      <w:r>
        <w:rPr>
          <w:rFonts w:ascii="Calibri" w:cs="Calibri" w:eastAsia="Calibri" w:hAnsi="Calibri"/>
          <w:b/>
          <w:bCs/>
          <w:sz w:val="21"/>
          <w:szCs w:val="21"/>
        </w:rPr>
        <w:t xml:space="preserve">1,122</w:t>
      </w:r>
      <w:r>
        <w:rPr>
          <w:rFonts w:ascii="Calibri" w:cs="Calibri" w:eastAsia="Calibri" w:hAnsi="Calibri"/>
          <w:sz w:val="21"/>
          <w:szCs w:val="21"/>
        </w:rPr>
        <w:t xml:space="preserve"> contre </w:t>
      </w:r>
      <w:r>
        <w:rPr>
          <w:rFonts w:ascii="Calibri" w:cs="Calibri" w:eastAsia="Calibri" w:hAnsi="Calibri"/>
          <w:b/>
          <w:bCs/>
          <w:sz w:val="21"/>
          <w:szCs w:val="21"/>
        </w:rPr>
        <w:t xml:space="preserve">0,975</w:t>
      </w:r>
      <w:r>
        <w:rPr>
          <w:rFonts w:ascii="Calibri" w:cs="Calibri" w:eastAsia="Calibri" w:hAnsi="Calibri"/>
          <w:sz w:val="21"/>
          <w:szCs w:val="21"/>
        </w:rPr>
        <w:t xml:space="preserve">) mais pas sur l'univers ETF (le meilleur reste </w:t>
      </w:r>
      <w:r>
        <w:rPr>
          <w:rFonts w:ascii="Consolas" w:cs="Consolas" w:eastAsia="Consolas" w:hAnsi="Consolas"/>
          <w:color w:val="AA3355"/>
          <w:sz w:val="19"/>
          <w:szCs w:val="19"/>
        </w:rPr>
        <w:t xml:space="preserve">max_sharpe</w:t>
      </w:r>
      <w:r>
        <w:rPr>
          <w:rFonts w:ascii="Calibri" w:cs="Calibri" w:eastAsia="Calibri" w:hAnsi="Calibri"/>
          <w:sz w:val="21"/>
          <w:szCs w:val="21"/>
        </w:rPr>
        <w:t xml:space="preserve">, Phase 2, à </w:t>
      </w:r>
      <w:r>
        <w:rPr>
          <w:rFonts w:ascii="Calibri" w:cs="Calibri" w:eastAsia="Calibri" w:hAnsi="Calibri"/>
          <w:b/>
          <w:bCs/>
          <w:sz w:val="21"/>
          <w:szCs w:val="21"/>
        </w:rPr>
        <w:t xml:space="preserve">0,936</w:t>
      </w:r>
      <w:r>
        <w:rPr>
          <w:rFonts w:ascii="Calibri" w:cs="Calibri" w:eastAsia="Calibri" w:hAnsi="Calibri"/>
          <w:sz w:val="21"/>
          <w:szCs w:val="21"/>
        </w:rPr>
        <w:t xml:space="preserve">). Un résultat honnête et mixte, non présenté comme une victoire universelle — </w:t>
      </w:r>
      <w:r>
        <w:rPr>
          <w:rFonts w:ascii="Consolas" w:cs="Consolas" w:eastAsia="Consolas" w:hAnsi="Consolas"/>
          <w:color w:val="AA3355"/>
          <w:sz w:val="19"/>
          <w:szCs w:val="19"/>
        </w:rPr>
        <w:t xml:space="preserve">dcc_garch</w:t>
      </w:r>
      <w:r>
        <w:rPr>
          <w:rFonts w:ascii="Calibri" w:cs="Calibri" w:eastAsia="Calibri" w:hAnsi="Calibri"/>
          <w:sz w:val="21"/>
          <w:szCs w:val="21"/>
        </w:rPr>
        <w:t xml:space="preserve"> (1,046) et </w:t>
      </w:r>
      <w:r>
        <w:rPr>
          <w:rFonts w:ascii="Consolas" w:cs="Consolas" w:eastAsia="Consolas" w:hAnsi="Consolas"/>
          <w:color w:val="AA3355"/>
          <w:sz w:val="19"/>
          <w:szCs w:val="19"/>
        </w:rPr>
        <w:t xml:space="preserve">min_variance_ewma</w:t>
      </w:r>
      <w:r>
        <w:rPr>
          <w:rFonts w:ascii="Calibri" w:cs="Calibri" w:eastAsia="Calibri" w:hAnsi="Calibri"/>
          <w:sz w:val="21"/>
          <w:szCs w:val="21"/>
        </w:rPr>
        <w:t xml:space="preserve"> (1,041) battent aussi la haie sur l'univers 9 actifs. Le repli de secours de DCC-GARCH (bascule vers Ledoit-Wolf) s'est déclenché une fois pour de vrai (</w:t>
      </w:r>
      <w:r>
        <w:rPr>
          <w:rFonts w:ascii="Consolas" w:cs="Consolas" w:eastAsia="Consolas" w:hAnsi="Consolas"/>
          <w:color w:val="AA3355"/>
          <w:sz w:val="19"/>
          <w:szCs w:val="19"/>
        </w:rPr>
        <w:t xml:space="preserve">IAM.CS</w:t>
      </w:r>
      <w:r>
        <w:rPr>
          <w:rFonts w:ascii="Calibri" w:cs="Calibri" w:eastAsia="Calibri" w:hAnsi="Calibri"/>
          <w:sz w:val="21"/>
          <w:szCs w:val="21"/>
        </w:rPr>
        <w:t xml:space="preserve">, univers 9 actifs) — le filet de sécurité fonctionne hors des tests aussi.</w:t>
      </w:r>
    </w:p>
    <w:p>
      <w:pPr>
        <w:spacing w:after="160"/>
      </w:pPr>
      <w:r>
        <w:rPr>
          <w:rFonts w:ascii="Calibri" w:cs="Calibri" w:eastAsia="Calibri" w:hAnsi="Calibri"/>
          <w:sz w:val="21"/>
          <w:szCs w:val="21"/>
        </w:rPr>
        <w:t xml:space="preserve">La suite de tests passe de 126 à </w:t>
      </w:r>
      <w:r>
        <w:rPr>
          <w:rFonts w:ascii="Calibri" w:cs="Calibri" w:eastAsia="Calibri" w:hAnsi="Calibri"/>
          <w:b/>
          <w:bCs/>
          <w:sz w:val="21"/>
          <w:szCs w:val="21"/>
        </w:rPr>
        <w:t xml:space="preserve">165 tests</w:t>
      </w:r>
      <w:r>
        <w:rPr>
          <w:rFonts w:ascii="Calibri" w:cs="Calibri" w:eastAsia="Calibri" w:hAnsi="Calibri"/>
          <w:sz w:val="21"/>
          <w:szCs w:val="21"/>
        </w:rPr>
        <w:t xml:space="preserve"> (39 pour la Phase 4), tous hors-ligne. Le travail a été développé et revu par Souhail BOURHIM (PR #7), avec une revue automatisée (Sourcery) intégralement traitée : 5 corrections ponctuelles et 2 points de conception généraux, tous vérifiés par ré-exécution sur données réelles (résultats strictement identiques après correction).</w:t>
      </w:r>
    </w:p>
    <w:p>
      <w:pPr>
        <w:pStyle w:val="Heading1"/>
        <w:spacing w:after="200" w:before="400"/>
      </w:pPr>
      <w:r>
        <w:t xml:space="preserve">2. Le rôle de la Phase 4 dans le projet</w:t>
      </w:r>
    </w:p>
    <w:p>
      <w:pPr>
        <w:spacing w:after="160"/>
      </w:pPr>
      <w:r>
        <w:rPr>
          <w:rFonts w:ascii="Calibri" w:cs="Calibri" w:eastAsia="Calibri" w:hAnsi="Calibri"/>
          <w:sz w:val="21"/>
          <w:szCs w:val="21"/>
        </w:rPr>
        <w:t xml:space="preserve">La Phase 2 a établi la haie honnête à battre ; la Phase 3 a fabriqué les descripteurs causaux de régime. La Phase 4 est le </w:t>
      </w:r>
      <w:r>
        <w:rPr>
          <w:rFonts w:ascii="Calibri" w:cs="Calibri" w:eastAsia="Calibri" w:hAnsi="Calibri"/>
          <w:b/>
          <w:bCs/>
          <w:sz w:val="21"/>
          <w:szCs w:val="21"/>
        </w:rPr>
        <w:t xml:space="preserve">premier point du projet où le système fait quelque chose qu'une optimisation Markowitz classique ne peut structurellement pas faire</w:t>
      </w:r>
      <w:r>
        <w:rPr>
          <w:rFonts w:ascii="Calibri" w:cs="Calibri" w:eastAsia="Calibri" w:hAnsi="Calibri"/>
          <w:sz w:val="21"/>
          <w:szCs w:val="21"/>
        </w:rPr>
        <w:t xml:space="preserve"> : conditionner l'allocation sur un état de marché détecté, et estimer une covariance qui évolue dans le temps au lieu de moyenner tout l'historique.</w:t>
      </w:r>
    </w:p>
    <w:p>
      <w:pPr>
        <w:spacing w:after="160"/>
      </w:pPr>
      <w:r>
        <w:rPr>
          <w:rFonts w:ascii="Calibri" w:cs="Calibri" w:eastAsia="Calibri" w:hAnsi="Calibri"/>
          <w:b/>
          <w:bCs/>
          <w:sz w:val="21"/>
          <w:szCs w:val="21"/>
        </w:rPr>
        <w:t xml:space="preserve">Deux interventions, une seule interface.</w:t>
      </w:r>
      <w:r>
        <w:rPr>
          <w:rFonts w:ascii="Calibri" w:cs="Calibri" w:eastAsia="Calibri" w:hAnsi="Calibri"/>
          <w:sz w:val="21"/>
          <w:szCs w:val="21"/>
        </w:rPr>
        <w:t xml:space="preserve"> La détection de régime répond à </w:t>
      </w:r>
      <w:r>
        <w:rPr>
          <w:rFonts w:ascii="Calibri" w:cs="Calibri" w:eastAsia="Calibri" w:hAnsi="Calibri"/>
          <w:b/>
          <w:bCs/>
          <w:sz w:val="21"/>
          <w:szCs w:val="21"/>
        </w:rPr>
        <w:t xml:space="preserve">P2</w:t>
      </w:r>
      <w:r>
        <w:rPr>
          <w:rFonts w:ascii="Calibri" w:cs="Calibri" w:eastAsia="Calibri" w:hAnsi="Calibri"/>
          <w:sz w:val="21"/>
          <w:szCs w:val="21"/>
        </w:rPr>
        <w:t xml:space="preserve"> (les paramètres estimés dans un régime ne sont pas valides dans un autre) et </w:t>
      </w:r>
      <w:r>
        <w:rPr>
          <w:rFonts w:ascii="Calibri" w:cs="Calibri" w:eastAsia="Calibri" w:hAnsi="Calibri"/>
          <w:b/>
          <w:bCs/>
          <w:sz w:val="21"/>
          <w:szCs w:val="21"/>
        </w:rPr>
        <w:t xml:space="preserve">P3</w:t>
      </w:r>
      <w:r>
        <w:rPr>
          <w:rFonts w:ascii="Calibri" w:cs="Calibri" w:eastAsia="Calibri" w:hAnsi="Calibri"/>
          <w:sz w:val="21"/>
          <w:szCs w:val="21"/>
        </w:rPr>
        <w:t xml:space="preserve"> (un régime « bear » est précisément où la diversification s'effondre). L'échelle de covariance répond à </w:t>
      </w:r>
      <w:r>
        <w:rPr>
          <w:rFonts w:ascii="Calibri" w:cs="Calibri" w:eastAsia="Calibri" w:hAnsi="Calibri"/>
          <w:b/>
          <w:bCs/>
          <w:sz w:val="21"/>
          <w:szCs w:val="21"/>
        </w:rPr>
        <w:t xml:space="preserve">P1</w:t>
      </w:r>
      <w:r>
        <w:rPr>
          <w:rFonts w:ascii="Calibri" w:cs="Calibri" w:eastAsia="Calibri" w:hAnsi="Calibri"/>
          <w:sz w:val="21"/>
          <w:szCs w:val="21"/>
        </w:rPr>
        <w:t xml:space="preserve"> (bruit d'estimation) en le régularisant progressivement (Ledoit-Wolf), puis en le rendant dynamique (EWMA, DCC-GARCH) — </w:t>
      </w:r>
      <w:r>
        <w:rPr>
          <w:rFonts w:ascii="Calibri" w:cs="Calibri" w:eastAsia="Calibri" w:hAnsi="Calibri"/>
          <w:b/>
          <w:bCs/>
          <w:sz w:val="21"/>
          <w:szCs w:val="21"/>
        </w:rPr>
        <w:t xml:space="preserve">P2</w:t>
      </w:r>
      <w:r>
        <w:rPr>
          <w:rFonts w:ascii="Calibri" w:cs="Calibri" w:eastAsia="Calibri" w:hAnsi="Calibri"/>
          <w:sz w:val="21"/>
          <w:szCs w:val="21"/>
        </w:rPr>
        <w:t xml:space="preserve"> à nouveau, sous un angle différent : la volatilité et les corrélations elles-mêmes changent dans le temps.</w:t>
      </w:r>
    </w:p>
    <w:p>
      <w:pPr>
        <w:spacing w:after="160"/>
      </w:pPr>
      <w:r>
        <w:rPr>
          <w:rFonts w:ascii="Calibri" w:cs="Calibri" w:eastAsia="Calibri" w:hAnsi="Calibri"/>
          <w:sz w:val="21"/>
          <w:szCs w:val="21"/>
        </w:rPr>
        <w:t xml:space="preserve">Aucune de ces deux interventions ne touche au moteur de la Phase 2 (</w:t>
      </w:r>
      <w:r>
        <w:rPr>
          <w:rFonts w:ascii="Consolas" w:cs="Consolas" w:eastAsia="Consolas" w:hAnsi="Consolas"/>
          <w:color w:val="AA3355"/>
          <w:sz w:val="19"/>
          <w:szCs w:val="19"/>
        </w:rPr>
        <w:t xml:space="preserve">src/backtest.py</w:t>
      </w:r>
      <w:r>
        <w:rPr>
          <w:rFonts w:ascii="Calibri" w:cs="Calibri" w:eastAsia="Calibri" w:hAnsi="Calibri"/>
          <w:sz w:val="21"/>
          <w:szCs w:val="21"/>
        </w:rPr>
        <w:t xml:space="preserve">) : chacune est une nouvelle classe </w:t>
      </w:r>
      <w:r>
        <w:rPr>
          <w:rFonts w:ascii="Consolas" w:cs="Consolas" w:eastAsia="Consolas" w:hAnsi="Consolas"/>
          <w:color w:val="AA3355"/>
          <w:sz w:val="19"/>
          <w:szCs w:val="19"/>
        </w:rPr>
        <w:t xml:space="preserve">Strategy</w:t>
      </w:r>
      <w:r>
        <w:rPr>
          <w:rFonts w:ascii="Calibri" w:cs="Calibri" w:eastAsia="Calibri" w:hAnsi="Calibri"/>
          <w:sz w:val="21"/>
          <w:szCs w:val="21"/>
        </w:rPr>
        <w:t xml:space="preserve">, découverte et jugée exactement comme les baselines l'ont été — même moteur, mêmes contraintes, mêmes coûts, même garantie anti-lookahead déjà prouvée bout-en-bout.</w:t>
      </w:r>
    </w:p>
    <w:p>
      <w:pPr>
        <w:pStyle w:val="Heading1"/>
        <w:spacing w:after="200" w:before="400"/>
      </w:pPr>
      <w:r>
        <w:t xml:space="preserve">3. Livrables et architecture</w:t>
      </w:r>
    </w:p>
    <w:p>
      <w:pPr>
        <w:pStyle w:val="ListParagraph"/>
        <w:numPr>
          <w:ilvl w:val="0"/>
          <w:numId w:val="1"/>
        </w:numPr>
        <w:spacing w:after="90"/>
      </w:pPr>
      <w:r>
        <w:rPr>
          <w:rFonts w:ascii="Calibri" w:cs="Calibri" w:eastAsia="Calibri" w:hAnsi="Calibri"/>
          <w:b/>
          <w:bCs/>
          <w:sz w:val="21"/>
          <w:szCs w:val="21"/>
        </w:rPr>
        <w:t xml:space="preserve">src/regime.py</w:t>
      </w:r>
      <w:r>
        <w:rPr>
          <w:rFonts w:ascii="Calibri" w:cs="Calibri" w:eastAsia="Calibri" w:hAnsi="Calibri"/>
          <w:sz w:val="21"/>
          <w:szCs w:val="21"/>
        </w:rPr>
        <w:t xml:space="preserve"> (~200 lignes) : ajustement HMM multi-redémarrage (5 essais, seeds déterministes), étiquetage bull/bear par le rendement moyen ajusté, calcul du posterior de régime, politique de repli neutre sur fenêtre courte ou non-convergence.</w:t>
      </w:r>
    </w:p>
    <w:p>
      <w:pPr>
        <w:pStyle w:val="ListParagraph"/>
        <w:numPr>
          <w:ilvl w:val="0"/>
          <w:numId w:val="1"/>
        </w:numPr>
        <w:spacing w:after="90"/>
      </w:pPr>
      <w:r>
        <w:rPr>
          <w:rFonts w:ascii="Calibri" w:cs="Calibri" w:eastAsia="Calibri" w:hAnsi="Calibri"/>
          <w:b/>
          <w:bCs/>
          <w:sz w:val="21"/>
          <w:szCs w:val="21"/>
        </w:rPr>
        <w:t xml:space="preserve">src/dcc_garch.py</w:t>
      </w:r>
      <w:r>
        <w:rPr>
          <w:rFonts w:ascii="Calibri" w:cs="Calibri" w:eastAsia="Calibri" w:hAnsi="Calibri"/>
          <w:sz w:val="21"/>
          <w:szCs w:val="21"/>
        </w:rPr>
        <w:t xml:space="preserve"> (~200 lignes) : estimateur DCC-GARCH à deux étapes (Engle 2002), </w:t>
      </w:r>
      <w:r>
        <w:rPr>
          <w:rFonts w:ascii="Calibri" w:cs="Calibri" w:eastAsia="Calibri" w:hAnsi="Calibri"/>
          <w:i/>
          <w:iCs/>
          <w:sz w:val="21"/>
          <w:szCs w:val="21"/>
        </w:rPr>
        <w:t xml:space="preserve">fait main</w:t>
      </w:r>
      <w:r>
        <w:rPr>
          <w:rFonts w:ascii="Calibri" w:cs="Calibri" w:eastAsia="Calibri" w:hAnsi="Calibri"/>
          <w:sz w:val="21"/>
          <w:szCs w:val="21"/>
        </w:rPr>
        <w:t xml:space="preserve"> — </w:t>
      </w:r>
      <w:r>
        <w:rPr>
          <w:rFonts w:ascii="Consolas" w:cs="Consolas" w:eastAsia="Consolas" w:hAnsi="Consolas"/>
          <w:color w:val="AA3355"/>
          <w:sz w:val="19"/>
          <w:szCs w:val="19"/>
        </w:rPr>
        <w:t xml:space="preserve">arch</w:t>
      </w:r>
      <w:r>
        <w:rPr>
          <w:rFonts w:ascii="Calibri" w:cs="Calibri" w:eastAsia="Calibri" w:hAnsi="Calibri"/>
          <w:sz w:val="21"/>
          <w:szCs w:val="21"/>
        </w:rPr>
        <w:t xml:space="preserve"> ne fournit que le GARCH univarié, la récursion DCC et l'optimisation quasi-MLE de (a, b) ne viennent d'aucune dépendance.</w:t>
      </w:r>
    </w:p>
    <w:p>
      <w:pPr>
        <w:pStyle w:val="ListParagraph"/>
        <w:numPr>
          <w:ilvl w:val="0"/>
          <w:numId w:val="1"/>
        </w:numPr>
        <w:spacing w:after="90"/>
      </w:pPr>
      <w:r>
        <w:rPr>
          <w:rFonts w:ascii="Calibri" w:cs="Calibri" w:eastAsia="Calibri" w:hAnsi="Calibri"/>
          <w:b/>
          <w:bCs/>
          <w:sz w:val="21"/>
          <w:szCs w:val="21"/>
        </w:rPr>
        <w:t xml:space="preserve">Trois nouvelles stratégies</w:t>
      </w:r>
      <w:r>
        <w:rPr>
          <w:rFonts w:ascii="Calibri" w:cs="Calibri" w:eastAsia="Calibri" w:hAnsi="Calibri"/>
          <w:sz w:val="21"/>
          <w:szCs w:val="21"/>
        </w:rPr>
        <w:t xml:space="preserve"> dans </w:t>
      </w:r>
      <w:r>
        <w:rPr>
          <w:rFonts w:ascii="Consolas" w:cs="Consolas" w:eastAsia="Consolas" w:hAnsi="Consolas"/>
          <w:color w:val="AA3355"/>
          <w:sz w:val="19"/>
          <w:szCs w:val="19"/>
        </w:rPr>
        <w:t xml:space="preserve">src/strategies.py</w:t>
      </w:r>
      <w:r>
        <w:rPr>
          <w:rFonts w:ascii="Calibri" w:cs="Calibri" w:eastAsia="Calibri" w:hAnsi="Calibri"/>
          <w:sz w:val="21"/>
          <w:szCs w:val="21"/>
        </w:rPr>
        <w:t xml:space="preserve"> : </w:t>
      </w:r>
      <w:r>
        <w:rPr>
          <w:rFonts w:ascii="Consolas" w:cs="Consolas" w:eastAsia="Consolas" w:hAnsi="Consolas"/>
          <w:color w:val="AA3355"/>
          <w:sz w:val="19"/>
          <w:szCs w:val="19"/>
        </w:rPr>
        <w:t xml:space="preserve">MinVarianceEWMA</w:t>
      </w:r>
      <w:r>
        <w:rPr>
          <w:rFonts w:ascii="Calibri" w:cs="Calibri" w:eastAsia="Calibri" w:hAnsi="Calibri"/>
          <w:sz w:val="21"/>
          <w:szCs w:val="21"/>
        </w:rPr>
        <w:t xml:space="preserve"> (échelon 3), </w:t>
      </w:r>
      <w:r>
        <w:rPr>
          <w:rFonts w:ascii="Consolas" w:cs="Consolas" w:eastAsia="Consolas" w:hAnsi="Consolas"/>
          <w:color w:val="AA3355"/>
          <w:sz w:val="19"/>
          <w:szCs w:val="19"/>
        </w:rPr>
        <w:t xml:space="preserve">DCCGarchStrategy</w:t>
      </w:r>
      <w:r>
        <w:rPr>
          <w:rFonts w:ascii="Calibri" w:cs="Calibri" w:eastAsia="Calibri" w:hAnsi="Calibri"/>
          <w:sz w:val="21"/>
          <w:szCs w:val="21"/>
        </w:rPr>
        <w:t xml:space="preserve"> (échelon 4), </w:t>
      </w:r>
      <w:r>
        <w:rPr>
          <w:rFonts w:ascii="Consolas" w:cs="Consolas" w:eastAsia="Consolas" w:hAnsi="Consolas"/>
          <w:color w:val="AA3355"/>
          <w:sz w:val="19"/>
          <w:szCs w:val="19"/>
        </w:rPr>
        <w:t xml:space="preserve">RegimeConditionalStrategy</w:t>
      </w:r>
      <w:r>
        <w:rPr>
          <w:rFonts w:ascii="Calibri" w:cs="Calibri" w:eastAsia="Calibri" w:hAnsi="Calibri"/>
          <w:sz w:val="21"/>
          <w:szCs w:val="21"/>
        </w:rPr>
        <w:t xml:space="preserve"> (dispatch HMM).</w:t>
      </w:r>
    </w:p>
    <w:p>
      <w:pPr>
        <w:pStyle w:val="ListParagraph"/>
        <w:numPr>
          <w:ilvl w:val="0"/>
          <w:numId w:val="1"/>
        </w:numPr>
        <w:spacing w:after="90"/>
      </w:pPr>
      <w:r>
        <w:rPr>
          <w:rFonts w:ascii="Calibri" w:cs="Calibri" w:eastAsia="Calibri" w:hAnsi="Calibri"/>
          <w:b/>
          <w:bCs/>
          <w:sz w:val="21"/>
          <w:szCs w:val="21"/>
        </w:rPr>
        <w:t xml:space="preserve">src/run_phase4.py</w:t>
      </w:r>
      <w:r>
        <w:rPr>
          <w:rFonts w:ascii="Calibri" w:cs="Calibri" w:eastAsia="Calibri" w:hAnsi="Calibri"/>
          <w:sz w:val="21"/>
          <w:szCs w:val="21"/>
        </w:rPr>
        <w:t xml:space="preserve"> (~350 lignes) : compare les 7 stratégies (4 Phase 2 + 3 Phase 4) × 2 univers, MLflow, écrit </w:t>
      </w:r>
      <w:r>
        <w:rPr>
          <w:rFonts w:ascii="Consolas" w:cs="Consolas" w:eastAsia="Consolas" w:hAnsi="Consolas"/>
          <w:color w:val="AA3355"/>
          <w:sz w:val="19"/>
          <w:szCs w:val="19"/>
        </w:rPr>
        <w:t xml:space="preserve">data/gold/phase4_results.json</w:t>
      </w:r>
      <w:r>
        <w:rPr>
          <w:rFonts w:ascii="Calibri" w:cs="Calibri" w:eastAsia="Calibri" w:hAnsi="Calibri"/>
          <w:sz w:val="21"/>
          <w:szCs w:val="21"/>
        </w:rPr>
        <w:t xml:space="preserve">.</w:t>
      </w:r>
    </w:p>
    <w:p>
      <w:pPr>
        <w:pStyle w:val="ListParagraph"/>
        <w:numPr>
          <w:ilvl w:val="0"/>
          <w:numId w:val="1"/>
        </w:numPr>
        <w:spacing w:after="90"/>
      </w:pPr>
      <w:r>
        <w:rPr>
          <w:rFonts w:ascii="Calibri" w:cs="Calibri" w:eastAsia="Calibri" w:hAnsi="Calibri"/>
          <w:b/>
          <w:bCs/>
          <w:sz w:val="21"/>
          <w:szCs w:val="21"/>
        </w:rPr>
        <w:t xml:space="preserve">Deux nouvelles étapes DVC</w:t>
      </w:r>
      <w:r>
        <w:rPr>
          <w:rFonts w:ascii="Calibri" w:cs="Calibri" w:eastAsia="Calibri" w:hAnsi="Calibri"/>
          <w:sz w:val="21"/>
          <w:szCs w:val="21"/>
        </w:rPr>
        <w:t xml:space="preserve"> (</w:t>
      </w:r>
      <w:r>
        <w:rPr>
          <w:rFonts w:ascii="Consolas" w:cs="Consolas" w:eastAsia="Consolas" w:hAnsi="Consolas"/>
          <w:color w:val="AA3355"/>
          <w:sz w:val="19"/>
          <w:szCs w:val="19"/>
        </w:rPr>
        <w:t xml:space="preserve">phase2_hurdle</w:t>
      </w:r>
      <w:r>
        <w:rPr>
          <w:rFonts w:ascii="Calibri" w:cs="Calibri" w:eastAsia="Calibri" w:hAnsi="Calibri"/>
          <w:sz w:val="21"/>
          <w:szCs w:val="21"/>
        </w:rPr>
        <w:t xml:space="preserve">, </w:t>
      </w:r>
      <w:r>
        <w:rPr>
          <w:rFonts w:ascii="Consolas" w:cs="Consolas" w:eastAsia="Consolas" w:hAnsi="Consolas"/>
          <w:color w:val="AA3355"/>
          <w:sz w:val="19"/>
          <w:szCs w:val="19"/>
        </w:rPr>
        <w:t xml:space="preserve">phase4_compare</w:t>
      </w:r>
      <w:r>
        <w:rPr>
          <w:rFonts w:ascii="Calibri" w:cs="Calibri" w:eastAsia="Calibri" w:hAnsi="Calibri"/>
          <w:sz w:val="21"/>
          <w:szCs w:val="21"/>
        </w:rPr>
        <w:t xml:space="preserve">) : les deux fichiers de résultats se régénèrent automatiquement via </w:t>
      </w:r>
      <w:r>
        <w:rPr>
          <w:rFonts w:ascii="Consolas" w:cs="Consolas" w:eastAsia="Consolas" w:hAnsi="Consolas"/>
          <w:color w:val="AA3355"/>
          <w:sz w:val="19"/>
          <w:szCs w:val="19"/>
        </w:rPr>
        <w:t xml:space="preserve">dvc repro</w:t>
      </w:r>
      <w:r>
        <w:rPr>
          <w:rFonts w:ascii="Calibri" w:cs="Calibri" w:eastAsia="Calibri" w:hAnsi="Calibri"/>
          <w:sz w:val="21"/>
          <w:szCs w:val="21"/>
        </w:rPr>
        <w:t xml:space="preserve"> — referme la brèche de dérive déjà observée une fois sur </w:t>
      </w:r>
      <w:r>
        <w:rPr>
          <w:rFonts w:ascii="Consolas" w:cs="Consolas" w:eastAsia="Consolas" w:hAnsi="Consolas"/>
          <w:color w:val="AA3355"/>
          <w:sz w:val="19"/>
          <w:szCs w:val="19"/>
        </w:rPr>
        <w:t xml:space="preserve">phase2_hurdle.json</w:t>
      </w:r>
      <w:r>
        <w:rPr>
          <w:rFonts w:ascii="Calibri" w:cs="Calibri" w:eastAsia="Calibri" w:hAnsi="Calibri"/>
          <w:sz w:val="21"/>
          <w:szCs w:val="21"/>
        </w:rPr>
        <w:t xml:space="preserve">.</w:t>
      </w:r>
    </w:p>
    <w:p>
      <w:pPr>
        <w:pStyle w:val="ListParagraph"/>
        <w:numPr>
          <w:ilvl w:val="0"/>
          <w:numId w:val="1"/>
        </w:numPr>
        <w:spacing w:after="90"/>
      </w:pPr>
      <w:r>
        <w:rPr>
          <w:rFonts w:ascii="Calibri" w:cs="Calibri" w:eastAsia="Calibri" w:hAnsi="Calibri"/>
          <w:b/>
          <w:bCs/>
          <w:sz w:val="21"/>
          <w:szCs w:val="21"/>
        </w:rPr>
        <w:t xml:space="preserve">39 nouveaux tests</w:t>
      </w:r>
      <w:r>
        <w:rPr>
          <w:rFonts w:ascii="Calibri" w:cs="Calibri" w:eastAsia="Calibri" w:hAnsi="Calibri"/>
          <w:sz w:val="21"/>
          <w:szCs w:val="21"/>
        </w:rPr>
        <w:t xml:space="preserve"> (165 au total), dont un test d'intégration bout-en-bout (</w:t>
      </w:r>
      <w:r>
        <w:rPr>
          <w:rFonts w:ascii="Consolas" w:cs="Consolas" w:eastAsia="Consolas" w:hAnsi="Consolas"/>
          <w:color w:val="AA3355"/>
          <w:sz w:val="19"/>
          <w:szCs w:val="19"/>
        </w:rPr>
        <w:t xml:space="preserve">tests/test_phase4_integration.py</w:t>
      </w:r>
      <w:r>
        <w:rPr>
          <w:rFonts w:ascii="Calibri" w:cs="Calibri" w:eastAsia="Calibri" w:hAnsi="Calibri"/>
          <w:sz w:val="21"/>
          <w:szCs w:val="21"/>
        </w:rPr>
        <w:t xml:space="preserve">) qui pilote la </w:t>
      </w:r>
      <w:r>
        <w:rPr>
          <w:rFonts w:ascii="Calibri" w:cs="Calibri" w:eastAsia="Calibri" w:hAnsi="Calibri"/>
          <w:i/>
          <w:iCs/>
          <w:sz w:val="21"/>
          <w:szCs w:val="21"/>
        </w:rPr>
        <w:t xml:space="preserve">vraie</w:t>
      </w:r>
      <w:r>
        <w:rPr>
          <w:rFonts w:ascii="Calibri" w:cs="Calibri" w:eastAsia="Calibri" w:hAnsi="Calibri"/>
          <w:sz w:val="21"/>
          <w:szCs w:val="21"/>
        </w:rPr>
        <w:t xml:space="preserve"> </w:t>
      </w:r>
      <w:r>
        <w:rPr>
          <w:rFonts w:ascii="Consolas" w:cs="Consolas" w:eastAsia="Consolas" w:hAnsi="Consolas"/>
          <w:color w:val="AA3355"/>
          <w:sz w:val="19"/>
          <w:szCs w:val="19"/>
        </w:rPr>
        <w:t xml:space="preserve">RegimeConditionalStrategy</w:t>
      </w:r>
      <w:r>
        <w:rPr>
          <w:rFonts w:ascii="Calibri" w:cs="Calibri" w:eastAsia="Calibri" w:hAnsi="Calibri"/>
          <w:sz w:val="21"/>
          <w:szCs w:val="21"/>
        </w:rPr>
        <w:t xml:space="preserve"> — pas une sonde jouet.</w:t>
      </w:r>
    </w:p>
    <w:p>
      <w:pPr>
        <w:pStyle w:val="ListParagraph"/>
        <w:numPr>
          <w:ilvl w:val="0"/>
          <w:numId w:val="1"/>
        </w:numPr>
        <w:spacing w:after="90"/>
      </w:pPr>
      <w:r>
        <w:rPr>
          <w:rFonts w:ascii="Calibri" w:cs="Calibri" w:eastAsia="Calibri" w:hAnsi="Calibri"/>
          <w:b/>
          <w:bCs/>
          <w:sz w:val="21"/>
          <w:szCs w:val="21"/>
        </w:rPr>
        <w:t xml:space="preserve">Un notebook évidentiel exécuté</w:t>
      </w:r>
      <w:r>
        <w:rPr>
          <w:rFonts w:ascii="Calibri" w:cs="Calibri" w:eastAsia="Calibri" w:hAnsi="Calibri"/>
          <w:sz w:val="21"/>
          <w:szCs w:val="21"/>
        </w:rPr>
        <w:t xml:space="preserve"> (</w:t>
      </w:r>
      <w:r>
        <w:rPr>
          <w:rFonts w:ascii="Consolas" w:cs="Consolas" w:eastAsia="Consolas" w:hAnsi="Consolas"/>
          <w:color w:val="AA3355"/>
          <w:sz w:val="19"/>
          <w:szCs w:val="19"/>
        </w:rPr>
        <w:t xml:space="preserve">notebooks/phase4_regime_covariance.ipynb</w:t>
      </w:r>
      <w:r>
        <w:rPr>
          <w:rFonts w:ascii="Calibri" w:cs="Calibri" w:eastAsia="Calibri" w:hAnsi="Calibri"/>
          <w:sz w:val="21"/>
          <w:szCs w:val="21"/>
        </w:rPr>
        <w:t xml:space="preserve">, 8 sections, données réelles, zéro erreur).</w:t>
      </w:r>
    </w:p>
    <w:p>
      <w:pPr>
        <w:pStyle w:val="Heading2"/>
        <w:spacing w:after="150" w:before="300"/>
      </w:pPr>
      <w:r>
        <w:t xml:space="preserve">Architecture — le chemin d'une décision</w:t>
      </w:r>
    </w:p>
    <w:p>
      <w:pPr>
        <w:spacing w:after="60"/>
      </w:pPr>
      <w:r>
        <w:rPr>
          <w:rFonts w:ascii="Consolas" w:cs="Consolas" w:eastAsia="Consolas" w:hAnsi="Consolas"/>
          <w:color w:val="444444"/>
          <w:sz w:val="19"/>
          <w:szCs w:val="19"/>
        </w:rPr>
        <w:t xml:space="preserve">extras['features']  (Phase 3, causales)</w:t>
      </w:r>
    </w:p>
    <w:p>
      <w:pPr>
        <w:spacing w:after="60"/>
      </w:pPr>
      <w:r>
        <w:rPr>
          <w:rFonts w:ascii="Consolas" w:cs="Consolas" w:eastAsia="Consolas" w:hAnsi="Consolas"/>
          <w:color w:val="444444"/>
          <w:sz w:val="19"/>
          <w:szCs w:val="19"/>
        </w:rPr>
        <w:t xml:space="preserve">   |</w:t>
      </w:r>
    </w:p>
    <w:p>
      <w:pPr>
        <w:spacing w:after="60"/>
      </w:pPr>
      <w:r>
        <w:rPr>
          <w:rFonts w:ascii="Consolas" w:cs="Consolas" w:eastAsia="Consolas" w:hAnsi="Consolas"/>
          <w:color w:val="444444"/>
          <w:sz w:val="19"/>
          <w:szCs w:val="19"/>
        </w:rPr>
        <w:t xml:space="preserve">   v</w:t>
      </w:r>
    </w:p>
    <w:p>
      <w:pPr>
        <w:spacing w:after="60"/>
      </w:pPr>
      <w:r>
        <w:rPr>
          <w:rFonts w:ascii="Consolas" w:cs="Consolas" w:eastAsia="Consolas" w:hAnsi="Consolas"/>
          <w:color w:val="444444"/>
          <w:sz w:val="19"/>
          <w:szCs w:val="19"/>
        </w:rPr>
        <w:t xml:space="preserve">RegimeConditionalStrategy.fit(train_returns, extras)</w:t>
      </w:r>
    </w:p>
    <w:p>
      <w:pPr>
        <w:spacing w:after="60"/>
      </w:pPr>
      <w:r>
        <w:rPr>
          <w:rFonts w:ascii="Consolas" w:cs="Consolas" w:eastAsia="Consolas" w:hAnsi="Consolas"/>
          <w:color w:val="444444"/>
          <w:sz w:val="19"/>
          <w:szCs w:val="19"/>
        </w:rPr>
        <w:t xml:space="preserve">   |-- regime.fit_hmm(...)               # HMM 2 etats, 5 redemarrages</w:t>
      </w:r>
    </w:p>
    <w:p>
      <w:pPr>
        <w:spacing w:after="60"/>
      </w:pPr>
      <w:r>
        <w:rPr>
          <w:rFonts w:ascii="Consolas" w:cs="Consolas" w:eastAsia="Consolas" w:hAnsi="Consolas"/>
          <w:color w:val="444444"/>
          <w:sz w:val="19"/>
          <w:szCs w:val="19"/>
        </w:rPr>
        <w:t xml:space="preserve">   |-- regime.label_regimes(model)        # bull/bear, recalcule a chaque fit</w:t>
      </w:r>
    </w:p>
    <w:p>
      <w:pPr>
        <w:spacing w:after="60"/>
      </w:pPr>
      <w:r>
        <w:rPr>
          <w:rFonts w:ascii="Consolas" w:cs="Consolas" w:eastAsia="Consolas" w:hAnsi="Consolas"/>
          <w:color w:val="444444"/>
          <w:sz w:val="19"/>
          <w:szCs w:val="19"/>
        </w:rPr>
        <w:t xml:space="preserve">   |-- regime.predict_regime_posterior()  # dernier point, deja decoupe a :tau</w:t>
      </w:r>
    </w:p>
    <w:p>
      <w:pPr>
        <w:spacing w:after="60"/>
      </w:pPr>
      <w:r>
        <w:rPr>
          <w:rFonts w:ascii="Consolas" w:cs="Consolas" w:eastAsia="Consolas" w:hAnsi="Consolas"/>
          <w:color w:val="444444"/>
          <w:sz w:val="19"/>
          <w:szCs w:val="19"/>
        </w:rPr>
        <w:t xml:space="preserve">   v</w:t>
      </w:r>
    </w:p>
    <w:p>
      <w:pPr>
        <w:spacing w:after="60"/>
      </w:pPr>
      <w:r>
        <w:rPr>
          <w:rFonts w:ascii="Consolas" w:cs="Consolas" w:eastAsia="Consolas" w:hAnsi="Consolas"/>
          <w:color w:val="444444"/>
          <w:sz w:val="19"/>
          <w:szCs w:val="19"/>
        </w:rPr>
        <w:t xml:space="preserve">dispatch --&gt; bull_strategy.fit(...)   [MaxSharpe]</w:t>
      </w:r>
    </w:p>
    <w:p>
      <w:pPr>
        <w:spacing w:after="60"/>
      </w:pPr>
      <w:r>
        <w:rPr>
          <w:rFonts w:ascii="Consolas" w:cs="Consolas" w:eastAsia="Consolas" w:hAnsi="Consolas"/>
          <w:color w:val="444444"/>
          <w:sz w:val="19"/>
          <w:szCs w:val="19"/>
        </w:rPr>
        <w:t xml:space="preserve">         --&gt; bear_strategy.fit(...)   [MinVarianceLW, defaut si non convergent]</w:t>
      </w:r>
    </w:p>
    <w:p>
      <w:pPr>
        <w:spacing w:after="60"/>
      </w:pPr>
      <w:r>
        <w:rPr>
          <w:rFonts w:ascii="Consolas" w:cs="Consolas" w:eastAsia="Consolas" w:hAnsi="Consolas"/>
          <w:color w:val="444444"/>
          <w:sz w:val="19"/>
          <w:szCs w:val="19"/>
        </w:rPr>
        <w:t xml:space="preserve">   |</w:t>
      </w:r>
    </w:p>
    <w:p>
      <w:pPr>
        <w:spacing w:after="60"/>
      </w:pPr>
      <w:r>
        <w:rPr>
          <w:rFonts w:ascii="Consolas" w:cs="Consolas" w:eastAsia="Consolas" w:hAnsi="Consolas"/>
          <w:color w:val="444444"/>
          <w:sz w:val="19"/>
          <w:szCs w:val="19"/>
        </w:rPr>
        <w:t xml:space="preserve">   v</w:t>
      </w:r>
    </w:p>
    <w:p>
      <w:pPr>
        <w:spacing w:after="60"/>
      </w:pPr>
      <w:r>
        <w:rPr>
          <w:rFonts w:ascii="Consolas" w:cs="Consolas" w:eastAsia="Consolas" w:hAnsi="Consolas"/>
          <w:color w:val="444444"/>
          <w:sz w:val="19"/>
          <w:szCs w:val="19"/>
        </w:rPr>
        <w:t xml:space="preserve">poids retournes inchanges au moteur --&gt; _validate_weights (confiance zero)</w:t>
      </w:r>
    </w:p>
    <w:p>
      <w:pPr>
        <w:spacing w:after="160"/>
      </w:pPr>
      <w:r>
        <w:rPr>
          <w:rFonts w:ascii="Calibri" w:cs="Calibri" w:eastAsia="Calibri" w:hAnsi="Calibri"/>
          <w:i/>
          <w:iCs/>
          <w:sz w:val="21"/>
          <w:szCs w:val="21"/>
        </w:rPr>
        <w:t xml:space="preserve">Figure 1 — Le chemin d'une décision `RegimeConditionalStrategy`, du canal `extras` de la Phase 3 aux poids validés par le moteur.</w:t>
      </w:r>
    </w:p>
    <w:p>
      <w:pPr>
        <w:pStyle w:val="Heading1"/>
        <w:spacing w:after="200" w:before="400"/>
      </w:pPr>
      <w:r>
        <w:t xml:space="preserve">4. Les mécanismes produits</w:t>
      </w:r>
    </w:p>
    <w:p>
      <w:pPr>
        <w:pStyle w:val="Heading2"/>
        <w:spacing w:after="150" w:before="300"/>
      </w:pPr>
      <w:r>
        <w:t xml:space="preserve">4.1 Détection de régime — HMM à 2 états (bull/bear)</w:t>
      </w:r>
    </w:p>
    <w:p>
      <w:pPr>
        <w:spacing w:after="160"/>
      </w:pPr>
      <w:r>
        <w:rPr>
          <w:rFonts w:ascii="Calibri" w:cs="Calibri" w:eastAsia="Calibri" w:hAnsi="Calibri"/>
          <w:sz w:val="21"/>
          <w:szCs w:val="21"/>
        </w:rPr>
        <w:t xml:space="preserve">Entraîné uniquement sur trois features causales de la Phase 3 : </w:t>
      </w:r>
      <w:r>
        <w:rPr>
          <w:rFonts w:ascii="Consolas" w:cs="Consolas" w:eastAsia="Consolas" w:hAnsi="Consolas"/>
          <w:color w:val="AA3355"/>
          <w:sz w:val="19"/>
          <w:szCs w:val="19"/>
        </w:rPr>
        <w:t xml:space="preserve">MARKET_RETURN</w:t>
      </w:r>
      <w:r>
        <w:rPr>
          <w:rFonts w:ascii="Calibri" w:cs="Calibri" w:eastAsia="Calibri" w:hAnsi="Calibri"/>
          <w:sz w:val="21"/>
          <w:szCs w:val="21"/>
        </w:rPr>
        <w:t xml:space="preserve">, </w:t>
      </w:r>
      <w:r>
        <w:rPr>
          <w:rFonts w:ascii="Consolas" w:cs="Consolas" w:eastAsia="Consolas" w:hAnsi="Consolas"/>
          <w:color w:val="AA3355"/>
          <w:sz w:val="19"/>
          <w:szCs w:val="19"/>
        </w:rPr>
        <w:t xml:space="preserve">MARKET_VOL_SHORT</w:t>
      </w:r>
      <w:r>
        <w:rPr>
          <w:rFonts w:ascii="Calibri" w:cs="Calibri" w:eastAsia="Calibri" w:hAnsi="Calibri"/>
          <w:sz w:val="21"/>
          <w:szCs w:val="21"/>
        </w:rPr>
        <w:t xml:space="preserve">, </w:t>
      </w:r>
      <w:r>
        <w:rPr>
          <w:rFonts w:ascii="Consolas" w:cs="Consolas" w:eastAsia="Consolas" w:hAnsi="Consolas"/>
          <w:color w:val="AA3355"/>
          <w:sz w:val="19"/>
          <w:szCs w:val="19"/>
        </w:rPr>
        <w:t xml:space="preserve">AVG_PAIRWISE_CORR</w:t>
      </w:r>
      <w:r>
        <w:rPr>
          <w:rFonts w:ascii="Calibri" w:cs="Calibri" w:eastAsia="Calibri" w:hAnsi="Calibri"/>
          <w:sz w:val="21"/>
          <w:szCs w:val="21"/>
        </w:rPr>
        <w:t xml:space="preserve"> — les candidats P2/P3 directs, déjà prouvés sans fuite. Chaque ajustement fixe son propre </w:t>
      </w:r>
      <w:r>
        <w:rPr>
          <w:rFonts w:ascii="Consolas" w:cs="Consolas" w:eastAsia="Consolas" w:hAnsi="Consolas"/>
          <w:color w:val="AA3355"/>
          <w:sz w:val="19"/>
          <w:szCs w:val="19"/>
        </w:rPr>
        <w:t xml:space="preserve">StandardScaler</w:t>
      </w:r>
      <w:r>
        <w:rPr>
          <w:rFonts w:ascii="Calibri" w:cs="Calibri" w:eastAsia="Calibri" w:hAnsi="Calibri"/>
          <w:sz w:val="21"/>
          <w:szCs w:val="21"/>
        </w:rPr>
        <w:t xml:space="preserve"> sur la seule fenêtre reçue (jamais global), essaie 5 redémarrages à seeds déterministes et conserve celui de plus haute vraisemblance.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Élément</w:t>
            </w:r>
          </w:p>
        </w:tc>
        <w:tc>
          <w:tcPr>
            <w:tcW w:type="dxa" w:w="63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Détail</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Nombre d'états</w:t>
            </w:r>
          </w:p>
        </w:tc>
        <w:tc>
          <w:tcPr>
            <w:tcW w:type="dxa" w:w="6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 (bull/bear), pas 3 — l'univers 9 actifs n'a que ≈1 255 lignes ; un 3ᵉ état « crise » risquait des échantillons trop fins et sensibles à la graine.</w:t>
            </w:r>
          </w:p>
        </w:tc>
      </w:tr>
      <w:tr>
        <w:tc>
          <w:tcPr>
            <w:tcW w:type="dxa" w:w="3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Features d'entrée</w:t>
            </w:r>
          </w:p>
        </w:tc>
        <w:tc>
          <w:tcPr>
            <w:tcW w:type="dxa" w:w="6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MARKET_RETURN, MARKET_VOL_SHORT, AVG_PAIRWISE_CORR (Phase 3, causales).</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Étiquetage</w:t>
            </w:r>
          </w:p>
        </w:tc>
        <w:tc>
          <w:tcPr>
            <w:tcW w:type="dxa" w:w="6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L'état à moyenne de MARKET_RETURN la plus haute est « bull » — recalculé à chaque ajustement, car hmmlearn ne garantit pas un ordre d'état stable.</w:t>
            </w:r>
          </w:p>
        </w:tc>
      </w:tr>
      <w:tr>
        <w:tc>
          <w:tcPr>
            <w:tcW w:type="dxa" w:w="3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Repli</w:t>
            </w:r>
          </w:p>
        </w:tc>
        <w:tc>
          <w:tcPr>
            <w:tcW w:type="dxa" w:w="6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Fenêtre &lt; 252 jours utiles, ou aucun redémarrage convergent → posterior neutre 50/50, jamais une exception.</w:t>
            </w:r>
          </w:p>
        </w:tc>
      </w:tr>
    </w:tbl>
    <w:p>
      <w:pPr>
        <w:pStyle w:val="Heading2"/>
        <w:spacing w:after="150" w:before="300"/>
      </w:pPr>
      <w:r>
        <w:t xml:space="preserve">4.2 L'échelle de covariance dynamique — 4 échelons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Échelon</w:t>
            </w:r>
          </w:p>
        </w:tc>
        <w:tc>
          <w:tcPr>
            <w:tcW w:type="dxa" w:w="42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Principe</w:t>
            </w:r>
          </w:p>
        </w:tc>
        <w:tc>
          <w:tcPr>
            <w:tcW w:type="dxa" w:w="29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Problème visé</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 Sample (`MinVariance`)</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Covariance empirique brute sur la fenêtre d'entraînement — l'estimateur naïf, déjà en Phase 2.</w:t>
            </w:r>
          </w:p>
        </w:tc>
        <w:tc>
          <w:tcPr>
            <w:tcW w:type="dxa" w:w="29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P1 (référence)</w:t>
            </w:r>
          </w:p>
        </w:tc>
      </w:tr>
      <w:tr>
        <w:tc>
          <w:tcPr>
            <w:tcW w:type="dxa" w:w="24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 Ledoit-Wolf (`MinVarianceLW`)</w:t>
            </w:r>
          </w:p>
        </w:tc>
        <w:tc>
          <w:tcPr>
            <w:tcW w:type="dxa" w:w="4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Rétrécissement statistique vers une cible structurée, intensité estimée sur les données — déjà en Phase 2.</w:t>
            </w:r>
          </w:p>
        </w:tc>
        <w:tc>
          <w:tcPr>
            <w:tcW w:type="dxa" w:w="29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P1</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EWMA (`MinVarianceEWMA`)</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Pondération exponentielle décroissante (demi-vie 63 j) — la covariance réagit à un choc récent au lieu de le diluer sur toute la fenêtre.</w:t>
            </w:r>
          </w:p>
        </w:tc>
        <w:tc>
          <w:tcPr>
            <w:tcW w:type="dxa" w:w="29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P1, P2</w:t>
            </w:r>
          </w:p>
        </w:tc>
      </w:tr>
      <w:tr>
        <w:tc>
          <w:tcPr>
            <w:tcW w:type="dxa" w:w="24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 DCC-GARCH (`DCCGarchStrategy`)</w:t>
            </w:r>
          </w:p>
        </w:tc>
        <w:tc>
          <w:tcPr>
            <w:tcW w:type="dxa" w:w="4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GARCH(1,1) univarié par actif, puis récursion DCC (Engle 2002) sur les résidus standardisés — volatilité et corrélation évoluent séparément.</w:t>
            </w:r>
          </w:p>
        </w:tc>
        <w:tc>
          <w:tcPr>
            <w:tcW w:type="dxa" w:w="29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P1, P2, P3</w:t>
            </w:r>
          </w:p>
        </w:tc>
      </w:tr>
    </w:tbl>
    <w:p>
      <w:pPr>
        <w:spacing w:after="160"/>
      </w:pPr>
      <w:r>
        <w:rPr>
          <w:rFonts w:ascii="Calibri" w:cs="Calibri" w:eastAsia="Calibri" w:hAnsi="Calibri"/>
          <w:b/>
          <w:bCs/>
          <w:sz w:val="21"/>
          <w:szCs w:val="21"/>
        </w:rPr>
        <w:t xml:space="preserve">Preuve empirique que l'EWMA réagit réellement (P2) :</w:t>
      </w:r>
      <w:r>
        <w:rPr>
          <w:rFonts w:ascii="Calibri" w:cs="Calibri" w:eastAsia="Calibri" w:hAnsi="Calibri"/>
          <w:sz w:val="21"/>
          <w:szCs w:val="21"/>
        </w:rPr>
        <w:t xml:space="preserve"> sur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la fenêtre couvrant la période calme de 2021 jusqu'au choc de taux 2022, une fenêtre plate estime une volatilité annualisée de </w:t>
      </w:r>
      <w:r>
        <w:rPr>
          <w:rFonts w:ascii="Calibri" w:cs="Calibri" w:eastAsia="Calibri" w:hAnsi="Calibri"/>
          <w:b/>
          <w:bCs/>
          <w:sz w:val="21"/>
          <w:szCs w:val="21"/>
        </w:rPr>
        <w:t xml:space="preserve">20,7 %</w:t>
      </w:r>
      <w:r>
        <w:rPr>
          <w:rFonts w:ascii="Calibri" w:cs="Calibri" w:eastAsia="Calibri" w:hAnsi="Calibri"/>
          <w:sz w:val="21"/>
          <w:szCs w:val="21"/>
        </w:rPr>
        <w:t xml:space="preserve"> pour SPY, tandis que l'EWMA (demi-vie 63 j, pondérant le choc récent) lit </w:t>
      </w:r>
      <w:r>
        <w:rPr>
          <w:rFonts w:ascii="Calibri" w:cs="Calibri" w:eastAsia="Calibri" w:hAnsi="Calibri"/>
          <w:b/>
          <w:bCs/>
          <w:sz w:val="21"/>
          <w:szCs w:val="21"/>
        </w:rPr>
        <w:t xml:space="preserve">23,3 %</w:t>
      </w:r>
      <w:r>
        <w:rPr>
          <w:rFonts w:ascii="Calibri" w:cs="Calibri" w:eastAsia="Calibri" w:hAnsi="Calibri"/>
          <w:sz w:val="21"/>
          <w:szCs w:val="21"/>
        </w:rPr>
        <w:t xml:space="preserve"> — le même phénomène qu'un test dédié (</w:t>
      </w:r>
      <w:r>
        <w:rPr>
          <w:rFonts w:ascii="Consolas" w:cs="Consolas" w:eastAsia="Consolas" w:hAnsi="Consolas"/>
          <w:color w:val="AA3355"/>
          <w:sz w:val="19"/>
          <w:szCs w:val="19"/>
        </w:rPr>
        <w:t xml:space="preserve">tests/test_strategies.py</w:t>
      </w:r>
      <w:r>
        <w:rPr>
          <w:rFonts w:ascii="Calibri" w:cs="Calibri" w:eastAsia="Calibri" w:hAnsi="Calibri"/>
          <w:sz w:val="21"/>
          <w:szCs w:val="21"/>
        </w:rPr>
        <w:t xml:space="preserve">, §8) prouve sur données synthétiques, désormais confirmé sur données réelles.</w:t>
      </w:r>
    </w:p>
    <w:p>
      <w:pPr>
        <w:pStyle w:val="Heading2"/>
        <w:spacing w:after="150" w:before="300"/>
      </w:pPr>
      <w:r>
        <w:t xml:space="preserve">4.3 Ce que le régime détecte en pratique (P2, P3)</w:t>
      </w:r>
    </w:p>
    <w:p>
      <w:pPr>
        <w:spacing w:after="160"/>
      </w:pPr>
      <w:r>
        <w:rPr>
          <w:rFonts w:ascii="Calibri" w:cs="Calibri" w:eastAsia="Calibri" w:hAnsi="Calibri"/>
          <w:sz w:val="21"/>
          <w:szCs w:val="21"/>
        </w:rPr>
        <w:t xml:space="preserve">Le HMM n'a jamais vu de date de crise étiquetée — l'exercice ci-dessous confronte simplement sa sortie aux fenêtres de stress connues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500"/>
      </w:tblGrid>
      <w:tr>
        <w:trPr>
          <w:tblHeader/>
        </w:trPr>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Univers</w:t>
            </w:r>
          </w:p>
        </w:tc>
        <w:tc>
          <w:tcPr>
            <w:tcW w:type="dxa" w:w="34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Fenêtre de stress connue</w:t>
            </w:r>
          </w:p>
        </w:tc>
        <w:tc>
          <w:tcPr>
            <w:tcW w:type="dxa" w:w="35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Régime détecté (confiance)</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etf_2017</w:t>
            </w:r>
          </w:p>
        </w:tc>
        <w:tc>
          <w:tcPr>
            <w:tcW w:type="dxa" w:w="3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Creux COVID (31/03/2020)</w:t>
            </w:r>
          </w:p>
        </w:tc>
        <w:tc>
          <w:tcPr>
            <w:tcW w:type="dxa" w:w="3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bear (confiance 1,00)</w:t>
            </w:r>
          </w:p>
        </w:tc>
      </w:tr>
      <w:tr>
        <w:tc>
          <w:tcPr>
            <w:tcW w:type="dxa" w:w="26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etf_2017</w:t>
            </w:r>
          </w:p>
        </w:tc>
        <w:tc>
          <w:tcPr>
            <w:tcW w:type="dxa" w:w="34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Choc de taux 2022, milieu (30/06/2022)</w:t>
            </w:r>
          </w:p>
        </w:tc>
        <w:tc>
          <w:tcPr>
            <w:tcW w:type="dxa" w:w="35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bear (confiance 1,00)</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full_2021</w:t>
            </w:r>
          </w:p>
        </w:tc>
        <w:tc>
          <w:tcPr>
            <w:tcW w:type="dxa" w:w="3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Choc de taux 2022 (09→12/2022)</w:t>
            </w:r>
          </w:p>
        </w:tc>
        <w:tc>
          <w:tcPr>
            <w:tcW w:type="dxa" w:w="3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bear (confiance croissant de 0,50 à 1,00 — l'univers 9 actifs, plus court, franchit min_regime_train_days=252 pendant cette fenêtre)</w:t>
            </w:r>
          </w:p>
        </w:tc>
      </w:tr>
    </w:tbl>
    <w:p>
      <w:pPr>
        <w:spacing w:after="160"/>
      </w:pPr>
      <w:r>
        <w:rPr>
          <w:rFonts w:ascii="Calibri" w:cs="Calibri" w:eastAsia="Calibri" w:hAnsi="Calibri"/>
          <w:sz w:val="21"/>
          <w:szCs w:val="21"/>
        </w:rPr>
        <w:t xml:space="preserve">Sur l'ensemble de l'historique :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passe 67 % des 103 rééquilibrages en régime « bear » (33 % « bull »), avec seulement 2,9 % de replis non convergents ;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est plus équilibré (51 % bull / 49 % bear sur 49 rééquilibrages), avec 6,1 % de replis non convergents — attendu sur un historique plus court.</w:t>
      </w:r>
    </w:p>
    <w:p>
      <w:pPr>
        <w:spacing w:after="160"/>
      </w:pPr>
      <w:r>
        <w:rPr>
          <w:rFonts w:ascii="Calibri" w:cs="Calibri" w:eastAsia="Calibri" w:hAnsi="Calibri"/>
          <w:b/>
          <w:bCs/>
          <w:sz w:val="21"/>
          <w:szCs w:val="21"/>
        </w:rPr>
        <w:t xml:space="preserve">Le compromis accepté (commutation dure) est mesurable, pas seulement affirmé :</w:t>
      </w:r>
      <w:r>
        <w:rPr>
          <w:rFonts w:ascii="Calibri" w:cs="Calibri" w:eastAsia="Calibri" w:hAnsi="Calibri"/>
          <w:sz w:val="21"/>
          <w:szCs w:val="21"/>
        </w:rPr>
        <w:t xml:space="preserve"> sur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le turnover moyen atteint 0,382 lors des 20 rééquilibrages de bascule contre 0,036 lors des 82 rééquilibrages stables — plus de 10× plus élevé. Sur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 0,822 contre 0,103 (14 bascules, 34 stables). La bascule dure coûte réellement en frais de transaction, exactement le compromis documenté avant l'implémentation (§5.2).</w:t>
      </w:r>
    </w:p>
    <w:p>
      <w:pPr>
        <w:pStyle w:val="Heading1"/>
        <w:spacing w:after="200" w:before="400"/>
      </w:pPr>
      <w:r>
        <w:t xml:space="preserve">5. Choix de conception — et leurs justifications</w:t>
      </w:r>
    </w:p>
    <w:p>
      <w:pPr>
        <w:pStyle w:val="Heading2"/>
        <w:spacing w:after="150" w:before="300"/>
      </w:pPr>
      <w:r>
        <w:t xml:space="preserve">5.1 Deux états, pas trois</w:t>
      </w:r>
    </w:p>
    <w:p>
      <w:pPr>
        <w:spacing w:after="160"/>
      </w:pP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ne compte qu'environ 1 255 lignes utiles. Un 3ᵉ état « crise » y aurait produit des échantillons trop fins, avec un risque réel de convergence instable et sensible à la graine — l'exact scénario que le projet cherche à éviter (surapprentissage, P4). Un modèle à 2 états dispose de plus de données par état et reste trivialement défendable : « le modèle sépare les périodes de rendement moyen élevé / faible corrélation des périodes de rendement moyen faible / forte corrélation ». Un 3ᵉ état reste une piste explicite pour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seul (§7), qui dispose de 2 489 lignes — mais n'a pas été construit dans cette passe.</w:t>
      </w:r>
    </w:p>
    <w:p>
      <w:pPr>
        <w:pStyle w:val="Heading2"/>
        <w:spacing w:after="150" w:before="300"/>
      </w:pPr>
      <w:r>
        <w:t xml:space="preserve">5.2 Commutation dure, pas un mélange continu de probabilités</w:t>
      </w:r>
    </w:p>
    <w:p>
      <w:pPr>
        <w:spacing w:after="160"/>
      </w:pPr>
      <w:r>
        <w:rPr>
          <w:rFonts w:ascii="Consolas" w:cs="Consolas" w:eastAsia="Consolas" w:hAnsi="Consolas"/>
          <w:color w:val="AA3355"/>
          <w:sz w:val="19"/>
          <w:szCs w:val="19"/>
        </w:rPr>
        <w:t xml:space="preserve">RegimeConditionalStrategy</w:t>
      </w:r>
      <w:r>
        <w:rPr>
          <w:rFonts w:ascii="Calibri" w:cs="Calibri" w:eastAsia="Calibri" w:hAnsi="Calibri"/>
          <w:sz w:val="21"/>
          <w:szCs w:val="21"/>
        </w:rPr>
        <w:t xml:space="preserve"> confie la </w:t>
      </w:r>
      <w:r>
        <w:rPr>
          <w:rFonts w:ascii="Calibri" w:cs="Calibri" w:eastAsia="Calibri" w:hAnsi="Calibri"/>
          <w:b/>
          <w:bCs/>
          <w:sz w:val="21"/>
          <w:szCs w:val="21"/>
        </w:rPr>
        <w:t xml:space="preserve">décision entière</w:t>
      </w:r>
      <w:r>
        <w:rPr>
          <w:rFonts w:ascii="Calibri" w:cs="Calibri" w:eastAsia="Calibri" w:hAnsi="Calibri"/>
          <w:sz w:val="21"/>
          <w:szCs w:val="21"/>
        </w:rPr>
        <w:t xml:space="preserve"> à une stratégie de Phase 2 déjà testée (</w:t>
      </w:r>
      <w:r>
        <w:rPr>
          <w:rFonts w:ascii="Consolas" w:cs="Consolas" w:eastAsia="Consolas" w:hAnsi="Consolas"/>
          <w:color w:val="AA3355"/>
          <w:sz w:val="19"/>
          <w:szCs w:val="19"/>
        </w:rPr>
        <w:t xml:space="preserve">bull_strategy</w:t>
      </w:r>
      <w:r>
        <w:rPr>
          <w:rFonts w:ascii="Calibri" w:cs="Calibri" w:eastAsia="Calibri" w:hAnsi="Calibri"/>
          <w:sz w:val="21"/>
          <w:szCs w:val="21"/>
        </w:rPr>
        <w:t xml:space="preserve"> par défaut </w:t>
      </w:r>
      <w:r>
        <w:rPr>
          <w:rFonts w:ascii="Consolas" w:cs="Consolas" w:eastAsia="Consolas" w:hAnsi="Consolas"/>
          <w:color w:val="AA3355"/>
          <w:sz w:val="19"/>
          <w:szCs w:val="19"/>
        </w:rPr>
        <w:t xml:space="preserve">MaxSharpe</w:t>
      </w:r>
      <w:r>
        <w:rPr>
          <w:rFonts w:ascii="Calibri" w:cs="Calibri" w:eastAsia="Calibri" w:hAnsi="Calibri"/>
          <w:sz w:val="21"/>
          <w:szCs w:val="21"/>
        </w:rPr>
        <w:t xml:space="preserve">, </w:t>
      </w:r>
      <w:r>
        <w:rPr>
          <w:rFonts w:ascii="Consolas" w:cs="Consolas" w:eastAsia="Consolas" w:hAnsi="Consolas"/>
          <w:color w:val="AA3355"/>
          <w:sz w:val="19"/>
          <w:szCs w:val="19"/>
        </w:rPr>
        <w:t xml:space="preserve">bear_strategy</w:t>
      </w:r>
      <w:r>
        <w:rPr>
          <w:rFonts w:ascii="Calibri" w:cs="Calibri" w:eastAsia="Calibri" w:hAnsi="Calibri"/>
          <w:sz w:val="21"/>
          <w:szCs w:val="21"/>
        </w:rPr>
        <w:t xml:space="preserve"> par défaut </w:t>
      </w:r>
      <w:r>
        <w:rPr>
          <w:rFonts w:ascii="Consolas" w:cs="Consolas" w:eastAsia="Consolas" w:hAnsi="Consolas"/>
          <w:color w:val="AA3355"/>
          <w:sz w:val="19"/>
          <w:szCs w:val="19"/>
        </w:rPr>
        <w:t xml:space="preserve">MinVarianceLW</w:t>
      </w:r>
      <w:r>
        <w:rPr>
          <w:rFonts w:ascii="Calibri" w:cs="Calibri" w:eastAsia="Calibri" w:hAnsi="Calibri"/>
          <w:sz w:val="21"/>
          <w:szCs w:val="21"/>
        </w:rPr>
        <w:t xml:space="preserve">) plutôt que de mélanger continûment les deux par leurs probabilités posterior. C'est la conception la plus simple à défendre ligne par ligne à un encadrant non-spécialiste ML — la seule nouvelle surface est la détection de régime plus un aiguillage, pas un nouvel optimiseur. Le compromis connu (turnover aux transitions, §4.3) est accepté pour ce MVP ; un mélange continu (</w:t>
      </w:r>
      <w:r>
        <w:rPr>
          <w:rFonts w:ascii="Consolas" w:cs="Consolas" w:eastAsia="Consolas" w:hAnsi="Consolas"/>
          <w:color w:val="AA3355"/>
          <w:sz w:val="19"/>
          <w:szCs w:val="19"/>
        </w:rPr>
        <w:t xml:space="preserve">w = p_bull·w_bull + p_bear·w_bear</w:t>
      </w:r>
      <w:r>
        <w:rPr>
          <w:rFonts w:ascii="Calibri" w:cs="Calibri" w:eastAsia="Calibri" w:hAnsi="Calibri"/>
          <w:sz w:val="21"/>
          <w:szCs w:val="21"/>
        </w:rPr>
        <w:t xml:space="preserve">) reste une piste documentée, à construire seulement si ce coût s'avère problématique en pratique.</w:t>
      </w:r>
    </w:p>
    <w:p>
      <w:pPr>
        <w:pStyle w:val="Heading2"/>
        <w:spacing w:after="150" w:before="300"/>
      </w:pPr>
      <w:r>
        <w:t xml:space="preserve">5.3 Repli défensif sur non-convergence — jamais un choix haussier par défaut</w:t>
      </w:r>
    </w:p>
    <w:p>
      <w:pPr>
        <w:spacing w:after="160"/>
      </w:pPr>
      <w:r>
        <w:rPr>
          <w:rFonts w:ascii="Calibri" w:cs="Calibri" w:eastAsia="Calibri" w:hAnsi="Calibri"/>
          <w:sz w:val="21"/>
          <w:szCs w:val="21"/>
        </w:rPr>
        <w:t xml:space="preserve">Sous </w:t>
      </w:r>
      <w:r>
        <w:rPr>
          <w:rFonts w:ascii="Consolas" w:cs="Consolas" w:eastAsia="Consolas" w:hAnsi="Consolas"/>
          <w:color w:val="AA3355"/>
          <w:sz w:val="19"/>
          <w:szCs w:val="19"/>
        </w:rPr>
        <w:t xml:space="preserve">min_regime_train_days=252</w:t>
      </w:r>
      <w:r>
        <w:rPr>
          <w:rFonts w:ascii="Calibri" w:cs="Calibri" w:eastAsia="Calibri" w:hAnsi="Calibri"/>
          <w:sz w:val="21"/>
          <w:szCs w:val="21"/>
        </w:rPr>
        <w:t xml:space="preserve"> ou en cas d'échec de tous les redémarrages, le posterior neutre 50/50 est résolu vers la stratégie </w:t>
      </w:r>
      <w:r>
        <w:rPr>
          <w:rFonts w:ascii="Calibri" w:cs="Calibri" w:eastAsia="Calibri" w:hAnsi="Calibri"/>
          <w:b/>
          <w:bCs/>
          <w:sz w:val="21"/>
          <w:szCs w:val="21"/>
        </w:rPr>
        <w:t xml:space="preserve">défensive</w:t>
      </w:r>
      <w:r>
        <w:rPr>
          <w:rFonts w:ascii="Calibri" w:cs="Calibri" w:eastAsia="Calibri" w:hAnsi="Calibri"/>
          <w:sz w:val="21"/>
          <w:szCs w:val="21"/>
        </w:rPr>
        <w:t xml:space="preserve"> (</w:t>
      </w:r>
      <w:r>
        <w:rPr>
          <w:rFonts w:ascii="Consolas" w:cs="Consolas" w:eastAsia="Consolas" w:hAnsi="Consolas"/>
          <w:color w:val="AA3355"/>
          <w:sz w:val="19"/>
          <w:szCs w:val="19"/>
        </w:rPr>
        <w:t xml:space="preserve">bear_strategy</w:t>
      </w:r>
      <w:r>
        <w:rPr>
          <w:rFonts w:ascii="Calibri" w:cs="Calibri" w:eastAsia="Calibri" w:hAnsi="Calibri"/>
          <w:sz w:val="21"/>
          <w:szCs w:val="21"/>
        </w:rPr>
        <w:t xml:space="preserve">), pas vers un départage arbitraire de dictionnaire. Quand le modèle n'a pas de lecture fiable du régime, deviner haussier serait la mauvaise direction par défaut — un choix de conception explicite, pas un accident d'implémentation.</w:t>
      </w:r>
    </w:p>
    <w:p>
      <w:pPr>
        <w:pStyle w:val="Heading2"/>
        <w:spacing w:after="150" w:before="300"/>
      </w:pPr>
      <w:r>
        <w:t xml:space="preserve">5.4 DCC-GARCH construit dans cette passe, pas différé</w:t>
      </w:r>
    </w:p>
    <w:p>
      <w:pPr>
        <w:spacing w:after="160"/>
      </w:pPr>
      <w:r>
        <w:rPr>
          <w:rFonts w:ascii="Calibri" w:cs="Calibri" w:eastAsia="Calibri" w:hAnsi="Calibri"/>
          <w:sz w:val="21"/>
          <w:szCs w:val="21"/>
        </w:rPr>
        <w:t xml:space="preserve">Le plan initial envisageait de différer DCC-GARCH (risque d'implémentation réel : </w:t>
      </w:r>
      <w:r>
        <w:rPr>
          <w:rFonts w:ascii="Consolas" w:cs="Consolas" w:eastAsia="Consolas" w:hAnsi="Consolas"/>
          <w:color w:val="AA3355"/>
          <w:sz w:val="19"/>
          <w:szCs w:val="19"/>
        </w:rPr>
        <w:t xml:space="preserve">arch</w:t>
      </w:r>
      <w:r>
        <w:rPr>
          <w:rFonts w:ascii="Calibri" w:cs="Calibri" w:eastAsia="Calibri" w:hAnsi="Calibri"/>
          <w:sz w:val="21"/>
          <w:szCs w:val="21"/>
        </w:rPr>
        <w:t xml:space="preserve"> ne fournit que le GARCH univarié). Décision prise avec l'encadrement : construire l'échelle complète dès cette passe. L'estimateur à deux étapes (Engle 2002) est correctement testé (</w:t>
      </w:r>
      <w:r>
        <w:rPr>
          <w:rFonts w:ascii="Consolas" w:cs="Consolas" w:eastAsia="Consolas" w:hAnsi="Consolas"/>
          <w:color w:val="AA3355"/>
          <w:sz w:val="19"/>
          <w:szCs w:val="19"/>
        </w:rPr>
        <w:t xml:space="preserve">tests/test_dcc_garch.py</w:t>
      </w:r>
      <w:r>
        <w:rPr>
          <w:rFonts w:ascii="Calibri" w:cs="Calibri" w:eastAsia="Calibri" w:hAnsi="Calibri"/>
          <w:sz w:val="21"/>
          <w:szCs w:val="21"/>
        </w:rPr>
        <w:t xml:space="preserve">) — matrices de corrélation valides, réaction mesurable à un choc de corrélation planté, et repli vers Ledoit-Wolf sur non-convergence forcée — avant tout branchement dans </w:t>
      </w:r>
      <w:r>
        <w:rPr>
          <w:rFonts w:ascii="Consolas" w:cs="Consolas" w:eastAsia="Consolas" w:hAnsi="Consolas"/>
          <w:color w:val="AA3355"/>
          <w:sz w:val="19"/>
          <w:szCs w:val="19"/>
        </w:rPr>
        <w:t xml:space="preserve">strategies.py</w:t>
      </w:r>
      <w:r>
        <w:rPr>
          <w:rFonts w:ascii="Calibri" w:cs="Calibri" w:eastAsia="Calibri" w:hAnsi="Calibri"/>
          <w:sz w:val="21"/>
          <w:szCs w:val="21"/>
        </w:rPr>
        <w:t xml:space="preserve">. Coût accepté : un temps d'exécution de quelques minutes par passage complet (dominé par les ré-ajustements GARCH par actif à chaque rééquilibrage), jamais exécuté par la CI.</w:t>
      </w:r>
    </w:p>
    <w:p>
      <w:pPr>
        <w:pStyle w:val="Heading2"/>
        <w:spacing w:after="150" w:before="300"/>
      </w:pPr>
      <w:r>
        <w:t xml:space="preserve">5.5 Deux nouvelles étapes DVC — fermeture d'une brèche déjà observée</w:t>
      </w:r>
    </w:p>
    <w:p>
      <w:pPr>
        <w:spacing w:after="160"/>
      </w:pPr>
      <w:r>
        <w:rPr>
          <w:rFonts w:ascii="Consolas" w:cs="Consolas" w:eastAsia="Consolas" w:hAnsi="Consolas"/>
          <w:color w:val="AA3355"/>
          <w:sz w:val="19"/>
          <w:szCs w:val="19"/>
        </w:rPr>
        <w:t xml:space="preserve">data/gold/phase2_hurdle.json</w:t>
      </w:r>
      <w:r>
        <w:rPr>
          <w:rFonts w:ascii="Calibri" w:cs="Calibri" w:eastAsia="Calibri" w:hAnsi="Calibri"/>
          <w:sz w:val="21"/>
          <w:szCs w:val="21"/>
        </w:rPr>
        <w:t xml:space="preserve"> avait déjà dérivé d'un univers en retard après une resynchronisation de données (incident du 20 juillet 2026, corrigé le jour même). La Phase 4 double le nombre de stratégies comparées pour le calcul du Deflated Sharpe Ratio — le moment de fermer la brèche plutôt que de la répéter. </w:t>
      </w:r>
      <w:r>
        <w:rPr>
          <w:rFonts w:ascii="Consolas" w:cs="Consolas" w:eastAsia="Consolas" w:hAnsi="Consolas"/>
          <w:color w:val="AA3355"/>
          <w:sz w:val="19"/>
          <w:szCs w:val="19"/>
        </w:rPr>
        <w:t xml:space="preserve">dvc.yaml</w:t>
      </w:r>
      <w:r>
        <w:rPr>
          <w:rFonts w:ascii="Calibri" w:cs="Calibri" w:eastAsia="Calibri" w:hAnsi="Calibri"/>
          <w:sz w:val="21"/>
          <w:szCs w:val="21"/>
        </w:rPr>
        <w:t xml:space="preserve"> gagne les étapes </w:t>
      </w:r>
      <w:r>
        <w:rPr>
          <w:rFonts w:ascii="Consolas" w:cs="Consolas" w:eastAsia="Consolas" w:hAnsi="Consolas"/>
          <w:color w:val="AA3355"/>
          <w:sz w:val="19"/>
          <w:szCs w:val="19"/>
        </w:rPr>
        <w:t xml:space="preserve">phase2_hurdle</w:t>
      </w:r>
      <w:r>
        <w:rPr>
          <w:rFonts w:ascii="Calibri" w:cs="Calibri" w:eastAsia="Calibri" w:hAnsi="Calibri"/>
          <w:sz w:val="21"/>
          <w:szCs w:val="21"/>
        </w:rPr>
        <w:t xml:space="preserve"> et </w:t>
      </w:r>
      <w:r>
        <w:rPr>
          <w:rFonts w:ascii="Consolas" w:cs="Consolas" w:eastAsia="Consolas" w:hAnsi="Consolas"/>
          <w:color w:val="AA3355"/>
          <w:sz w:val="19"/>
          <w:szCs w:val="19"/>
        </w:rPr>
        <w:t xml:space="preserve">phase4_compare</w:t>
      </w:r>
      <w:r>
        <w:rPr>
          <w:rFonts w:ascii="Calibri" w:cs="Calibri" w:eastAsia="Calibri" w:hAnsi="Calibri"/>
          <w:sz w:val="21"/>
          <w:szCs w:val="21"/>
        </w:rPr>
        <w:t xml:space="preserve"> : les deux fichiers de résultats se régénèrent désormais automatiquement via </w:t>
      </w:r>
      <w:r>
        <w:rPr>
          <w:rFonts w:ascii="Consolas" w:cs="Consolas" w:eastAsia="Consolas" w:hAnsi="Consolas"/>
          <w:color w:val="AA3355"/>
          <w:sz w:val="19"/>
          <w:szCs w:val="19"/>
        </w:rPr>
        <w:t xml:space="preserve">dvc repro</w:t>
      </w:r>
      <w:r>
        <w:rPr>
          <w:rFonts w:ascii="Calibri" w:cs="Calibri" w:eastAsia="Calibri" w:hAnsi="Calibri"/>
          <w:sz w:val="21"/>
          <w:szCs w:val="21"/>
        </w:rPr>
        <w:t xml:space="preserve"> dès que leurs dépendances (données Gold ou code source) changent.</w:t>
      </w:r>
    </w:p>
    <w:p>
      <w:pPr>
        <w:pStyle w:val="Heading1"/>
        <w:spacing w:after="200" w:before="400"/>
      </w:pPr>
      <w:r>
        <w:t xml:space="preserve">6. Les résultats — bout-en-bout, sur données réelles (P1–P4)</w:t>
      </w:r>
    </w:p>
    <w:p>
      <w:pPr>
        <w:spacing w:after="160"/>
      </w:pPr>
      <w:r>
        <w:rPr>
          <w:rFonts w:ascii="Calibri" w:cs="Calibri" w:eastAsia="Calibri" w:hAnsi="Calibri"/>
          <w:sz w:val="21"/>
          <w:szCs w:val="21"/>
        </w:rPr>
        <w:t xml:space="preserve">Un seul run (</w:t>
      </w:r>
      <w:r>
        <w:rPr>
          <w:rFonts w:ascii="Consolas" w:cs="Consolas" w:eastAsia="Consolas" w:hAnsi="Consolas"/>
          <w:color w:val="AA3355"/>
          <w:sz w:val="19"/>
          <w:szCs w:val="19"/>
        </w:rPr>
        <w:t xml:space="preserve">src/run_phase4.py</w:t>
      </w:r>
      <w:r>
        <w:rPr>
          <w:rFonts w:ascii="Calibri" w:cs="Calibri" w:eastAsia="Calibri" w:hAnsi="Calibri"/>
          <w:sz w:val="21"/>
          <w:szCs w:val="21"/>
        </w:rPr>
        <w:t xml:space="preserve">, aussi l'étape DVC </w:t>
      </w:r>
      <w:r>
        <w:rPr>
          <w:rFonts w:ascii="Consolas" w:cs="Consolas" w:eastAsia="Consolas" w:hAnsi="Consolas"/>
          <w:color w:val="AA3355"/>
          <w:sz w:val="19"/>
          <w:szCs w:val="19"/>
        </w:rPr>
        <w:t xml:space="preserve">phase4_compare</w:t>
      </w:r>
      <w:r>
        <w:rPr>
          <w:rFonts w:ascii="Calibri" w:cs="Calibri" w:eastAsia="Calibri" w:hAnsi="Calibri"/>
          <w:sz w:val="21"/>
          <w:szCs w:val="21"/>
        </w:rPr>
        <w:t xml:space="preserve">) exécute les 4 baselines de la Phase 2 </w:t>
      </w:r>
      <w:r>
        <w:rPr>
          <w:rFonts w:ascii="Calibri" w:cs="Calibri" w:eastAsia="Calibri" w:hAnsi="Calibri"/>
          <w:b/>
          <w:bCs/>
          <w:sz w:val="21"/>
          <w:szCs w:val="21"/>
        </w:rPr>
        <w:t xml:space="preserve">et</w:t>
      </w:r>
      <w:r>
        <w:rPr>
          <w:rFonts w:ascii="Calibri" w:cs="Calibri" w:eastAsia="Calibri" w:hAnsi="Calibri"/>
          <w:sz w:val="21"/>
          <w:szCs w:val="21"/>
        </w:rPr>
        <w:t xml:space="preserve"> les 3 stratégies de la Phase 4 dans la même passe, sur le même instantané Gold — la réserve d'essais partagée que le Deflated Sharpe Ratio exige pour rester honnête (règle documentée dans </w:t>
      </w:r>
      <w:r>
        <w:rPr>
          <w:rFonts w:ascii="Consolas" w:cs="Consolas" w:eastAsia="Consolas" w:hAnsi="Consolas"/>
          <w:color w:val="AA3355"/>
          <w:sz w:val="19"/>
          <w:szCs w:val="19"/>
        </w:rPr>
        <w:t xml:space="preserve">run_backtest.py</w:t>
      </w:r>
      <w:r>
        <w:rPr>
          <w:rFonts w:ascii="Calibri" w:cs="Calibri" w:eastAsia="Calibri" w:hAnsi="Calibri"/>
          <w:sz w:val="21"/>
          <w:szCs w:val="21"/>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300"/>
        <w:gridCol w:w="2700"/>
      </w:tblGrid>
      <w:tr>
        <w:trPr>
          <w:tblHeader/>
        </w:trPr>
        <w:tc>
          <w:tcPr>
            <w:tcW w:type="dxa" w:w="23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Univers</w:t>
            </w:r>
          </w:p>
        </w:tc>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Stratégie gagnante</w:t>
            </w:r>
          </w:p>
        </w:tc>
        <w:tc>
          <w:tcPr>
            <w:tcW w:type="dxa" w:w="23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Sharpe net</w:t>
            </w:r>
          </w:p>
        </w:tc>
        <w:tc>
          <w:tcPr>
            <w:tcW w:type="dxa" w:w="27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vs. haie Phase 2</w:t>
            </w:r>
          </w:p>
        </w:tc>
      </w:tr>
      <w:tr>
        <w:tc>
          <w:tcPr>
            <w:tcW w:type="dxa" w:w="2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etf_2017</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max_sharpe (Phase 2)</w:t>
            </w:r>
          </w:p>
        </w:tc>
        <w:tc>
          <w:tcPr>
            <w:tcW w:type="dxa" w:w="2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0,936</w:t>
            </w:r>
          </w:p>
        </w:tc>
        <w:tc>
          <w:tcPr>
            <w:tcW w:type="dxa" w:w="27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Non battue (meilleure Phase 4 : regime_conditional, 0,894)</w:t>
            </w:r>
          </w:p>
        </w:tc>
      </w:tr>
      <w:tr>
        <w:tc>
          <w:tcPr>
            <w:tcW w:type="dxa" w:w="2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full_2021</w:t>
            </w:r>
          </w:p>
        </w:tc>
        <w:tc>
          <w:tcPr>
            <w:tcW w:type="dxa" w:w="26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regime_conditional (Phase 4)</w:t>
            </w:r>
          </w:p>
        </w:tc>
        <w:tc>
          <w:tcPr>
            <w:tcW w:type="dxa" w:w="2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1,122</w:t>
            </w:r>
          </w:p>
        </w:tc>
        <w:tc>
          <w:tcPr>
            <w:tcW w:type="dxa" w:w="27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Battue (haie 0,975)</w:t>
            </w:r>
          </w:p>
        </w:tc>
      </w:tr>
    </w:tbl>
    <w:p>
      <w:pPr>
        <w:spacing w:after="160"/>
      </w:pPr>
      <w:r>
        <w:rPr>
          <w:rFonts w:ascii="Calibri" w:cs="Calibri" w:eastAsia="Calibri" w:hAnsi="Calibri"/>
          <w:sz w:val="21"/>
          <w:szCs w:val="21"/>
        </w:rPr>
        <w:t xml:space="preserve">Détail complet des 7 stratégies sur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 </w:t>
      </w:r>
      <w:r>
        <w:rPr>
          <w:rFonts w:ascii="Consolas" w:cs="Consolas" w:eastAsia="Consolas" w:hAnsi="Consolas"/>
          <w:color w:val="AA3355"/>
          <w:sz w:val="19"/>
          <w:szCs w:val="19"/>
        </w:rPr>
        <w:t xml:space="preserve">equal_weight</w:t>
      </w:r>
      <w:r>
        <w:rPr>
          <w:rFonts w:ascii="Calibri" w:cs="Calibri" w:eastAsia="Calibri" w:hAnsi="Calibri"/>
          <w:sz w:val="21"/>
          <w:szCs w:val="21"/>
        </w:rPr>
        <w:t xml:space="preserve"> 0,975 · </w:t>
      </w:r>
      <w:r>
        <w:rPr>
          <w:rFonts w:ascii="Consolas" w:cs="Consolas" w:eastAsia="Consolas" w:hAnsi="Consolas"/>
          <w:color w:val="AA3355"/>
          <w:sz w:val="19"/>
          <w:szCs w:val="19"/>
        </w:rPr>
        <w:t xml:space="preserve">min_variance</w:t>
      </w:r>
      <w:r>
        <w:rPr>
          <w:rFonts w:ascii="Calibri" w:cs="Calibri" w:eastAsia="Calibri" w:hAnsi="Calibri"/>
          <w:sz w:val="21"/>
          <w:szCs w:val="21"/>
        </w:rPr>
        <w:t xml:space="preserve"> 0,901 · </w:t>
      </w:r>
      <w:r>
        <w:rPr>
          <w:rFonts w:ascii="Consolas" w:cs="Consolas" w:eastAsia="Consolas" w:hAnsi="Consolas"/>
          <w:color w:val="AA3355"/>
          <w:sz w:val="19"/>
          <w:szCs w:val="19"/>
        </w:rPr>
        <w:t xml:space="preserve">min_variance_lw</w:t>
      </w:r>
      <w:r>
        <w:rPr>
          <w:rFonts w:ascii="Calibri" w:cs="Calibri" w:eastAsia="Calibri" w:hAnsi="Calibri"/>
          <w:sz w:val="21"/>
          <w:szCs w:val="21"/>
        </w:rPr>
        <w:t xml:space="preserve"> 0,904 · </w:t>
      </w:r>
      <w:r>
        <w:rPr>
          <w:rFonts w:ascii="Consolas" w:cs="Consolas" w:eastAsia="Consolas" w:hAnsi="Consolas"/>
          <w:color w:val="AA3355"/>
          <w:sz w:val="19"/>
          <w:szCs w:val="19"/>
        </w:rPr>
        <w:t xml:space="preserve">max_sharpe</w:t>
      </w:r>
      <w:r>
        <w:rPr>
          <w:rFonts w:ascii="Calibri" w:cs="Calibri" w:eastAsia="Calibri" w:hAnsi="Calibri"/>
          <w:sz w:val="21"/>
          <w:szCs w:val="21"/>
        </w:rPr>
        <w:t xml:space="preserve"> 0,963 · </w:t>
      </w:r>
      <w:r>
        <w:rPr>
          <w:rFonts w:ascii="Consolas" w:cs="Consolas" w:eastAsia="Consolas" w:hAnsi="Consolas"/>
          <w:color w:val="AA3355"/>
          <w:sz w:val="19"/>
          <w:szCs w:val="19"/>
        </w:rPr>
        <w:t xml:space="preserve">min_variance_ewma</w:t>
      </w:r>
      <w:r>
        <w:rPr>
          <w:rFonts w:ascii="Calibri" w:cs="Calibri" w:eastAsia="Calibri" w:hAnsi="Calibri"/>
          <w:sz w:val="21"/>
          <w:szCs w:val="21"/>
        </w:rPr>
        <w:t xml:space="preserve"> 1,041 · </w:t>
      </w:r>
      <w:r>
        <w:rPr>
          <w:rFonts w:ascii="Consolas" w:cs="Consolas" w:eastAsia="Consolas" w:hAnsi="Consolas"/>
          <w:color w:val="AA3355"/>
          <w:sz w:val="19"/>
          <w:szCs w:val="19"/>
        </w:rPr>
        <w:t xml:space="preserve">dcc_garch</w:t>
      </w:r>
      <w:r>
        <w:rPr>
          <w:rFonts w:ascii="Calibri" w:cs="Calibri" w:eastAsia="Calibri" w:hAnsi="Calibri"/>
          <w:sz w:val="21"/>
          <w:szCs w:val="21"/>
        </w:rPr>
        <w:t xml:space="preserve"> 1,046 · </w:t>
      </w:r>
      <w:r>
        <w:rPr>
          <w:rFonts w:ascii="Consolas" w:cs="Consolas" w:eastAsia="Consolas" w:hAnsi="Consolas"/>
          <w:color w:val="AA3355"/>
          <w:sz w:val="19"/>
          <w:szCs w:val="19"/>
        </w:rPr>
        <w:t xml:space="preserve">regime_conditional</w:t>
      </w:r>
      <w:r>
        <w:rPr>
          <w:rFonts w:ascii="Calibri" w:cs="Calibri" w:eastAsia="Calibri" w:hAnsi="Calibri"/>
          <w:sz w:val="21"/>
          <w:szCs w:val="21"/>
        </w:rPr>
        <w:t xml:space="preserve"> 1,122 — trois des trois stratégies Phase 4 battent la haie sur cet univers. Sur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 </w:t>
      </w:r>
      <w:r>
        <w:rPr>
          <w:rFonts w:ascii="Consolas" w:cs="Consolas" w:eastAsia="Consolas" w:hAnsi="Consolas"/>
          <w:color w:val="AA3355"/>
          <w:sz w:val="19"/>
          <w:szCs w:val="19"/>
        </w:rPr>
        <w:t xml:space="preserve">equal_weight</w:t>
      </w:r>
      <w:r>
        <w:rPr>
          <w:rFonts w:ascii="Calibri" w:cs="Calibri" w:eastAsia="Calibri" w:hAnsi="Calibri"/>
          <w:sz w:val="21"/>
          <w:szCs w:val="21"/>
        </w:rPr>
        <w:t xml:space="preserve"> 0,833 · </w:t>
      </w:r>
      <w:r>
        <w:rPr>
          <w:rFonts w:ascii="Consolas" w:cs="Consolas" w:eastAsia="Consolas" w:hAnsi="Consolas"/>
          <w:color w:val="AA3355"/>
          <w:sz w:val="19"/>
          <w:szCs w:val="19"/>
        </w:rPr>
        <w:t xml:space="preserve">min_variance</w:t>
      </w:r>
      <w:r>
        <w:rPr>
          <w:rFonts w:ascii="Calibri" w:cs="Calibri" w:eastAsia="Calibri" w:hAnsi="Calibri"/>
          <w:sz w:val="21"/>
          <w:szCs w:val="21"/>
        </w:rPr>
        <w:t xml:space="preserve"> 0,826 · </w:t>
      </w:r>
      <w:r>
        <w:rPr>
          <w:rFonts w:ascii="Consolas" w:cs="Consolas" w:eastAsia="Consolas" w:hAnsi="Consolas"/>
          <w:color w:val="AA3355"/>
          <w:sz w:val="19"/>
          <w:szCs w:val="19"/>
        </w:rPr>
        <w:t xml:space="preserve">min_variance_lw</w:t>
      </w:r>
      <w:r>
        <w:rPr>
          <w:rFonts w:ascii="Calibri" w:cs="Calibri" w:eastAsia="Calibri" w:hAnsi="Calibri"/>
          <w:sz w:val="21"/>
          <w:szCs w:val="21"/>
        </w:rPr>
        <w:t xml:space="preserve"> 0,825 · </w:t>
      </w:r>
      <w:r>
        <w:rPr>
          <w:rFonts w:ascii="Consolas" w:cs="Consolas" w:eastAsia="Consolas" w:hAnsi="Consolas"/>
          <w:color w:val="AA3355"/>
          <w:sz w:val="19"/>
          <w:szCs w:val="19"/>
        </w:rPr>
        <w:t xml:space="preserve">max_sharpe</w:t>
      </w:r>
      <w:r>
        <w:rPr>
          <w:rFonts w:ascii="Calibri" w:cs="Calibri" w:eastAsia="Calibri" w:hAnsi="Calibri"/>
          <w:sz w:val="21"/>
          <w:szCs w:val="21"/>
        </w:rPr>
        <w:t xml:space="preserve"> 0,936 · </w:t>
      </w:r>
      <w:r>
        <w:rPr>
          <w:rFonts w:ascii="Consolas" w:cs="Consolas" w:eastAsia="Consolas" w:hAnsi="Consolas"/>
          <w:color w:val="AA3355"/>
          <w:sz w:val="19"/>
          <w:szCs w:val="19"/>
        </w:rPr>
        <w:t xml:space="preserve">min_variance_ewma</w:t>
      </w:r>
      <w:r>
        <w:rPr>
          <w:rFonts w:ascii="Calibri" w:cs="Calibri" w:eastAsia="Calibri" w:hAnsi="Calibri"/>
          <w:sz w:val="21"/>
          <w:szCs w:val="21"/>
        </w:rPr>
        <w:t xml:space="preserve"> 0,849 · </w:t>
      </w:r>
      <w:r>
        <w:rPr>
          <w:rFonts w:ascii="Consolas" w:cs="Consolas" w:eastAsia="Consolas" w:hAnsi="Consolas"/>
          <w:color w:val="AA3355"/>
          <w:sz w:val="19"/>
          <w:szCs w:val="19"/>
        </w:rPr>
        <w:t xml:space="preserve">dcc_garch</w:t>
      </w:r>
      <w:r>
        <w:rPr>
          <w:rFonts w:ascii="Calibri" w:cs="Calibri" w:eastAsia="Calibri" w:hAnsi="Calibri"/>
          <w:sz w:val="21"/>
          <w:szCs w:val="21"/>
        </w:rPr>
        <w:t xml:space="preserve"> 0,851 · </w:t>
      </w:r>
      <w:r>
        <w:rPr>
          <w:rFonts w:ascii="Consolas" w:cs="Consolas" w:eastAsia="Consolas" w:hAnsi="Consolas"/>
          <w:color w:val="AA3355"/>
          <w:sz w:val="19"/>
          <w:szCs w:val="19"/>
        </w:rPr>
        <w:t xml:space="preserve">regime_conditional</w:t>
      </w:r>
      <w:r>
        <w:rPr>
          <w:rFonts w:ascii="Calibri" w:cs="Calibri" w:eastAsia="Calibri" w:hAnsi="Calibri"/>
          <w:sz w:val="21"/>
          <w:szCs w:val="21"/>
        </w:rPr>
        <w:t xml:space="preserve"> 0,894 — aucune des trois ne bat la haie.</w:t>
      </w:r>
    </w:p>
    <w:p>
      <w:pPr>
        <w:spacing w:after="160"/>
      </w:pPr>
      <w:r>
        <w:rPr>
          <w:rFonts w:ascii="Calibri" w:cs="Calibri" w:eastAsia="Calibri" w:hAnsi="Calibri"/>
          <w:b/>
          <w:bCs/>
          <w:sz w:val="21"/>
          <w:szCs w:val="21"/>
        </w:rPr>
        <w:t xml:space="preserve">Un résultat réel, honnête et mixte — non présenté comme une victoire universelle.</w:t>
      </w:r>
      <w:r>
        <w:rPr>
          <w:rFonts w:ascii="Calibri" w:cs="Calibri" w:eastAsia="Calibri" w:hAnsi="Calibri"/>
          <w:sz w:val="21"/>
          <w:szCs w:val="21"/>
        </w:rPr>
        <w:t xml:space="preserve"> Le repli de secours de DCC-GARCH (bascule vers Ledoit-Wolf) s'est déclenché exactement une fois pendant ce run (</w:t>
      </w:r>
      <w:r>
        <w:rPr>
          <w:rFonts w:ascii="Consolas" w:cs="Consolas" w:eastAsia="Consolas" w:hAnsi="Consolas"/>
          <w:color w:val="AA3355"/>
          <w:sz w:val="19"/>
          <w:szCs w:val="19"/>
        </w:rPr>
        <w:t xml:space="preserve">IAM.CS</w:t>
      </w:r>
      <w:r>
        <w:rPr>
          <w:rFonts w:ascii="Calibri" w:cs="Calibri" w:eastAsia="Calibri" w:hAnsi="Calibri"/>
          <w:sz w:val="21"/>
          <w:szCs w:val="21"/>
        </w:rPr>
        <w:t xml:space="preserve">,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un rééquilibrage) — le filet de sécurité fonctionnant hors des tests aussi, pas un bug.</w:t>
      </w:r>
    </w:p>
    <w:p>
      <w:pPr>
        <w:pStyle w:val="Heading1"/>
        <w:spacing w:after="200" w:before="400"/>
      </w:pPr>
      <w:r>
        <w:t xml:space="preserve">7. Pourquoi l'univers ETF n'a-t-il pas répondu ? — investigation, pas un haussement d'épaules</w:t>
      </w:r>
    </w:p>
    <w:p>
      <w:pPr>
        <w:spacing w:after="160"/>
      </w:pPr>
      <w:r>
        <w:rPr>
          <w:rFonts w:ascii="Calibri" w:cs="Calibri" w:eastAsia="Calibri" w:hAnsi="Calibri"/>
          <w:sz w:val="21"/>
          <w:szCs w:val="21"/>
        </w:rPr>
        <w:t xml:space="preserve">Le résultat négatif de §6 mérite une explication vérifiée, pas une supposition.</w:t>
      </w:r>
    </w:p>
    <w:p>
      <w:pPr>
        <w:pStyle w:val="ListParagraph"/>
        <w:numPr>
          <w:ilvl w:val="0"/>
          <w:numId w:val="1"/>
        </w:numPr>
        <w:spacing w:after="90"/>
      </w:pPr>
      <w:r>
        <w:rPr>
          <w:rFonts w:ascii="Calibri" w:cs="Calibri" w:eastAsia="Calibri" w:hAnsi="Calibri"/>
          <w:b/>
          <w:bCs/>
          <w:sz w:val="21"/>
          <w:szCs w:val="21"/>
        </w:rPr>
        <w:t xml:space="preserve">Historique deux fois plus long.</w:t>
      </w:r>
      <w:r>
        <w:rPr>
          <w:rFonts w:ascii="Calibri" w:cs="Calibri" w:eastAsia="Calibri" w:hAnsi="Calibri"/>
          <w:sz w:val="21"/>
          <w:szCs w:val="21"/>
        </w:rPr>
        <w:t xml:space="preserve">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compte 2 489 jours de bourse contre 1 317 pour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Sa haie Phase 2 (</w:t>
      </w:r>
      <w:r>
        <w:rPr>
          <w:rFonts w:ascii="Consolas" w:cs="Consolas" w:eastAsia="Consolas" w:hAnsi="Consolas"/>
          <w:color w:val="AA3355"/>
          <w:sz w:val="19"/>
          <w:szCs w:val="19"/>
        </w:rPr>
        <w:t xml:space="preserve">max_sharpe</w:t>
      </w:r>
      <w:r>
        <w:rPr>
          <w:rFonts w:ascii="Calibri" w:cs="Calibri" w:eastAsia="Calibri" w:hAnsi="Calibri"/>
          <w:sz w:val="21"/>
          <w:szCs w:val="21"/>
        </w:rPr>
        <w:t xml:space="preserve">, 0,936) est déjà un résultat solide sur un échantillon long et relativement calme — il reste structurellement moins de mauvaise tarification à corriger pour un modèle de régime/covariance.</w:t>
      </w:r>
      <w:r>
        <w:rPr>
          <w:b/>
          <w:color w:val="B03000"/>
          <w:sz w:val="19"/>
        </w:rPr>
        <w:t xml:space="preserve">  [SUPERSÉDÉ 25/07/2026] L'absence de réponse sur etf_2017 tient surtout à la CONTRAINTE, non au manque de mispricing : avec 5 actifs et un plafond de 25 %, 5 × 0,25 = 1,25 force au moins 4 actifs au plafond — à 0,25, min_variance_lw ne produit qu'UNE allocation sur 248 rééquilibrages. Un balayage du plafond a confirmé que le verdict négatif tient malgré tout à plafond non contraignant : la conclusion subsiste, son explication change. Voir docs/ETF_DEEP_HISTORY_EXPERIMENT.md.</w:t>
      </w:r>
    </w:p>
    <w:p>
      <w:pPr>
        <w:pStyle w:val="ListParagraph"/>
        <w:numPr>
          <w:ilvl w:val="0"/>
          <w:numId w:val="1"/>
        </w:numPr>
        <w:spacing w:after="90"/>
      </w:pPr>
      <w:r>
        <w:rPr>
          <w:rFonts w:ascii="Calibri" w:cs="Calibri" w:eastAsia="Calibri" w:hAnsi="Calibri"/>
          <w:b/>
          <w:bCs/>
          <w:sz w:val="21"/>
          <w:szCs w:val="21"/>
        </w:rPr>
        <w:t xml:space="preserve">La haie elle-même est plus faible sur `full_2021`.</w:t>
      </w:r>
      <w:r>
        <w:rPr>
          <w:rFonts w:ascii="Calibri" w:cs="Calibri" w:eastAsia="Calibri" w:hAnsi="Calibri"/>
          <w:sz w:val="21"/>
          <w:szCs w:val="21"/>
        </w:rPr>
        <w:t xml:space="preserve"> </w:t>
      </w:r>
      <w:r>
        <w:rPr>
          <w:rFonts w:ascii="Consolas" w:cs="Consolas" w:eastAsia="Consolas" w:hAnsi="Consolas"/>
          <w:color w:val="AA3355"/>
          <w:sz w:val="19"/>
          <w:szCs w:val="19"/>
        </w:rPr>
        <w:t xml:space="preserve">equal_weight</w:t>
      </w:r>
      <w:r>
        <w:rPr>
          <w:rFonts w:ascii="Calibri" w:cs="Calibri" w:eastAsia="Calibri" w:hAnsi="Calibri"/>
          <w:sz w:val="21"/>
          <w:szCs w:val="21"/>
        </w:rPr>
        <w:t xml:space="preserve"> y gagne net de coûts (0,975, le résultat DeMiguel) précisément parce que la diversification naïve fait l'essentiel du travail — c'est exactement là que le ML de régime/covariance a le plus de marge pour ajouter de la valeur.</w:t>
      </w:r>
      <w:r>
        <w:rPr>
          <w:b/>
          <w:color w:val="B03000"/>
          <w:sz w:val="19"/>
        </w:rPr>
        <w:t xml:space="preserve">  [RÉTRACTÉ 25/07/2026] Prémisse invalidée : une fois les dividendes BVC pris en compte, max_sharpe (1,163) bat equal_weight (1,152). Le « résultat DeMiguel » invoqué ici n'existe pas.</w:t>
      </w:r>
    </w:p>
    <w:p>
      <w:pPr>
        <w:pStyle w:val="ListParagraph"/>
        <w:numPr>
          <w:ilvl w:val="0"/>
          <w:numId w:val="1"/>
        </w:numPr>
        <w:spacing w:after="90"/>
      </w:pPr>
      <w:r>
        <w:rPr>
          <w:rFonts w:ascii="Calibri" w:cs="Calibri" w:eastAsia="Calibri" w:hAnsi="Calibri"/>
          <w:b/>
          <w:bCs/>
          <w:sz w:val="21"/>
          <w:szCs w:val="21"/>
        </w:rPr>
        <w:t xml:space="preserve">Le coût de transaction se lit dans l'écart brut/net.</w:t>
      </w:r>
      <w:r>
        <w:rPr>
          <w:rFonts w:ascii="Calibri" w:cs="Calibri" w:eastAsia="Calibri" w:hAnsi="Calibri"/>
          <w:sz w:val="21"/>
          <w:szCs w:val="21"/>
        </w:rPr>
        <w:t xml:space="preserve"> </w:t>
      </w:r>
      <w:r>
        <w:rPr>
          <w:rFonts w:ascii="Consolas" w:cs="Consolas" w:eastAsia="Consolas" w:hAnsi="Consolas"/>
          <w:color w:val="AA3355"/>
          <w:sz w:val="19"/>
          <w:szCs w:val="19"/>
        </w:rPr>
        <w:t xml:space="preserve">regime_conditional</w:t>
      </w:r>
      <w:r>
        <w:rPr>
          <w:rFonts w:ascii="Calibri" w:cs="Calibri" w:eastAsia="Calibri" w:hAnsi="Calibri"/>
          <w:sz w:val="21"/>
          <w:szCs w:val="21"/>
        </w:rPr>
        <w:t xml:space="preserve"> sur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 Sharpe brut 0,906, net 0,894 (frottement cumulé 0,0116, turnover moyen 0,113) — contre la haie </w:t>
      </w:r>
      <w:r>
        <w:rPr>
          <w:rFonts w:ascii="Consolas" w:cs="Consolas" w:eastAsia="Consolas" w:hAnsi="Consolas"/>
          <w:color w:val="AA3355"/>
          <w:sz w:val="19"/>
          <w:szCs w:val="19"/>
        </w:rPr>
        <w:t xml:space="preserve">max_sharpe</w:t>
      </w:r>
      <w:r>
        <w:rPr>
          <w:rFonts w:ascii="Calibri" w:cs="Calibri" w:eastAsia="Calibri" w:hAnsi="Calibri"/>
          <w:sz w:val="21"/>
          <w:szCs w:val="21"/>
        </w:rPr>
        <w:t xml:space="preserve"> : brut 0,941, net 0,936 (frottement 0,0050). Le signal de régime n'est pas </w:t>
      </w:r>
      <w:r>
        <w:rPr>
          <w:rFonts w:ascii="Calibri" w:cs="Calibri" w:eastAsia="Calibri" w:hAnsi="Calibri"/>
          <w:i/>
          <w:iCs/>
          <w:sz w:val="21"/>
          <w:szCs w:val="21"/>
        </w:rPr>
        <w:t xml:space="preserve">faux</w:t>
      </w:r>
      <w:r>
        <w:rPr>
          <w:rFonts w:ascii="Calibri" w:cs="Calibri" w:eastAsia="Calibri" w:hAnsi="Calibri"/>
          <w:sz w:val="21"/>
          <w:szCs w:val="21"/>
        </w:rPr>
        <w:t xml:space="preserve"> sur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il est simplement moins rentable une fois les coûts de rotation payés sur un univers déjà proche de l'optimum.</w:t>
      </w:r>
    </w:p>
    <w:p>
      <w:pPr>
        <w:spacing w:after="160"/>
      </w:pPr>
      <w:r>
        <w:rPr>
          <w:rFonts w:ascii="Calibri" w:cs="Calibri" w:eastAsia="Calibri" w:hAnsi="Calibri"/>
          <w:b/>
          <w:bCs/>
          <w:sz w:val="21"/>
          <w:szCs w:val="21"/>
        </w:rPr>
        <w:t xml:space="preserve">Piste non construite dans cette passe :</w:t>
      </w:r>
      <w:r>
        <w:rPr>
          <w:rFonts w:ascii="Calibri" w:cs="Calibri" w:eastAsia="Calibri" w:hAnsi="Calibri"/>
          <w:sz w:val="21"/>
          <w:szCs w:val="21"/>
        </w:rPr>
        <w:t xml:space="preserve"> un HMM à 3 états restreint à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seul, qui dispose d'assez d'historique (2 489 lignes) pour éviter le risque d'échantillon fin qui a exclu ce choix pour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(§5.1).</w:t>
      </w:r>
    </w:p>
    <w:p>
      <w:pPr>
        <w:pStyle w:val="Heading1"/>
        <w:spacing w:after="200" w:before="400"/>
      </w:pPr>
      <w:r>
        <w:t xml:space="preserve">8. Stratégie de test</w:t>
      </w:r>
    </w:p>
    <w:p>
      <w:pPr>
        <w:spacing w:after="160"/>
      </w:pPr>
      <w:r>
        <w:rPr>
          <w:rFonts w:ascii="Calibri" w:cs="Calibri" w:eastAsia="Calibri" w:hAnsi="Calibri"/>
          <w:sz w:val="21"/>
          <w:szCs w:val="21"/>
        </w:rPr>
        <w:t xml:space="preserve">39 tests Phase 4, hors-ligne et synthétiques (jamais sur les données Gold réelles — seul </w:t>
      </w:r>
      <w:r>
        <w:rPr>
          <w:rFonts w:ascii="Consolas" w:cs="Consolas" w:eastAsia="Consolas" w:hAnsi="Consolas"/>
          <w:color w:val="AA3355"/>
          <w:sz w:val="19"/>
          <w:szCs w:val="19"/>
        </w:rPr>
        <w:t xml:space="preserve">src/run_phase4.py</w:t>
      </w:r>
      <w:r>
        <w:rPr>
          <w:rFonts w:ascii="Calibri" w:cs="Calibri" w:eastAsia="Calibri" w:hAnsi="Calibri"/>
          <w:sz w:val="21"/>
          <w:szCs w:val="21"/>
        </w:rPr>
        <w:t xml:space="preserve"> exécuté manuellement l'est), nommés d'après la règle qu'ils verrouillent.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42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Test (extrait)</w:t>
            </w:r>
          </w:p>
        </w:tc>
        <w:tc>
          <w:tcPr>
            <w:tcW w:type="dxa" w:w="53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Règle verrouillée</w:t>
            </w:r>
          </w:p>
        </w:tc>
      </w:tr>
      <w:tr>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test_separates_two_synthetically_distinct_blocks</w:t>
            </w:r>
          </w:p>
        </w:tc>
        <w:tc>
          <w:tcPr>
            <w:tcW w:type="dxa" w:w="5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 HMM sépare deux blocs synthétiques distincts (bull/bear) en deux états différents.</w:t>
            </w:r>
          </w:p>
        </w:tc>
      </w:tr>
      <w:tr>
        <w:tc>
          <w:tcPr>
            <w:tcW w:type="dxa" w:w="4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test_higher_mean_return_state_is_labeled_bull_index_zero / _one</w:t>
            </w:r>
          </w:p>
        </w:tc>
        <w:tc>
          <w:tcPr>
            <w:tcW w:type="dxa" w:w="5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L'étiquetage bull/bear suit les données, jamais un index d'état codé en dur.</w:t>
            </w:r>
          </w:p>
        </w:tc>
      </w:tr>
      <w:tr>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test_short_window_returns_neutral_posterior_and_warns</w:t>
            </w:r>
          </w:p>
        </w:tc>
        <w:tc>
          <w:tcPr>
            <w:tcW w:type="dxa" w:w="5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Fenêtre trop courte → posterior neutre 50/50, jamais une exception.</w:t>
            </w:r>
          </w:p>
        </w:tc>
      </w:tr>
      <w:tr>
        <w:tc>
          <w:tcPr>
            <w:tcW w:type="dxa" w:w="4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test_dcc_correlation_exceeds_static_lw_after_a_planted_shift</w:t>
            </w:r>
          </w:p>
        </w:tc>
        <w:tc>
          <w:tcPr>
            <w:tcW w:type="dxa" w:w="5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DCC-GARCH réagit à un choc de corrélation planté ; Ledoit-Wolf statique non — la preuve que cet échelon est réellement dynamique.</w:t>
            </w:r>
          </w:p>
        </w:tc>
      </w:tr>
      <w:tr>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test_falls_back_to_ledoit_wolf_and_warns_on_garch_failure</w:t>
            </w:r>
          </w:p>
        </w:tc>
        <w:tc>
          <w:tcPr>
            <w:tcW w:type="dxa" w:w="5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Non-convergence GARCH/DCC → repli Ledoit-Wolf avec avertissement journalisé, jamais un plantage.</w:t>
            </w:r>
          </w:p>
        </w:tc>
      </w:tr>
      <w:tr>
        <w:tc>
          <w:tcPr>
            <w:tcW w:type="dxa" w:w="4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test_future_feature_corruption_cannot_change_past_weights</w:t>
            </w:r>
          </w:p>
        </w:tc>
        <w:tc>
          <w:tcPr>
            <w:tcW w:type="dxa" w:w="5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Intégration bout-en-bout : corrompre le futur des features ne bouge aucun poids passé — sur la *vraie* RegimeConditionalStrategy, pas une sonde.</w:t>
            </w:r>
          </w:p>
        </w:tc>
      </w:tr>
      <w:tr>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test_ewma_reacts_faster_than_lw_to_a_volatility_shift</w:t>
            </w:r>
          </w:p>
        </w:tc>
        <w:tc>
          <w:tcPr>
            <w:tcW w:type="dxa" w:w="53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L'EWMA réagit plus vite qu'une fenêtre plate à un choc de volatilité planté — la preuve que cet échelon est réellement dynamique.</w:t>
            </w:r>
          </w:p>
        </w:tc>
      </w:tr>
      <w:tr>
        <w:tc>
          <w:tcPr>
            <w:tcW w:type="dxa" w:w="4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test_rejects_unrecognized_strategy_name</w:t>
            </w:r>
          </w:p>
        </w:tc>
        <w:tc>
          <w:tcPr>
            <w:tcW w:type="dxa" w:w="53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Un nom de stratégie bull/bear mal orthographié dans params.yaml lève une erreur claire, pas un KeyError opaque (correction Sourcery).</w:t>
            </w:r>
          </w:p>
        </w:tc>
      </w:tr>
    </w:tbl>
    <w:p>
      <w:pPr>
        <w:spacing w:after="160"/>
      </w:pPr>
      <w:r>
        <w:rPr>
          <w:rFonts w:ascii="Calibri" w:cs="Calibri" w:eastAsia="Calibri" w:hAnsi="Calibri"/>
          <w:sz w:val="21"/>
          <w:szCs w:val="21"/>
        </w:rPr>
        <w:t xml:space="preserve">L'intégration continue (GitHub Actions) exécute la suite complète (165 tests) sur machine vierge à chaque push et pull request. La revue automatisée (Sourcery) sur la PR #7 a relevé 5 points ponctuels (validation d'état HMM tardive, posterior sur fenêtre entièrement NaN, noms de stratégie non validés, division par zéro potentielle dans le Sharpe des essais DSR, paramètre </w:t>
      </w:r>
      <w:r>
        <w:rPr>
          <w:rFonts w:ascii="Consolas" w:cs="Consolas" w:eastAsia="Consolas" w:hAnsi="Consolas"/>
          <w:color w:val="AA3355"/>
          <w:sz w:val="19"/>
          <w:szCs w:val="19"/>
        </w:rPr>
        <w:t xml:space="preserve">regime.features</w:t>
      </w:r>
      <w:r>
        <w:rPr>
          <w:rFonts w:ascii="Calibri" w:cs="Calibri" w:eastAsia="Calibri" w:hAnsi="Calibri"/>
          <w:sz w:val="21"/>
          <w:szCs w:val="21"/>
        </w:rPr>
        <w:t xml:space="preserve"> déclaré mais jamais câblé) et 2 points de conception généraux — tous corrigés, chacun avec un test de non-régression dédié, et le run complet sur données réelles re-vérifié strictement identique après correction.</w:t>
      </w:r>
    </w:p>
    <w:p>
      <w:pPr>
        <w:pStyle w:val="Heading1"/>
        <w:spacing w:after="200" w:before="400"/>
      </w:pPr>
      <w:r>
        <w:t xml:space="preserve">9. Limitations connues et réserves</w:t>
      </w:r>
    </w:p>
    <w:p>
      <w:pPr>
        <w:pStyle w:val="ListParagraph"/>
        <w:numPr>
          <w:ilvl w:val="0"/>
          <w:numId w:val="1"/>
        </w:numPr>
        <w:spacing w:after="90"/>
      </w:pPr>
      <w:r>
        <w:rPr>
          <w:rFonts w:ascii="Calibri" w:cs="Calibri" w:eastAsia="Calibri" w:hAnsi="Calibri"/>
          <w:b/>
          <w:bCs/>
          <w:sz w:val="21"/>
          <w:szCs w:val="21"/>
        </w:rPr>
        <w:t xml:space="preserve">MVP à 2 états, pas 3.</w:t>
      </w:r>
      <w:r>
        <w:rPr>
          <w:rFonts w:ascii="Calibri" w:cs="Calibri" w:eastAsia="Calibri" w:hAnsi="Calibri"/>
          <w:sz w:val="21"/>
          <w:szCs w:val="21"/>
        </w:rPr>
        <w:t xml:space="preserve"> Un choix documenté (§5.1), pas un oubli — un 3ᵉ état « crise » reste une piste pour </w:t>
      </w:r>
      <w:r>
        <w:rPr>
          <w:rFonts w:ascii="Consolas" w:cs="Consolas" w:eastAsia="Consolas" w:hAnsi="Consolas"/>
          <w:color w:val="AA3355"/>
          <w:sz w:val="19"/>
          <w:szCs w:val="19"/>
        </w:rPr>
        <w:t xml:space="preserve">etf_2017</w:t>
      </w:r>
      <w:r>
        <w:rPr>
          <w:rFonts w:ascii="Calibri" w:cs="Calibri" w:eastAsia="Calibri" w:hAnsi="Calibri"/>
          <w:sz w:val="21"/>
          <w:szCs w:val="21"/>
        </w:rPr>
        <w:t xml:space="preserve"> seul (§7).</w:t>
      </w:r>
    </w:p>
    <w:p>
      <w:pPr>
        <w:pStyle w:val="ListParagraph"/>
        <w:numPr>
          <w:ilvl w:val="0"/>
          <w:numId w:val="1"/>
        </w:numPr>
        <w:spacing w:after="90"/>
      </w:pPr>
      <w:r>
        <w:rPr>
          <w:rFonts w:ascii="Calibri" w:cs="Calibri" w:eastAsia="Calibri" w:hAnsi="Calibri"/>
          <w:b/>
          <w:bCs/>
          <w:sz w:val="21"/>
          <w:szCs w:val="21"/>
        </w:rPr>
        <w:t xml:space="preserve">Commutation dure, pas un mélange continu.</w:t>
      </w:r>
      <w:r>
        <w:rPr>
          <w:rFonts w:ascii="Calibri" w:cs="Calibri" w:eastAsia="Calibri" w:hAnsi="Calibri"/>
          <w:sz w:val="21"/>
          <w:szCs w:val="21"/>
        </w:rPr>
        <w:t xml:space="preserve"> Le coût en turnover est mesuré (§4.3), pas éliminé ; un mélange par probabilités reste une évolution possible, non construite ici.</w:t>
      </w:r>
    </w:p>
    <w:p>
      <w:pPr>
        <w:pStyle w:val="ListParagraph"/>
        <w:numPr>
          <w:ilvl w:val="0"/>
          <w:numId w:val="1"/>
        </w:numPr>
        <w:spacing w:after="90"/>
      </w:pPr>
      <w:r>
        <w:rPr>
          <w:rFonts w:ascii="Calibri" w:cs="Calibri" w:eastAsia="Calibri" w:hAnsi="Calibri"/>
          <w:b/>
          <w:bCs/>
          <w:sz w:val="21"/>
          <w:szCs w:val="21"/>
        </w:rPr>
        <w:t xml:space="preserve">DSR utilise n_trials=7 au sein de CE run</w:t>
      </w:r>
      <w:r>
        <w:rPr>
          <w:rFonts w:ascii="Calibri" w:cs="Calibri" w:eastAsia="Calibri" w:hAnsi="Calibri"/>
          <w:sz w:val="21"/>
          <w:szCs w:val="21"/>
        </w:rPr>
        <w:t xml:space="preserve"> ; il ne cumule pas encore les stratégies essayées lors de sessions passées — limitation documentée dans </w:t>
      </w:r>
      <w:r>
        <w:rPr>
          <w:rFonts w:ascii="Consolas" w:cs="Consolas" w:eastAsia="Consolas" w:hAnsi="Consolas"/>
          <w:color w:val="AA3355"/>
          <w:sz w:val="19"/>
          <w:szCs w:val="19"/>
        </w:rPr>
        <w:t xml:space="preserve">src/metrics.py</w:t>
      </w:r>
      <w:r>
        <w:rPr>
          <w:rFonts w:ascii="Calibri" w:cs="Calibri" w:eastAsia="Calibri" w:hAnsi="Calibri"/>
          <w:sz w:val="21"/>
          <w:szCs w:val="21"/>
        </w:rPr>
        <w:t xml:space="preserve">, décision reportée à la Phase 5.</w:t>
      </w:r>
    </w:p>
    <w:p>
      <w:pPr>
        <w:pStyle w:val="ListParagraph"/>
        <w:numPr>
          <w:ilvl w:val="0"/>
          <w:numId w:val="1"/>
        </w:numPr>
        <w:spacing w:after="90"/>
      </w:pPr>
      <w:r>
        <w:rPr>
          <w:rFonts w:ascii="Calibri" w:cs="Calibri" w:eastAsia="Calibri" w:hAnsi="Calibri"/>
          <w:b/>
          <w:bCs/>
          <w:sz w:val="21"/>
          <w:szCs w:val="21"/>
        </w:rPr>
        <w:t xml:space="preserve">EEM reste stationnarité-AMBIGU</w:t>
      </w:r>
      <w:r>
        <w:rPr>
          <w:rFonts w:ascii="Calibri" w:cs="Calibri" w:eastAsia="Calibri" w:hAnsi="Calibri"/>
          <w:sz w:val="21"/>
          <w:szCs w:val="21"/>
        </w:rPr>
        <w:t xml:space="preserve"> (hérité de la Phase 1) — l'actif le plus susceptible de déclencher le repli Ledoit-Wolf de DCC-GARCH ; un cas surveillé, pas une inconnue.</w:t>
      </w:r>
    </w:p>
    <w:p>
      <w:pPr>
        <w:pStyle w:val="ListParagraph"/>
        <w:numPr>
          <w:ilvl w:val="0"/>
          <w:numId w:val="1"/>
        </w:numPr>
        <w:spacing w:after="90"/>
      </w:pPr>
      <w:r>
        <w:rPr>
          <w:rFonts w:ascii="Calibri" w:cs="Calibri" w:eastAsia="Calibri" w:hAnsi="Calibri"/>
          <w:b/>
          <w:bCs/>
          <w:sz w:val="21"/>
          <w:szCs w:val="21"/>
        </w:rPr>
        <w:t xml:space="preserve">Temps d'exécution non trivial.</w:t>
      </w:r>
      <w:r>
        <w:rPr>
          <w:rFonts w:ascii="Calibri" w:cs="Calibri" w:eastAsia="Calibri" w:hAnsi="Calibri"/>
          <w:sz w:val="21"/>
          <w:szCs w:val="21"/>
        </w:rPr>
        <w:t xml:space="preserve"> Un passage complet (</w:t>
      </w:r>
      <w:r>
        <w:rPr>
          <w:rFonts w:ascii="Consolas" w:cs="Consolas" w:eastAsia="Consolas" w:hAnsi="Consolas"/>
          <w:color w:val="AA3355"/>
          <w:sz w:val="19"/>
          <w:szCs w:val="19"/>
        </w:rPr>
        <w:t xml:space="preserve">run_phase4.py</w:t>
      </w:r>
      <w:r>
        <w:rPr>
          <w:rFonts w:ascii="Calibri" w:cs="Calibri" w:eastAsia="Calibri" w:hAnsi="Calibri"/>
          <w:sz w:val="21"/>
          <w:szCs w:val="21"/>
        </w:rPr>
        <w:t xml:space="preserve">) prend plusieurs minutes, dominé par les ré-ajustements GARCH par actif à chaque rééquilibrage — jamais exécuté par la CI, un choix assumé pour un script de comparaison hors-ligne.</w:t>
      </w:r>
    </w:p>
    <w:p>
      <w:pPr>
        <w:pStyle w:val="ListParagraph"/>
        <w:numPr>
          <w:ilvl w:val="0"/>
          <w:numId w:val="1"/>
        </w:numPr>
        <w:spacing w:after="90"/>
      </w:pPr>
      <w:r>
        <w:rPr>
          <w:rFonts w:ascii="Calibri" w:cs="Calibri" w:eastAsia="Calibri" w:hAnsi="Calibri"/>
          <w:b/>
          <w:bCs/>
          <w:sz w:val="21"/>
          <w:szCs w:val="21"/>
        </w:rPr>
        <w:t xml:space="preserve">Univers ETF sans réponse positive au ML</w:t>
      </w:r>
      <w:r>
        <w:rPr>
          <w:rFonts w:ascii="Calibri" w:cs="Calibri" w:eastAsia="Calibri" w:hAnsi="Calibri"/>
          <w:sz w:val="21"/>
          <w:szCs w:val="21"/>
        </w:rPr>
        <w:t xml:space="preserve"> (§7) — investigué, pas ignoré, mais non résolu dans cette passe.</w:t>
      </w:r>
    </w:p>
    <w:p>
      <w:pPr>
        <w:pStyle w:val="Heading1"/>
        <w:spacing w:after="200" w:before="400"/>
      </w:pPr>
      <w:r>
        <w:t xml:space="preserve">10. Traçabilité P1–P4</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400"/>
      </w:tblGrid>
      <w:tr>
        <w:trPr>
          <w:tblHeader/>
        </w:trPr>
        <w:tc>
          <w:tcPr>
            <w:tcW w:type="dxa" w:w="9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Pb.</w:t>
            </w:r>
          </w:p>
        </w:tc>
        <w:tc>
          <w:tcPr>
            <w:tcW w:type="dxa" w:w="32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Composants Phase 4</w:t>
            </w:r>
          </w:p>
        </w:tc>
        <w:tc>
          <w:tcPr>
            <w:tcW w:type="dxa" w:w="5400"/>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Mécanisme</w:t>
            </w:r>
          </w:p>
        </w:tc>
      </w:tr>
      <w:tr>
        <w:tc>
          <w:tcPr>
            <w:tcW w:type="dxa" w:w="9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P1</w:t>
            </w:r>
          </w:p>
        </w:tc>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Échelle de covariance (4 échelons)</w:t>
            </w:r>
          </w:p>
        </w:tc>
        <w:tc>
          <w:tcPr>
            <w:tcW w:type="dxa" w:w="5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Sample → Ledoit-Wolf → EWMA → DCC-GARCH : chaque échelon isole combien du bruit d'estimation une régularisation progressive puis une dynamique corrige — mesuré, pas supposé (§4.2, §6).</w:t>
            </w:r>
          </w:p>
        </w:tc>
      </w:tr>
      <w:tr>
        <w:tc>
          <w:tcPr>
            <w:tcW w:type="dxa" w:w="9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P2</w:t>
            </w:r>
          </w:p>
        </w:tc>
        <w:tc>
          <w:tcPr>
            <w:tcW w:type="dxa" w:w="3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HMM (régime), EWMA, DCC-GARCH</w:t>
            </w:r>
          </w:p>
        </w:tc>
        <w:tc>
          <w:tcPr>
            <w:tcW w:type="dxa" w:w="54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Régime détecté (paramètres valides dans un régime, pas un autre) ; covariance qui suit un choc de volatilité au lieu de le diluer sur toute la fenêtre — les deux prouvés sur données réelles (§4.2, §4.3).</w:t>
            </w:r>
          </w:p>
        </w:tc>
      </w:tr>
      <w:tr>
        <w:tc>
          <w:tcPr>
            <w:tcW w:type="dxa" w:w="9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P3</w:t>
            </w:r>
          </w:p>
        </w:tc>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RegimeConditionalStrategy, DCC-GARCH</w:t>
            </w:r>
          </w:p>
        </w:tc>
        <w:tc>
          <w:tcPr>
            <w:tcW w:type="dxa" w:w="5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Bascule défensive en régime « bear » ; corrélations dynamiques capturant le resserrement de crise à l'estimation même de la covariance, pas seulement observé après coup.</w:t>
            </w:r>
          </w:p>
        </w:tc>
      </w:tr>
      <w:tr>
        <w:tc>
          <w:tcPr>
            <w:tcW w:type="dxa" w:w="9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P4</w:t>
            </w:r>
          </w:p>
        </w:tc>
        <w:tc>
          <w:tcPr>
            <w:tcW w:type="dxa" w:w="32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Interface Strategy inchangée, canal extras, DSR à réserve d'essais partagée</w:t>
            </w:r>
          </w:p>
        </w:tc>
        <w:tc>
          <w:tcPr>
            <w:tcW w:type="dxa" w:w="5400"/>
            <w:shd w:fill="DCE6F1" w:val="clear"/>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Aucune modification du moteur ; test d'intégration bout-en-bout sur la vraie stratégie (pas une sonde) ; les 7 stratégies comparées dans la même passe pour une DSR honnête.</w:t>
            </w:r>
          </w:p>
        </w:tc>
      </w:tr>
    </w:tbl>
    <w:p>
      <w:pPr>
        <w:pStyle w:val="Heading1"/>
        <w:spacing w:after="200" w:before="400"/>
      </w:pPr>
      <w:r>
        <w:t xml:space="preserve">11. Transition vers la Phase 5</w:t>
      </w:r>
    </w:p>
    <w:p>
      <w:pPr>
        <w:spacing w:after="160"/>
      </w:pPr>
      <w:r>
        <w:rPr>
          <w:rFonts w:ascii="Calibri" w:cs="Calibri" w:eastAsia="Calibri" w:hAnsi="Calibri"/>
          <w:sz w:val="21"/>
          <w:szCs w:val="21"/>
        </w:rPr>
        <w:t xml:space="preserve">Le contrat est complet et prouvé : le moteur de la Phase 2, l'interface Strategy, et désormais une famille de modèles de régime/covariance qui fonctionne — jugée honnêtement, avec un résultat mixte assumé. Il reste à remplacer les découpages train/test ad hoc par une validation croisée K-Fold purgée, et à faire cumuler honnêtement la réserve d'essais du Deflated Sharpe Ratio à travers les sessions avant de considérer un résultat de Phase 4 comme définitif.</w:t>
      </w:r>
    </w:p>
    <w:p>
      <w:pPr>
        <w:spacing w:after="160"/>
      </w:pPr>
      <w:r>
        <w:rPr>
          <w:rFonts w:ascii="Calibri" w:cs="Calibri" w:eastAsia="Calibri" w:hAnsi="Calibri"/>
          <w:sz w:val="21"/>
          <w:szCs w:val="21"/>
        </w:rPr>
        <w:t xml:space="preserve">La première question de la Phase 5 : le résultat </w:t>
      </w:r>
      <w:r>
        <w:rPr>
          <w:rFonts w:ascii="Consolas" w:cs="Consolas" w:eastAsia="Consolas" w:hAnsi="Consolas"/>
          <w:color w:val="AA3355"/>
          <w:sz w:val="19"/>
          <w:szCs w:val="19"/>
        </w:rPr>
        <w:t xml:space="preserve">full_2021</w:t>
      </w:r>
      <w:r>
        <w:rPr>
          <w:rFonts w:ascii="Calibri" w:cs="Calibri" w:eastAsia="Calibri" w:hAnsi="Calibri"/>
          <w:sz w:val="21"/>
          <w:szCs w:val="21"/>
        </w:rPr>
        <w:t xml:space="preserve"> (regime_conditional bat la haie de 15 %) survit-il à une sélection d'hyperparamètres purgée, ou est-il en partie un artefact de sélection sur un seul découpage walk-forward ? C'est précisément la question que P4 (surapprentissage de backtest) pose, et que la Phase 5 est chargée de trancher.</w:t>
      </w:r>
    </w:p>
    <w:p>
      <w:pPr>
        <w:pStyle w:val="Heading1"/>
        <w:spacing w:after="200" w:before="400"/>
      </w:pPr>
      <w:r>
        <w:t xml:space="preserve">Annexe — Commandes de référence</w:t>
      </w:r>
    </w:p>
    <w:p>
      <w:pPr>
        <w:spacing w:after="60"/>
      </w:pPr>
      <w:r>
        <w:rPr>
          <w:rFonts w:ascii="Consolas" w:cs="Consolas" w:eastAsia="Consolas" w:hAnsi="Consolas"/>
          <w:color w:val="444444"/>
          <w:sz w:val="19"/>
          <w:szCs w:val="19"/>
        </w:rPr>
        <w:t xml:space="preserve">python src/run_phase4.py    # compare 7 strategies x 2 univers</w:t>
      </w:r>
    </w:p>
    <w:p>
      <w:pPr>
        <w:spacing w:after="60"/>
      </w:pPr>
      <w:r>
        <w:rPr>
          <w:rFonts w:ascii="Consolas" w:cs="Consolas" w:eastAsia="Consolas" w:hAnsi="Consolas"/>
          <w:color w:val="444444"/>
          <w:sz w:val="19"/>
          <w:szCs w:val="19"/>
        </w:rPr>
        <w:t xml:space="preserve">pytest tests/test_regime.py tests/test_dcc_garch.py \</w:t>
      </w:r>
    </w:p>
    <w:p>
      <w:pPr>
        <w:spacing w:after="60"/>
      </w:pPr>
      <w:r>
        <w:rPr>
          <w:rFonts w:ascii="Consolas" w:cs="Consolas" w:eastAsia="Consolas" w:hAnsi="Consolas"/>
          <w:color w:val="444444"/>
          <w:sz w:val="19"/>
          <w:szCs w:val="19"/>
        </w:rPr>
        <w:t xml:space="preserve">       tests/test_phase4_integration.py -q</w:t>
      </w:r>
    </w:p>
    <w:p>
      <w:pPr>
        <w:spacing w:after="60"/>
      </w:pPr>
      <w:r>
        <w:rPr>
          <w:rFonts w:ascii="Consolas" w:cs="Consolas" w:eastAsia="Consolas" w:hAnsi="Consolas"/>
          <w:color w:val="444444"/>
          <w:sz w:val="19"/>
          <w:szCs w:val="19"/>
        </w:rPr>
        <w:t xml:space="preserve">jupyter notebook notebooks/phase4_regime_covariance.ipynb</w:t>
      </w:r>
    </w:p>
    <w:p>
      <w:pPr>
        <w:spacing w:after="60"/>
      </w:pPr>
      <w:r>
        <w:rPr>
          <w:rFonts w:ascii="Consolas" w:cs="Consolas" w:eastAsia="Consolas" w:hAnsi="Consolas"/>
          <w:color w:val="444444"/>
          <w:sz w:val="19"/>
          <w:szCs w:val="19"/>
        </w:rPr>
        <w:t xml:space="preserve">dvc repro phase4_compare           # regenere l'etape si une dependance change</w:t>
      </w:r>
    </w:p>
    <w:p>
      <w:pPr>
        <w:pStyle w:val="Heading1"/>
        <w:spacing w:after="200" w:before="400"/>
      </w:pPr>
      <w:r>
        <w:t xml:space="preserve">Références</w:t>
      </w:r>
    </w:p>
    <w:p>
      <w:pPr>
        <w:pStyle w:val="ListParagraph"/>
        <w:numPr>
          <w:ilvl w:val="0"/>
          <w:numId w:val="1"/>
        </w:numPr>
        <w:spacing w:after="90"/>
      </w:pPr>
      <w:r>
        <w:rPr>
          <w:rFonts w:ascii="Calibri" w:cs="Calibri" w:eastAsia="Calibri" w:hAnsi="Calibri"/>
          <w:sz w:val="21"/>
          <w:szCs w:val="21"/>
        </w:rPr>
        <w:t xml:space="preserve">Engle, R. F. (2002). Dynamic Conditional Correlation: A Simple Class of Multivariate GARCH Models. Journal of Business &amp; Economic Statistics.</w:t>
      </w:r>
    </w:p>
    <w:p>
      <w:pPr>
        <w:pStyle w:val="ListParagraph"/>
        <w:numPr>
          <w:ilvl w:val="0"/>
          <w:numId w:val="1"/>
        </w:numPr>
        <w:spacing w:after="90"/>
      </w:pPr>
      <w:r>
        <w:rPr>
          <w:rFonts w:ascii="Calibri" w:cs="Calibri" w:eastAsia="Calibri" w:hAnsi="Calibri"/>
          <w:sz w:val="21"/>
          <w:szCs w:val="21"/>
        </w:rPr>
        <w:t xml:space="preserve">Ledoit, O. &amp; Wolf, M. (2004). A Well-Conditioned Estimator for Large-Dimensional Covariance Matrices.</w:t>
      </w:r>
    </w:p>
    <w:p>
      <w:pPr>
        <w:pStyle w:val="ListParagraph"/>
        <w:numPr>
          <w:ilvl w:val="0"/>
          <w:numId w:val="1"/>
        </w:numPr>
        <w:spacing w:after="90"/>
      </w:pPr>
      <w:r>
        <w:rPr>
          <w:rFonts w:ascii="Calibri" w:cs="Calibri" w:eastAsia="Calibri" w:hAnsi="Calibri"/>
          <w:sz w:val="21"/>
          <w:szCs w:val="21"/>
        </w:rPr>
        <w:t xml:space="preserve">López de Prado, M. (2018). Advances in Financial Machine Learning. Wiley — chap. 3 (étiquetage), Deflated Sharpe Ratio.</w:t>
      </w:r>
    </w:p>
    <w:p>
      <w:pPr>
        <w:pStyle w:val="ListParagraph"/>
        <w:numPr>
          <w:ilvl w:val="0"/>
          <w:numId w:val="1"/>
        </w:numPr>
        <w:spacing w:after="90"/>
      </w:pPr>
      <w:r>
        <w:rPr>
          <w:rFonts w:ascii="Calibri" w:cs="Calibri" w:eastAsia="Calibri" w:hAnsi="Calibri"/>
          <w:sz w:val="21"/>
          <w:szCs w:val="21"/>
        </w:rPr>
        <w:t xml:space="preserve">Rabiner, L. R. (1989). A Tutorial on Hidden Markov Models and Selected Applications in Speech Recognition. Proceedings of the IEEE.</w:t>
      </w:r>
    </w:p>
    <w:p>
      <w:pPr>
        <w:pStyle w:val="ListParagraph"/>
        <w:numPr>
          <w:ilvl w:val="0"/>
          <w:numId w:val="1"/>
        </w:numPr>
        <w:spacing w:after="90"/>
      </w:pPr>
      <w:r>
        <w:rPr>
          <w:rFonts w:ascii="Calibri" w:cs="Calibri" w:eastAsia="Calibri" w:hAnsi="Calibri"/>
          <w:sz w:val="21"/>
          <w:szCs w:val="21"/>
        </w:rPr>
        <w:t xml:space="preserve">Tsay, R. S. (2010). Analysis of Financial Time Series. Wiley — GARCH et modèles multivariés.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EURAFRIC Information — PFA INPT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Phase 4 — Modèles de Portefeuille ML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27"/>
      <w:szCs w:val="27"/>
    </w:rPr>
  </w:style>
  <w:style w:type="paragraph" w:styleId="Heading2">
    <w:name w:val="Heading 2"/>
    <w:basedOn w:val="Normal"/>
    <w:next w:val="Normal"/>
    <w:qFormat/>
    <w:pPr>
      <w:spacing w:after="150" w:before="300"/>
      <w:outlineLvl w:val="1"/>
    </w:pPr>
    <w:rPr>
      <w:rFonts w:ascii="Calibri" w:cs="Calibri" w:eastAsia="Calibri" w:hAnsi="Calibri"/>
      <w:b/>
      <w:bCs/>
      <w:color w:val="2E75B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4 — Modèles de Portefeuille ML</dc:title>
  <dc:creator>Souhail Bourhim</dc:creator>
  <cp:lastModifiedBy>Un-named</cp:lastModifiedBy>
  <cp:revision>1</cp:revision>
  <dcterms:created xsi:type="dcterms:W3CDTF">2026-07-20T19:42:41.855Z</dcterms:created>
  <dcterms:modified xsi:type="dcterms:W3CDTF">2026-07-20T19:42:41.860Z</dcterms:modified>
</cp:coreProperties>
</file>

<file path=docProps/custom.xml><?xml version="1.0" encoding="utf-8"?>
<Properties xmlns="http://schemas.openxmlformats.org/officeDocument/2006/custom-properties" xmlns:vt="http://schemas.openxmlformats.org/officeDocument/2006/docPropsVTypes"/>
</file>